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B71E6" w14:textId="72C78FDA" w:rsidR="00737A61" w:rsidRDefault="00737A61" w:rsidP="00737A61">
      <w:pPr>
        <w:tabs>
          <w:tab w:val="left" w:pos="0"/>
        </w:tabs>
        <w:jc w:val="both"/>
        <w:rPr>
          <w:rFonts w:cs="Arial"/>
          <w:b/>
        </w:rPr>
      </w:pPr>
      <w:bookmarkStart w:id="0" w:name="_Toc187855362"/>
      <w:r w:rsidRPr="00EB545A">
        <w:rPr>
          <w:rFonts w:cs="Arial"/>
          <w:noProof/>
        </w:rPr>
        <w:drawing>
          <wp:anchor distT="0" distB="0" distL="114300" distR="114300" simplePos="0" relativeHeight="251659264" behindDoc="0" locked="0" layoutInCell="1" allowOverlap="1" wp14:anchorId="38F267D8" wp14:editId="4686A4CE">
            <wp:simplePos x="0" y="0"/>
            <wp:positionH relativeFrom="page">
              <wp:posOffset>0</wp:posOffset>
            </wp:positionH>
            <wp:positionV relativeFrom="paragraph">
              <wp:posOffset>250825</wp:posOffset>
            </wp:positionV>
            <wp:extent cx="7554595" cy="1371600"/>
            <wp:effectExtent l="0" t="0" r="8255" b="0"/>
            <wp:wrapSquare wrapText="bothSides"/>
            <wp:docPr id="28" name="Picture 28" descr="cid:image002.png@01D7DC9C.0C8A2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d:image002.png@01D7DC9C.0C8A2D30"/>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r="17746"/>
                    <a:stretch/>
                  </pic:blipFill>
                  <pic:spPr bwMode="auto">
                    <a:xfrm>
                      <a:off x="0" y="0"/>
                      <a:ext cx="7554595"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9182"/>
      </w:tblGrid>
      <w:tr w:rsidR="00737A61" w:rsidRPr="00EB545A" w14:paraId="454F8AA0" w14:textId="77777777" w:rsidTr="00F756E1">
        <w:tc>
          <w:tcPr>
            <w:tcW w:w="9628" w:type="dxa"/>
            <w:shd w:val="clear" w:color="auto" w:fill="000080"/>
          </w:tcPr>
          <w:p w14:paraId="691566EC" w14:textId="77777777" w:rsidR="00737A61" w:rsidRPr="00F44B9B" w:rsidRDefault="00737A61" w:rsidP="00737A61">
            <w:pPr>
              <w:pStyle w:val="NoSpacing"/>
            </w:pPr>
            <w:bookmarkStart w:id="1" w:name="_Toc13585702"/>
            <w:bookmarkStart w:id="2" w:name="_Toc13664027"/>
            <w:bookmarkStart w:id="3" w:name="_Toc13664279"/>
            <w:bookmarkStart w:id="4" w:name="_Toc13664474"/>
            <w:bookmarkStart w:id="5" w:name="_Toc13664627"/>
            <w:bookmarkStart w:id="6" w:name="_Toc13664707"/>
            <w:bookmarkStart w:id="7" w:name="_Toc13669907"/>
            <w:bookmarkStart w:id="8" w:name="_Toc13669984"/>
            <w:bookmarkStart w:id="9" w:name="_Toc13670516"/>
            <w:bookmarkStart w:id="10" w:name="_Toc13670972"/>
            <w:bookmarkStart w:id="11" w:name="_Toc13673045"/>
            <w:bookmarkStart w:id="12" w:name="_Toc13759353"/>
            <w:bookmarkStart w:id="13" w:name="_Toc13831640"/>
            <w:bookmarkStart w:id="14" w:name="_Toc15050473"/>
            <w:bookmarkStart w:id="15" w:name="_Toc15649352"/>
            <w:bookmarkStart w:id="16" w:name="_Toc15918252"/>
          </w:p>
          <w:p w14:paraId="751A5BE6" w14:textId="6F7D2881" w:rsidR="00737A61" w:rsidRPr="00737A61" w:rsidRDefault="00737A61" w:rsidP="00F756E1">
            <w:pPr>
              <w:pStyle w:val="TITLEPAGE"/>
              <w:shd w:val="clear" w:color="auto" w:fill="002060"/>
              <w:outlineLvl w:val="0"/>
              <w:rPr>
                <w:rFonts w:cs="Arial"/>
                <w:b/>
                <w:sz w:val="50"/>
                <w:szCs w:val="50"/>
              </w:rPr>
            </w:pPr>
            <w:r w:rsidRPr="00737A61">
              <w:rPr>
                <w:rFonts w:cs="Arial"/>
                <w:b/>
                <w:sz w:val="50"/>
                <w:szCs w:val="50"/>
              </w:rPr>
              <w:t>INVITATION TO TENDER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F44838A" w14:textId="77777777" w:rsidR="00737A61" w:rsidRPr="00737A61" w:rsidRDefault="00737A61" w:rsidP="00737A61">
            <w:pPr>
              <w:pStyle w:val="NoSpacing"/>
            </w:pPr>
          </w:p>
          <w:p w14:paraId="5276F7B5" w14:textId="77777777" w:rsidR="00737A61" w:rsidRPr="00737A61" w:rsidRDefault="00737A61" w:rsidP="00737A61">
            <w:pPr>
              <w:pStyle w:val="NoSpacing"/>
            </w:pPr>
          </w:p>
          <w:p w14:paraId="47DFF4AC" w14:textId="5005863C" w:rsidR="00737A61" w:rsidRPr="00737A61" w:rsidRDefault="00C11E11" w:rsidP="004C66AC">
            <w:pPr>
              <w:spacing w:after="120"/>
              <w:jc w:val="center"/>
            </w:pPr>
            <w:r>
              <w:rPr>
                <w:rFonts w:ascii="Arial" w:hAnsi="Arial" w:cs="Arial"/>
                <w:b/>
                <w:sz w:val="50"/>
                <w:szCs w:val="50"/>
              </w:rPr>
              <w:t>SOCIAL VALUE AND SUSTAINABILITY ACTIVIT</w:t>
            </w:r>
            <w:r w:rsidR="0019614F">
              <w:rPr>
                <w:rFonts w:ascii="Arial" w:hAnsi="Arial" w:cs="Arial"/>
                <w:b/>
                <w:sz w:val="50"/>
                <w:szCs w:val="50"/>
              </w:rPr>
              <w:t>IES</w:t>
            </w:r>
            <w:r>
              <w:rPr>
                <w:rFonts w:ascii="Arial" w:hAnsi="Arial" w:cs="Arial"/>
                <w:b/>
                <w:sz w:val="50"/>
                <w:szCs w:val="50"/>
              </w:rPr>
              <w:t xml:space="preserve"> </w:t>
            </w:r>
            <w:r w:rsidR="00B566B9">
              <w:rPr>
                <w:rFonts w:ascii="Arial" w:hAnsi="Arial" w:cs="Arial"/>
                <w:b/>
                <w:sz w:val="50"/>
                <w:szCs w:val="50"/>
              </w:rPr>
              <w:t xml:space="preserve">AND </w:t>
            </w:r>
            <w:r>
              <w:rPr>
                <w:rFonts w:ascii="Arial" w:hAnsi="Arial" w:cs="Arial"/>
                <w:b/>
                <w:sz w:val="50"/>
                <w:szCs w:val="50"/>
              </w:rPr>
              <w:t>OUTPUTS</w:t>
            </w:r>
          </w:p>
          <w:p w14:paraId="75BA3436" w14:textId="11024188" w:rsidR="00737A61" w:rsidRPr="00737A61" w:rsidRDefault="003978BF" w:rsidP="00F756E1">
            <w:pPr>
              <w:spacing w:after="120"/>
              <w:jc w:val="center"/>
              <w:rPr>
                <w:rFonts w:ascii="Arial" w:hAnsi="Arial" w:cs="Arial"/>
                <w:sz w:val="40"/>
                <w:szCs w:val="40"/>
              </w:rPr>
            </w:pPr>
            <w:r>
              <w:rPr>
                <w:rFonts w:ascii="Arial" w:hAnsi="Arial" w:cs="Arial"/>
                <w:sz w:val="40"/>
                <w:szCs w:val="40"/>
              </w:rPr>
              <w:t>NON-RESPONSE</w:t>
            </w:r>
            <w:r w:rsidR="00737A61" w:rsidRPr="00737A61">
              <w:rPr>
                <w:rFonts w:ascii="Arial" w:hAnsi="Arial" w:cs="Arial"/>
                <w:sz w:val="40"/>
                <w:szCs w:val="40"/>
              </w:rPr>
              <w:t xml:space="preserve"> DOCUMENT</w:t>
            </w:r>
          </w:p>
          <w:p w14:paraId="0371F1A2" w14:textId="77777777" w:rsidR="00737A61" w:rsidRPr="00737A61" w:rsidRDefault="00737A61" w:rsidP="00737A61">
            <w:pPr>
              <w:pStyle w:val="NoSpacing"/>
            </w:pPr>
          </w:p>
        </w:tc>
      </w:tr>
    </w:tbl>
    <w:p w14:paraId="1785ED80" w14:textId="77777777" w:rsidR="00737A61" w:rsidRPr="00EB545A" w:rsidRDefault="00737A61" w:rsidP="00737A61">
      <w:pPr>
        <w:pStyle w:val="NoSpacing"/>
      </w:pPr>
    </w:p>
    <w:p w14:paraId="07F50505" w14:textId="4876E847" w:rsidR="00737A61" w:rsidRDefault="00737A61" w:rsidP="00737A61">
      <w:pPr>
        <w:ind w:right="88"/>
        <w:jc w:val="center"/>
        <w:rPr>
          <w:rFonts w:cs="Arial"/>
          <w:b/>
          <w:caps/>
          <w:color w:val="000000" w:themeColor="text1"/>
          <w:sz w:val="32"/>
          <w:szCs w:val="32"/>
        </w:rPr>
      </w:pPr>
      <w:r>
        <w:rPr>
          <w:rFonts w:cs="Arial"/>
          <w:b/>
          <w:caps/>
          <w:color w:val="000000" w:themeColor="text1"/>
          <w:sz w:val="32"/>
          <w:szCs w:val="32"/>
        </w:rPr>
        <w:t xml:space="preserve">the </w:t>
      </w:r>
      <w:r w:rsidR="00DF6E37">
        <w:rPr>
          <w:rFonts w:cs="Arial"/>
          <w:b/>
          <w:caps/>
          <w:color w:val="000000" w:themeColor="text1"/>
          <w:sz w:val="32"/>
          <w:szCs w:val="32"/>
        </w:rPr>
        <w:t>PROVISION OF HAZARDOUS WASTE MANAGEMENT</w:t>
      </w:r>
      <w:r w:rsidR="008F61F9">
        <w:rPr>
          <w:rFonts w:cs="Arial"/>
          <w:b/>
          <w:caps/>
          <w:color w:val="000000" w:themeColor="text1"/>
          <w:sz w:val="32"/>
          <w:szCs w:val="32"/>
        </w:rPr>
        <w:t xml:space="preserve"> SERVICE</w:t>
      </w:r>
    </w:p>
    <w:p w14:paraId="5DCE4929" w14:textId="1E4A4BAC" w:rsidR="00737A61" w:rsidRDefault="00737A61" w:rsidP="00737A61">
      <w:pPr>
        <w:jc w:val="center"/>
        <w:rPr>
          <w:rFonts w:cs="Arial"/>
          <w:caps/>
          <w:color w:val="000000"/>
          <w:sz w:val="32"/>
          <w:szCs w:val="32"/>
        </w:rPr>
      </w:pPr>
      <w:r>
        <w:rPr>
          <w:rFonts w:cs="Arial"/>
          <w:bCs/>
          <w:caps/>
          <w:color w:val="000000"/>
          <w:sz w:val="32"/>
          <w:szCs w:val="32"/>
        </w:rPr>
        <w:t xml:space="preserve">(Coupa </w:t>
      </w:r>
      <w:r>
        <w:rPr>
          <w:rFonts w:cs="Arial"/>
          <w:color w:val="000000"/>
          <w:sz w:val="32"/>
          <w:szCs w:val="32"/>
        </w:rPr>
        <w:t>Portal Reference Number</w:t>
      </w:r>
      <w:r>
        <w:rPr>
          <w:rFonts w:cs="Arial"/>
          <w:caps/>
          <w:color w:val="000000"/>
          <w:sz w:val="32"/>
          <w:szCs w:val="32"/>
        </w:rPr>
        <w:t xml:space="preserve">: </w:t>
      </w:r>
      <w:r>
        <w:rPr>
          <w:rFonts w:cs="Arial"/>
          <w:color w:val="000000"/>
          <w:sz w:val="32"/>
          <w:szCs w:val="32"/>
        </w:rPr>
        <w:t>#</w:t>
      </w:r>
      <w:r w:rsidR="001549CD">
        <w:rPr>
          <w:rFonts w:cs="Arial"/>
          <w:color w:val="000000"/>
          <w:sz w:val="32"/>
          <w:szCs w:val="32"/>
        </w:rPr>
        <w:t>2483</w:t>
      </w:r>
      <w:r>
        <w:rPr>
          <w:rFonts w:cs="Arial"/>
          <w:caps/>
          <w:color w:val="000000"/>
          <w:sz w:val="32"/>
          <w:szCs w:val="32"/>
        </w:rPr>
        <w:t>)</w:t>
      </w:r>
    </w:p>
    <w:p w14:paraId="4996D031" w14:textId="77777777" w:rsidR="00737A61" w:rsidRDefault="00737A61" w:rsidP="00737A61">
      <w:pPr>
        <w:pStyle w:val="NoSpacing"/>
      </w:pPr>
    </w:p>
    <w:tbl>
      <w:tblPr>
        <w:tblStyle w:val="TableGrid"/>
        <w:tblW w:w="9634" w:type="dxa"/>
        <w:tblLook w:val="04A0" w:firstRow="1" w:lastRow="0" w:firstColumn="1" w:lastColumn="0" w:noHBand="0" w:noVBand="1"/>
      </w:tblPr>
      <w:tblGrid>
        <w:gridCol w:w="2746"/>
        <w:gridCol w:w="6888"/>
      </w:tblGrid>
      <w:tr w:rsidR="00737A61" w:rsidRPr="00D4574B" w14:paraId="74C0863E" w14:textId="77777777" w:rsidTr="00F756E1">
        <w:trPr>
          <w:trHeight w:val="454"/>
        </w:trPr>
        <w:tc>
          <w:tcPr>
            <w:tcW w:w="2746" w:type="dxa"/>
            <w:shd w:val="clear" w:color="auto" w:fill="000080"/>
          </w:tcPr>
          <w:p w14:paraId="4DD99A83" w14:textId="77777777" w:rsidR="00737A61" w:rsidRPr="00D4574B" w:rsidRDefault="00737A61" w:rsidP="00F756E1">
            <w:pPr>
              <w:spacing w:after="120"/>
              <w:rPr>
                <w:rFonts w:cs="Arial"/>
              </w:rPr>
            </w:pPr>
          </w:p>
        </w:tc>
        <w:tc>
          <w:tcPr>
            <w:tcW w:w="6888" w:type="dxa"/>
            <w:shd w:val="clear" w:color="auto" w:fill="000080"/>
          </w:tcPr>
          <w:p w14:paraId="30096DA8" w14:textId="77777777" w:rsidR="00737A61" w:rsidRPr="00D4574B" w:rsidRDefault="00737A61" w:rsidP="00F756E1">
            <w:pPr>
              <w:spacing w:after="120"/>
              <w:rPr>
                <w:rFonts w:cs="Arial"/>
                <w:b/>
              </w:rPr>
            </w:pPr>
            <w:r w:rsidRPr="00D4574B">
              <w:rPr>
                <w:rFonts w:cs="Arial"/>
                <w:b/>
              </w:rPr>
              <w:t>Bidder</w:t>
            </w:r>
          </w:p>
        </w:tc>
      </w:tr>
      <w:tr w:rsidR="00737A61" w:rsidRPr="00D4574B" w14:paraId="6BB06D9B" w14:textId="77777777" w:rsidTr="00F756E1">
        <w:trPr>
          <w:trHeight w:val="454"/>
        </w:trPr>
        <w:tc>
          <w:tcPr>
            <w:tcW w:w="2746" w:type="dxa"/>
            <w:shd w:val="clear" w:color="auto" w:fill="000080"/>
            <w:vAlign w:val="center"/>
          </w:tcPr>
          <w:p w14:paraId="18EAEBEA" w14:textId="77777777" w:rsidR="00737A61" w:rsidRPr="00D4574B" w:rsidRDefault="00737A61" w:rsidP="00F756E1">
            <w:pPr>
              <w:spacing w:after="120"/>
              <w:rPr>
                <w:rFonts w:cs="Arial"/>
                <w:b/>
              </w:rPr>
            </w:pPr>
            <w:r>
              <w:rPr>
                <w:rFonts w:cs="Arial"/>
                <w:b/>
              </w:rPr>
              <w:t xml:space="preserve">Supplier </w:t>
            </w:r>
            <w:r w:rsidRPr="00D4574B">
              <w:rPr>
                <w:rFonts w:cs="Arial"/>
                <w:b/>
              </w:rPr>
              <w:t>Name</w:t>
            </w:r>
          </w:p>
        </w:tc>
        <w:tc>
          <w:tcPr>
            <w:tcW w:w="6888" w:type="dxa"/>
            <w:vAlign w:val="center"/>
          </w:tcPr>
          <w:p w14:paraId="07693F5C" w14:textId="77777777" w:rsidR="00737A61" w:rsidRPr="00D4574B" w:rsidRDefault="00737A61" w:rsidP="00F756E1">
            <w:pPr>
              <w:spacing w:after="120"/>
              <w:rPr>
                <w:rFonts w:cs="Arial"/>
              </w:rPr>
            </w:pPr>
          </w:p>
        </w:tc>
      </w:tr>
      <w:tr w:rsidR="00737A61" w:rsidRPr="00D4574B" w14:paraId="69AD0011" w14:textId="77777777" w:rsidTr="00F756E1">
        <w:trPr>
          <w:trHeight w:val="454"/>
        </w:trPr>
        <w:tc>
          <w:tcPr>
            <w:tcW w:w="2746" w:type="dxa"/>
            <w:shd w:val="clear" w:color="auto" w:fill="000080"/>
            <w:vAlign w:val="center"/>
          </w:tcPr>
          <w:p w14:paraId="6A69D48F" w14:textId="77777777" w:rsidR="00737A61" w:rsidRPr="00D4574B" w:rsidRDefault="00737A61" w:rsidP="00F756E1">
            <w:pPr>
              <w:spacing w:after="120"/>
              <w:rPr>
                <w:rFonts w:cs="Arial"/>
                <w:b/>
              </w:rPr>
            </w:pPr>
            <w:r w:rsidRPr="00D4574B">
              <w:rPr>
                <w:rFonts w:cs="Arial"/>
                <w:b/>
              </w:rPr>
              <w:t>Contact Name</w:t>
            </w:r>
          </w:p>
        </w:tc>
        <w:tc>
          <w:tcPr>
            <w:tcW w:w="6888" w:type="dxa"/>
            <w:vAlign w:val="center"/>
          </w:tcPr>
          <w:p w14:paraId="790C5886" w14:textId="77777777" w:rsidR="00737A61" w:rsidRPr="00D4574B" w:rsidRDefault="00737A61" w:rsidP="00F756E1">
            <w:pPr>
              <w:spacing w:after="120"/>
              <w:rPr>
                <w:rFonts w:cs="Arial"/>
              </w:rPr>
            </w:pPr>
          </w:p>
        </w:tc>
      </w:tr>
      <w:tr w:rsidR="00737A61" w:rsidRPr="00D4574B" w14:paraId="1AEB7958" w14:textId="77777777" w:rsidTr="00F756E1">
        <w:trPr>
          <w:trHeight w:val="454"/>
        </w:trPr>
        <w:tc>
          <w:tcPr>
            <w:tcW w:w="2746" w:type="dxa"/>
            <w:shd w:val="clear" w:color="auto" w:fill="000080"/>
            <w:vAlign w:val="center"/>
          </w:tcPr>
          <w:p w14:paraId="2CE881E4" w14:textId="77777777" w:rsidR="00737A61" w:rsidRPr="00D4574B" w:rsidRDefault="00737A61" w:rsidP="00F756E1">
            <w:pPr>
              <w:spacing w:after="120"/>
              <w:rPr>
                <w:rFonts w:cs="Arial"/>
                <w:b/>
              </w:rPr>
            </w:pPr>
            <w:r w:rsidRPr="00D4574B">
              <w:rPr>
                <w:rFonts w:cs="Arial"/>
                <w:b/>
              </w:rPr>
              <w:t>Title</w:t>
            </w:r>
          </w:p>
        </w:tc>
        <w:tc>
          <w:tcPr>
            <w:tcW w:w="6888" w:type="dxa"/>
            <w:vAlign w:val="center"/>
          </w:tcPr>
          <w:p w14:paraId="6ECBC903" w14:textId="77777777" w:rsidR="00737A61" w:rsidRPr="00D4574B" w:rsidRDefault="00737A61" w:rsidP="00F756E1">
            <w:pPr>
              <w:spacing w:after="120"/>
              <w:rPr>
                <w:rFonts w:cs="Arial"/>
                <w:bCs/>
                <w:i/>
                <w:iCs/>
              </w:rPr>
            </w:pPr>
          </w:p>
        </w:tc>
      </w:tr>
      <w:tr w:rsidR="00737A61" w:rsidRPr="00D4574B" w14:paraId="1904F9CC" w14:textId="77777777" w:rsidTr="00F756E1">
        <w:trPr>
          <w:trHeight w:val="454"/>
        </w:trPr>
        <w:tc>
          <w:tcPr>
            <w:tcW w:w="2746" w:type="dxa"/>
            <w:shd w:val="clear" w:color="auto" w:fill="000080"/>
            <w:vAlign w:val="center"/>
          </w:tcPr>
          <w:p w14:paraId="569AE52E" w14:textId="77777777" w:rsidR="00737A61" w:rsidRPr="00D4574B" w:rsidRDefault="00737A61" w:rsidP="00F756E1">
            <w:pPr>
              <w:spacing w:after="120"/>
              <w:rPr>
                <w:rFonts w:cs="Arial"/>
                <w:b/>
              </w:rPr>
            </w:pPr>
            <w:r w:rsidRPr="00D4574B">
              <w:rPr>
                <w:rFonts w:cs="Arial"/>
                <w:b/>
              </w:rPr>
              <w:t>Email Address</w:t>
            </w:r>
          </w:p>
        </w:tc>
        <w:tc>
          <w:tcPr>
            <w:tcW w:w="6888" w:type="dxa"/>
            <w:vAlign w:val="center"/>
          </w:tcPr>
          <w:p w14:paraId="0F57091B" w14:textId="77777777" w:rsidR="00737A61" w:rsidRPr="00D4574B" w:rsidRDefault="00737A61" w:rsidP="00F756E1">
            <w:pPr>
              <w:spacing w:after="120"/>
              <w:rPr>
                <w:rFonts w:cs="Arial"/>
              </w:rPr>
            </w:pPr>
          </w:p>
        </w:tc>
      </w:tr>
    </w:tbl>
    <w:p w14:paraId="6EEFC84B" w14:textId="77777777" w:rsidR="00737A61" w:rsidRPr="00EB545A" w:rsidRDefault="00737A61" w:rsidP="00737A61">
      <w:pPr>
        <w:spacing w:after="120"/>
        <w:rPr>
          <w:rFonts w:cs="Arial"/>
        </w:rPr>
      </w:pPr>
    </w:p>
    <w:tbl>
      <w:tblPr>
        <w:tblStyle w:val="TableGrid"/>
        <w:tblW w:w="0" w:type="auto"/>
        <w:shd w:val="clear" w:color="auto" w:fill="D9D9D9" w:themeFill="background1" w:themeFillShade="D9"/>
        <w:tblLook w:val="04A0" w:firstRow="1" w:lastRow="0" w:firstColumn="1" w:lastColumn="0" w:noHBand="0" w:noVBand="1"/>
      </w:tblPr>
      <w:tblGrid>
        <w:gridCol w:w="9182"/>
      </w:tblGrid>
      <w:tr w:rsidR="00737A61" w:rsidRPr="008D595A" w14:paraId="7F213B71" w14:textId="77777777" w:rsidTr="004C66AC">
        <w:tc>
          <w:tcPr>
            <w:tcW w:w="9182" w:type="dxa"/>
            <w:shd w:val="clear" w:color="auto" w:fill="D9D9D9" w:themeFill="background1" w:themeFillShade="D9"/>
          </w:tcPr>
          <w:p w14:paraId="7FE3E67E" w14:textId="77777777" w:rsidR="00737A61" w:rsidRPr="008D595A" w:rsidRDefault="00737A61" w:rsidP="00F756E1">
            <w:pPr>
              <w:spacing w:after="120"/>
              <w:jc w:val="both"/>
              <w:rPr>
                <w:rFonts w:ascii="Arial" w:hAnsi="Arial" w:cs="Arial"/>
                <w:b/>
                <w:color w:val="FF0000"/>
                <w:sz w:val="18"/>
              </w:rPr>
            </w:pPr>
            <w:r w:rsidRPr="008D595A">
              <w:rPr>
                <w:rFonts w:ascii="Arial" w:hAnsi="Arial" w:cs="Arial"/>
                <w:b/>
                <w:color w:val="FF0000"/>
                <w:sz w:val="18"/>
              </w:rPr>
              <w:t>Important Notice</w:t>
            </w:r>
          </w:p>
          <w:p w14:paraId="650E7CB6" w14:textId="77777777" w:rsidR="00737A61" w:rsidRPr="008D595A" w:rsidRDefault="00737A61" w:rsidP="00F756E1">
            <w:pPr>
              <w:spacing w:after="120"/>
              <w:jc w:val="both"/>
              <w:rPr>
                <w:rFonts w:ascii="Arial" w:hAnsi="Arial" w:cs="Arial"/>
                <w:sz w:val="18"/>
                <w:szCs w:val="22"/>
              </w:rPr>
            </w:pPr>
            <w:r w:rsidRPr="008D595A">
              <w:rPr>
                <w:rFonts w:ascii="Arial" w:hAnsi="Arial" w:cs="Arial"/>
                <w:sz w:val="18"/>
              </w:rPr>
              <w:t>The MPS reserves the right not to select a potential supplier who has been assessed as having grave weaknesses in one particular area covered by this tender, notwithstanding acceptable or even strong responses in all other areas.  This means where a Tenderer has been fully evaluated across all evaluated areas of the tender and they are ranked first (the successful compliant bidder) the MPS shall review all scored tender response questions.  “Grave weaknesses” are considered but not limited to low scores achieved through final moderated evaluations, for example where a score of 0 and or 20 (in accordance with MPS Marking Scheme) is awarded including more than once across a number of question.</w:t>
            </w:r>
          </w:p>
          <w:p w14:paraId="77D34594" w14:textId="77777777" w:rsidR="00737A61" w:rsidRPr="008D595A" w:rsidRDefault="00737A61" w:rsidP="00F756E1">
            <w:pPr>
              <w:spacing w:after="120"/>
              <w:jc w:val="both"/>
              <w:rPr>
                <w:rFonts w:ascii="Arial" w:hAnsi="Arial" w:cs="Arial"/>
                <w:sz w:val="18"/>
              </w:rPr>
            </w:pPr>
            <w:r w:rsidRPr="008D595A">
              <w:rPr>
                <w:rFonts w:ascii="Arial" w:hAnsi="Arial" w:cs="Arial"/>
                <w:sz w:val="18"/>
              </w:rPr>
              <w:t>Please read the Invitation To Tender (ITT) document carefully before completing this response document. There are mandatory requirements that the Tenderer need to adhere to in the completion and submission of their ITT responses. Late tenders will not be accepted unless a substantiated technical issue with the Portal prevents submission</w:t>
            </w:r>
          </w:p>
        </w:tc>
      </w:tr>
    </w:tbl>
    <w:p w14:paraId="25923D12" w14:textId="6C360989" w:rsidR="004C66AC" w:rsidRDefault="00B86B67" w:rsidP="00737A61">
      <w:pPr>
        <w:pStyle w:val="Subheading"/>
        <w:jc w:val="both"/>
        <w:rPr>
          <w:b/>
          <w:bCs/>
          <w:color w:val="002060"/>
          <w:sz w:val="24"/>
        </w:rPr>
      </w:pPr>
      <w:bookmarkStart w:id="17" w:name="_Toc187855364"/>
      <w:bookmarkEnd w:id="0"/>
      <w:r>
        <w:rPr>
          <w:b/>
          <w:bCs/>
          <w:color w:val="002060"/>
          <w:sz w:val="24"/>
        </w:rPr>
        <w:lastRenderedPageBreak/>
        <w:t xml:space="preserve">Social Value and </w:t>
      </w:r>
      <w:r w:rsidR="00503832">
        <w:rPr>
          <w:b/>
          <w:bCs/>
          <w:color w:val="002060"/>
          <w:sz w:val="24"/>
        </w:rPr>
        <w:t>S</w:t>
      </w:r>
      <w:r>
        <w:rPr>
          <w:b/>
          <w:bCs/>
          <w:color w:val="002060"/>
          <w:sz w:val="24"/>
        </w:rPr>
        <w:t xml:space="preserve">ustainability </w:t>
      </w:r>
      <w:r w:rsidR="00C3111A">
        <w:rPr>
          <w:b/>
          <w:bCs/>
          <w:color w:val="002060"/>
          <w:sz w:val="24"/>
        </w:rPr>
        <w:t xml:space="preserve">(SVS) </w:t>
      </w:r>
      <w:r>
        <w:rPr>
          <w:b/>
          <w:bCs/>
          <w:color w:val="002060"/>
          <w:sz w:val="24"/>
        </w:rPr>
        <w:t>Assessment:</w:t>
      </w:r>
      <w:r w:rsidR="004C66AC">
        <w:rPr>
          <w:b/>
          <w:bCs/>
          <w:color w:val="002060"/>
          <w:sz w:val="24"/>
        </w:rPr>
        <w:t xml:space="preserve"> </w:t>
      </w:r>
    </w:p>
    <w:bookmarkEnd w:id="17"/>
    <w:p w14:paraId="09EDB5F2" w14:textId="48FBB023" w:rsidR="00C3111A" w:rsidRDefault="00C3111A" w:rsidP="000B38E1">
      <w:pPr>
        <w:pStyle w:val="ListParagraph"/>
        <w:numPr>
          <w:ilvl w:val="0"/>
          <w:numId w:val="3"/>
        </w:numPr>
        <w:spacing w:before="120" w:after="120"/>
        <w:ind w:left="426" w:hanging="426"/>
        <w:jc w:val="both"/>
        <w:rPr>
          <w:rFonts w:ascii="Arial" w:hAnsi="Arial" w:cs="Arial"/>
          <w:color w:val="000000"/>
          <w:sz w:val="20"/>
          <w:szCs w:val="22"/>
          <w14:ligatures w14:val="standardContextual"/>
        </w:rPr>
      </w:pPr>
      <w:r w:rsidRPr="000B38E1">
        <w:rPr>
          <w:rFonts w:ascii="Arial" w:hAnsi="Arial" w:cs="Arial"/>
          <w:color w:val="000000"/>
          <w:sz w:val="20"/>
          <w:szCs w:val="22"/>
          <w14:ligatures w14:val="standardContextual"/>
        </w:rPr>
        <w:t xml:space="preserve">As part of MPS’ SVS commitments to be delivered through our contracts, the successful Tenderer must commit to delivering the SVS Outputs as outlined in full in </w:t>
      </w:r>
      <w:r w:rsidRPr="000B38E1">
        <w:rPr>
          <w:rFonts w:ascii="Arial" w:hAnsi="Arial" w:cs="Arial"/>
          <w:b/>
          <w:bCs/>
          <w:color w:val="000000"/>
          <w:sz w:val="20"/>
          <w:szCs w:val="22"/>
          <w14:ligatures w14:val="standardContextual"/>
        </w:rPr>
        <w:t>Table 1</w:t>
      </w:r>
      <w:r w:rsidR="000B38E1" w:rsidRPr="000B38E1">
        <w:rPr>
          <w:rFonts w:ascii="Arial" w:hAnsi="Arial" w:cs="Arial"/>
          <w:b/>
          <w:bCs/>
          <w:color w:val="000000"/>
          <w:sz w:val="20"/>
          <w:szCs w:val="22"/>
          <w14:ligatures w14:val="standardContextual"/>
        </w:rPr>
        <w:t>a</w:t>
      </w:r>
      <w:r w:rsidRPr="000B38E1">
        <w:rPr>
          <w:rFonts w:ascii="Arial" w:hAnsi="Arial" w:cs="Arial"/>
          <w:b/>
          <w:bCs/>
          <w:color w:val="000000"/>
          <w:sz w:val="20"/>
          <w:szCs w:val="22"/>
          <w14:ligatures w14:val="standardContextual"/>
        </w:rPr>
        <w:t>: SVS Activity Areas and Outputs</w:t>
      </w:r>
      <w:r w:rsidRPr="000B38E1">
        <w:rPr>
          <w:rFonts w:ascii="Arial" w:hAnsi="Arial" w:cs="Arial"/>
          <w:color w:val="000000"/>
          <w:sz w:val="20"/>
          <w:szCs w:val="22"/>
          <w14:ligatures w14:val="standardContextual"/>
        </w:rPr>
        <w:t xml:space="preserve"> below. </w:t>
      </w:r>
      <w:r w:rsidR="000B38E1" w:rsidRPr="000B38E1">
        <w:rPr>
          <w:rFonts w:ascii="Arial" w:hAnsi="Arial" w:cs="Arial"/>
          <w:color w:val="000000"/>
          <w:sz w:val="20"/>
          <w:szCs w:val="22"/>
          <w14:ligatures w14:val="standardContextual"/>
        </w:rPr>
        <w:t xml:space="preserve">This table </w:t>
      </w:r>
      <w:r w:rsidRPr="000B38E1">
        <w:rPr>
          <w:rFonts w:ascii="Arial" w:hAnsi="Arial" w:cs="Arial"/>
          <w:color w:val="000000"/>
          <w:sz w:val="20"/>
          <w:szCs w:val="22"/>
          <w14:ligatures w14:val="standardContextual"/>
        </w:rPr>
        <w:t>outlines the Activity Areas and Outputs regarding each Model Award Criteria (MAC) across the new Social Value Model missions.</w:t>
      </w:r>
    </w:p>
    <w:p w14:paraId="10A7696C" w14:textId="77777777" w:rsidR="000B38E1" w:rsidRPr="000B38E1" w:rsidRDefault="000B38E1" w:rsidP="000B38E1">
      <w:pPr>
        <w:pStyle w:val="ListParagraph"/>
        <w:spacing w:before="120" w:after="120"/>
        <w:ind w:left="426"/>
        <w:jc w:val="both"/>
        <w:rPr>
          <w:rFonts w:ascii="Arial" w:hAnsi="Arial" w:cs="Arial"/>
          <w:color w:val="000000"/>
          <w:sz w:val="20"/>
          <w:szCs w:val="22"/>
          <w14:ligatures w14:val="standardContextual"/>
        </w:rPr>
      </w:pPr>
    </w:p>
    <w:p w14:paraId="021E467F" w14:textId="77777777" w:rsidR="00FA6D73" w:rsidRDefault="00C3111A" w:rsidP="00B86B67">
      <w:pPr>
        <w:pStyle w:val="ListParagraph"/>
        <w:numPr>
          <w:ilvl w:val="0"/>
          <w:numId w:val="3"/>
        </w:numPr>
        <w:spacing w:before="120" w:after="120"/>
        <w:ind w:left="426" w:hanging="426"/>
        <w:jc w:val="both"/>
        <w:rPr>
          <w:rFonts w:ascii="Arial" w:hAnsi="Arial" w:cs="Arial"/>
          <w:color w:val="000000"/>
          <w:sz w:val="20"/>
          <w:szCs w:val="22"/>
          <w14:ligatures w14:val="standardContextual"/>
        </w:rPr>
      </w:pPr>
      <w:r w:rsidRPr="000B38E1">
        <w:rPr>
          <w:rFonts w:ascii="Arial" w:hAnsi="Arial" w:cs="Arial"/>
          <w:b/>
          <w:bCs/>
          <w:color w:val="000000"/>
          <w:sz w:val="20"/>
          <w:szCs w:val="22"/>
          <w14:ligatures w14:val="standardContextual"/>
        </w:rPr>
        <w:t>Table 1</w:t>
      </w:r>
      <w:r w:rsidR="000B38E1" w:rsidRPr="000B38E1">
        <w:rPr>
          <w:rFonts w:ascii="Arial" w:hAnsi="Arial" w:cs="Arial"/>
          <w:b/>
          <w:bCs/>
          <w:color w:val="000000"/>
          <w:sz w:val="20"/>
          <w:szCs w:val="22"/>
          <w14:ligatures w14:val="standardContextual"/>
        </w:rPr>
        <w:t>b</w:t>
      </w:r>
      <w:r w:rsidRPr="000B38E1">
        <w:rPr>
          <w:rFonts w:ascii="Arial" w:hAnsi="Arial" w:cs="Arial"/>
          <w:b/>
          <w:bCs/>
          <w:color w:val="000000"/>
          <w:sz w:val="20"/>
          <w:szCs w:val="22"/>
          <w14:ligatures w14:val="standardContextual"/>
        </w:rPr>
        <w:t>: SVS Activity Areas’ Definitions</w:t>
      </w:r>
      <w:r w:rsidRPr="000B38E1">
        <w:rPr>
          <w:rFonts w:ascii="Arial" w:hAnsi="Arial" w:cs="Arial"/>
          <w:color w:val="000000"/>
          <w:sz w:val="20"/>
          <w:szCs w:val="22"/>
          <w14:ligatures w14:val="standardContextual"/>
        </w:rPr>
        <w:t xml:space="preserve"> outlines the full definitions, explanations and associated links. </w:t>
      </w:r>
    </w:p>
    <w:p w14:paraId="5E832DBB" w14:textId="77777777" w:rsidR="00FA6D73" w:rsidRPr="00FA6D73" w:rsidRDefault="00FA6D73" w:rsidP="00FA6D73">
      <w:pPr>
        <w:pStyle w:val="ListParagraph"/>
        <w:rPr>
          <w:rFonts w:ascii="Arial" w:hAnsi="Arial" w:cs="Arial"/>
        </w:rPr>
      </w:pPr>
    </w:p>
    <w:p w14:paraId="0006CF43" w14:textId="474B6A8D" w:rsidR="008F2B4F" w:rsidRPr="008F2B4F" w:rsidRDefault="00B86B67" w:rsidP="00B86B67">
      <w:pPr>
        <w:pStyle w:val="ListParagraph"/>
        <w:numPr>
          <w:ilvl w:val="0"/>
          <w:numId w:val="3"/>
        </w:numPr>
        <w:spacing w:before="120" w:after="120"/>
        <w:ind w:left="426" w:hanging="426"/>
        <w:jc w:val="both"/>
        <w:rPr>
          <w:rFonts w:ascii="Arial" w:hAnsi="Arial" w:cs="Arial"/>
          <w:color w:val="000000"/>
          <w:sz w:val="20"/>
          <w:szCs w:val="22"/>
          <w14:ligatures w14:val="standardContextual"/>
        </w:rPr>
      </w:pPr>
      <w:r w:rsidRPr="008F2B4F">
        <w:rPr>
          <w:rFonts w:ascii="Arial" w:hAnsi="Arial" w:cs="Arial"/>
          <w:color w:val="000000"/>
          <w:sz w:val="20"/>
          <w:szCs w:val="22"/>
          <w14:ligatures w14:val="standardContextual"/>
        </w:rPr>
        <w:t xml:space="preserve">The SVS assessment questions and associated award criteria are contained within the </w:t>
      </w:r>
      <w:r w:rsidR="00FA6D73" w:rsidRPr="008F2B4F">
        <w:rPr>
          <w:rFonts w:ascii="Arial" w:hAnsi="Arial" w:cs="Arial"/>
          <w:b/>
          <w:bCs/>
          <w:color w:val="000000"/>
          <w:sz w:val="20"/>
          <w:szCs w:val="22"/>
          <w14:ligatures w14:val="standardContextual"/>
        </w:rPr>
        <w:t>Annex C - Social Value and Sustainability</w:t>
      </w:r>
      <w:r w:rsidRPr="008F2B4F">
        <w:rPr>
          <w:rFonts w:ascii="Arial" w:hAnsi="Arial" w:cs="Arial"/>
          <w:color w:val="000000"/>
          <w:sz w:val="20"/>
          <w:szCs w:val="22"/>
          <w14:ligatures w14:val="standardContextual"/>
        </w:rPr>
        <w:t xml:space="preserve">. The MPS will assess the </w:t>
      </w:r>
      <w:r w:rsidR="00FA6D73" w:rsidRPr="008F2B4F">
        <w:rPr>
          <w:rFonts w:ascii="Arial" w:hAnsi="Arial" w:cs="Arial"/>
          <w:color w:val="000000"/>
          <w:sz w:val="20"/>
          <w:szCs w:val="22"/>
          <w14:ligatures w14:val="standardContextual"/>
        </w:rPr>
        <w:t>Tenderer’s</w:t>
      </w:r>
      <w:r w:rsidRPr="008F2B4F">
        <w:rPr>
          <w:rFonts w:ascii="Arial" w:hAnsi="Arial" w:cs="Arial"/>
          <w:color w:val="000000"/>
          <w:sz w:val="20"/>
          <w:szCs w:val="22"/>
          <w14:ligatures w14:val="standardContextual"/>
        </w:rPr>
        <w:t xml:space="preserve"> response to </w:t>
      </w:r>
      <w:r w:rsidR="00FA6D73" w:rsidRPr="008F2B4F">
        <w:rPr>
          <w:rFonts w:ascii="Arial" w:hAnsi="Arial" w:cs="Arial"/>
          <w:color w:val="000000"/>
          <w:sz w:val="20"/>
          <w:szCs w:val="22"/>
          <w14:ligatures w14:val="standardContextual"/>
        </w:rPr>
        <w:t xml:space="preserve">the </w:t>
      </w:r>
      <w:r w:rsidR="008F2B4F" w:rsidRPr="008F2B4F">
        <w:rPr>
          <w:rFonts w:ascii="Arial" w:hAnsi="Arial" w:cs="Arial"/>
          <w:color w:val="000000"/>
          <w:sz w:val="20"/>
          <w:szCs w:val="22"/>
          <w14:ligatures w14:val="standardContextual"/>
        </w:rPr>
        <w:t>M</w:t>
      </w:r>
      <w:r w:rsidR="00FA6D73" w:rsidRPr="008F2B4F">
        <w:rPr>
          <w:rFonts w:ascii="Arial" w:hAnsi="Arial" w:cs="Arial"/>
          <w:color w:val="000000"/>
          <w:sz w:val="20"/>
          <w:szCs w:val="22"/>
          <w14:ligatures w14:val="standardContextual"/>
        </w:rPr>
        <w:t xml:space="preserve">arking </w:t>
      </w:r>
      <w:r w:rsidR="008F2B4F" w:rsidRPr="008F2B4F">
        <w:rPr>
          <w:rFonts w:ascii="Arial" w:hAnsi="Arial" w:cs="Arial"/>
          <w:color w:val="000000"/>
          <w:sz w:val="20"/>
          <w:szCs w:val="22"/>
          <w14:ligatures w14:val="standardContextual"/>
        </w:rPr>
        <w:t>Scheme</w:t>
      </w:r>
      <w:r w:rsidRPr="008F2B4F">
        <w:rPr>
          <w:rFonts w:ascii="Arial" w:hAnsi="Arial" w:cs="Arial"/>
          <w:color w:val="000000"/>
          <w:sz w:val="20"/>
          <w:szCs w:val="22"/>
          <w14:ligatures w14:val="standardContextual"/>
        </w:rPr>
        <w:t xml:space="preserve">. </w:t>
      </w:r>
    </w:p>
    <w:p w14:paraId="2049EFEB" w14:textId="77777777" w:rsidR="008F2B4F" w:rsidRPr="008F2B4F" w:rsidRDefault="008F2B4F" w:rsidP="008F2B4F">
      <w:pPr>
        <w:pStyle w:val="ListParagraph"/>
        <w:rPr>
          <w:rFonts w:ascii="Arial" w:hAnsi="Arial" w:cs="Arial"/>
          <w:color w:val="000000"/>
          <w:sz w:val="20"/>
          <w:szCs w:val="22"/>
          <w14:ligatures w14:val="standardContextual"/>
        </w:rPr>
      </w:pPr>
    </w:p>
    <w:p w14:paraId="64E91632" w14:textId="230488F4" w:rsidR="00B86B67" w:rsidRPr="008F2B4F" w:rsidRDefault="00B86B67" w:rsidP="00B86B67">
      <w:pPr>
        <w:pStyle w:val="ListParagraph"/>
        <w:numPr>
          <w:ilvl w:val="0"/>
          <w:numId w:val="3"/>
        </w:numPr>
        <w:spacing w:before="120" w:after="120"/>
        <w:ind w:left="426" w:hanging="426"/>
        <w:jc w:val="both"/>
        <w:rPr>
          <w:rFonts w:ascii="Arial" w:hAnsi="Arial" w:cs="Arial"/>
          <w:color w:val="000000"/>
          <w:sz w:val="20"/>
          <w:szCs w:val="22"/>
          <w14:ligatures w14:val="standardContextual"/>
        </w:rPr>
      </w:pPr>
      <w:r w:rsidRPr="008F2B4F">
        <w:rPr>
          <w:rFonts w:ascii="Arial" w:hAnsi="Arial" w:cs="Arial"/>
          <w:color w:val="000000"/>
          <w:sz w:val="20"/>
          <w:szCs w:val="22"/>
          <w14:ligatures w14:val="standardContextual"/>
        </w:rPr>
        <w:t xml:space="preserve">If the </w:t>
      </w:r>
      <w:r w:rsidR="008F2B4F" w:rsidRPr="008F2B4F">
        <w:rPr>
          <w:rFonts w:ascii="Arial" w:hAnsi="Arial" w:cs="Arial"/>
          <w:color w:val="000000"/>
          <w:sz w:val="20"/>
          <w:szCs w:val="22"/>
          <w14:ligatures w14:val="standardContextual"/>
        </w:rPr>
        <w:t>Tenderer</w:t>
      </w:r>
      <w:r w:rsidRPr="008F2B4F">
        <w:rPr>
          <w:rFonts w:ascii="Arial" w:hAnsi="Arial" w:cs="Arial"/>
          <w:color w:val="000000"/>
          <w:sz w:val="20"/>
          <w:szCs w:val="22"/>
          <w14:ligatures w14:val="standardContextual"/>
        </w:rPr>
        <w:t xml:space="preserve"> is successful at contract award stage, the</w:t>
      </w:r>
      <w:r w:rsidR="008F2B4F" w:rsidRPr="008F2B4F">
        <w:rPr>
          <w:rFonts w:ascii="Arial" w:hAnsi="Arial" w:cs="Arial"/>
          <w:color w:val="000000"/>
          <w:sz w:val="20"/>
          <w:szCs w:val="22"/>
          <w14:ligatures w14:val="standardContextual"/>
        </w:rPr>
        <w:t xml:space="preserve">ir </w:t>
      </w:r>
      <w:r w:rsidRPr="008F2B4F">
        <w:rPr>
          <w:rFonts w:ascii="Arial" w:hAnsi="Arial" w:cs="Arial"/>
          <w:color w:val="000000"/>
          <w:sz w:val="20"/>
          <w:szCs w:val="22"/>
          <w14:ligatures w14:val="standardContextual"/>
        </w:rPr>
        <w:t xml:space="preserve">response to </w:t>
      </w:r>
      <w:r w:rsidR="008F2B4F" w:rsidRPr="008F2B4F">
        <w:rPr>
          <w:rFonts w:ascii="Arial" w:hAnsi="Arial" w:cs="Arial"/>
          <w:color w:val="000000"/>
          <w:sz w:val="20"/>
          <w:szCs w:val="22"/>
          <w14:ligatures w14:val="standardContextual"/>
        </w:rPr>
        <w:t xml:space="preserve">the </w:t>
      </w:r>
      <w:r w:rsidR="008F2B4F" w:rsidRPr="00B566B9">
        <w:rPr>
          <w:rFonts w:ascii="Arial" w:hAnsi="Arial" w:cs="Arial"/>
          <w:b/>
          <w:bCs/>
          <w:color w:val="000000"/>
          <w:sz w:val="20"/>
          <w:szCs w:val="22"/>
          <w14:ligatures w14:val="standardContextual"/>
        </w:rPr>
        <w:t>Annex C - Social Value and Sustainability</w:t>
      </w:r>
      <w:r w:rsidR="008F2B4F" w:rsidRPr="008F2B4F">
        <w:rPr>
          <w:rFonts w:ascii="Arial" w:hAnsi="Arial" w:cs="Arial"/>
          <w:color w:val="000000"/>
          <w:sz w:val="20"/>
          <w:szCs w:val="22"/>
          <w14:ligatures w14:val="standardContextual"/>
        </w:rPr>
        <w:t xml:space="preserve"> </w:t>
      </w:r>
      <w:r w:rsidRPr="008F2B4F">
        <w:rPr>
          <w:rFonts w:ascii="Arial" w:hAnsi="Arial" w:cs="Arial"/>
          <w:color w:val="000000"/>
          <w:sz w:val="20"/>
          <w:szCs w:val="22"/>
          <w14:ligatures w14:val="standardContextual"/>
        </w:rPr>
        <w:t>will be utilised for the basis of subsequent reporting against the SVS Activity Areas and Outputs as part of contract management activity.</w:t>
      </w:r>
    </w:p>
    <w:p w14:paraId="2C8C3E81" w14:textId="77777777" w:rsidR="00B33EC3" w:rsidRDefault="00B33EC3" w:rsidP="00B33EC3">
      <w:pPr>
        <w:pStyle w:val="Tables"/>
      </w:pPr>
    </w:p>
    <w:p w14:paraId="170EB905" w14:textId="77777777" w:rsidR="00F83E9F" w:rsidRDefault="00F83E9F">
      <w:pPr>
        <w:spacing w:after="160" w:line="259" w:lineRule="auto"/>
        <w:rPr>
          <w:rFonts w:ascii="Arial" w:eastAsiaTheme="majorEastAsia" w:hAnsi="Arial" w:cs="Arial"/>
          <w:b/>
          <w:bCs/>
          <w:color w:val="002060"/>
          <w:szCs w:val="28"/>
        </w:rPr>
      </w:pPr>
      <w:r>
        <w:rPr>
          <w:b/>
          <w:bCs/>
          <w:color w:val="002060"/>
        </w:rPr>
        <w:br w:type="page"/>
      </w:r>
    </w:p>
    <w:p w14:paraId="7172B169" w14:textId="77777777" w:rsidR="00F83E9F" w:rsidRDefault="00F83E9F" w:rsidP="00E46D6B">
      <w:pPr>
        <w:pStyle w:val="Subheading"/>
        <w:rPr>
          <w:b/>
          <w:bCs/>
          <w:color w:val="002060"/>
          <w:sz w:val="24"/>
        </w:rPr>
        <w:sectPr w:rsidR="00F83E9F" w:rsidSect="00737A61">
          <w:headerReference w:type="default" r:id="rId9"/>
          <w:footerReference w:type="default" r:id="rId10"/>
          <w:pgSz w:w="11906" w:h="16838"/>
          <w:pgMar w:top="1440" w:right="1274" w:bottom="1440" w:left="1440" w:header="708" w:footer="708" w:gutter="0"/>
          <w:cols w:space="708"/>
          <w:docGrid w:linePitch="360"/>
        </w:sectPr>
      </w:pPr>
    </w:p>
    <w:p w14:paraId="73D8EDC5" w14:textId="575FF389" w:rsidR="00B33EC3" w:rsidRPr="00B33EC3" w:rsidRDefault="00B33EC3" w:rsidP="00E46D6B">
      <w:pPr>
        <w:pStyle w:val="Subheading"/>
        <w:rPr>
          <w:b/>
          <w:bCs/>
          <w:color w:val="002060"/>
          <w:sz w:val="24"/>
        </w:rPr>
      </w:pPr>
      <w:r w:rsidRPr="00B33EC3">
        <w:rPr>
          <w:b/>
          <w:bCs/>
          <w:color w:val="002060"/>
          <w:sz w:val="24"/>
        </w:rPr>
        <w:lastRenderedPageBreak/>
        <w:t>Table 1</w:t>
      </w:r>
      <w:r>
        <w:rPr>
          <w:b/>
          <w:bCs/>
          <w:color w:val="002060"/>
          <w:sz w:val="24"/>
        </w:rPr>
        <w:t>a</w:t>
      </w:r>
      <w:r w:rsidRPr="00B33EC3">
        <w:rPr>
          <w:b/>
          <w:bCs/>
          <w:color w:val="002060"/>
          <w:sz w:val="24"/>
        </w:rPr>
        <w:t>: Social Value and Sustainability (SVS) Activity Areas and Outputs</w:t>
      </w:r>
    </w:p>
    <w:p w14:paraId="588F28B0" w14:textId="7F58C41F" w:rsidR="001D0F37" w:rsidRPr="00E46D6B" w:rsidRDefault="00E46D6B" w:rsidP="00E46D6B">
      <w:pPr>
        <w:jc w:val="both"/>
        <w:rPr>
          <w:rFonts w:ascii="Arial" w:hAnsi="Arial" w:cs="Arial"/>
          <w:color w:val="000000"/>
          <w:sz w:val="20"/>
          <w:szCs w:val="22"/>
        </w:rPr>
      </w:pPr>
      <w:r w:rsidRPr="00E46D6B">
        <w:rPr>
          <w:rFonts w:ascii="Arial" w:hAnsi="Arial" w:cs="Arial"/>
          <w:color w:val="000000"/>
          <w:sz w:val="20"/>
          <w:szCs w:val="22"/>
        </w:rPr>
        <w:t>Please note: the MPS cannot and will not stipulate where Bidders source items from which are marked by an asterisk; only that they need to meet the required health and safety and ethical sourcing standards</w:t>
      </w:r>
      <w:r>
        <w:rPr>
          <w:rFonts w:ascii="Arial" w:hAnsi="Arial" w:cs="Arial"/>
          <w:color w:val="000000"/>
          <w:sz w:val="20"/>
          <w:szCs w:val="22"/>
        </w:rPr>
        <w:t>.</w:t>
      </w:r>
    </w:p>
    <w:p w14:paraId="7C63AB40" w14:textId="77777777" w:rsidR="001D0F37" w:rsidRDefault="001D0F37" w:rsidP="004C66AC">
      <w:pPr>
        <w:jc w:val="center"/>
        <w:rPr>
          <w:b/>
          <w:caps/>
        </w:rPr>
      </w:pPr>
    </w:p>
    <w:tbl>
      <w:tblPr>
        <w:tblStyle w:val="TableGrid"/>
        <w:tblW w:w="15451" w:type="dxa"/>
        <w:tblInd w:w="-751" w:type="dxa"/>
        <w:tblLayout w:type="fixed"/>
        <w:tblLook w:val="04A0" w:firstRow="1" w:lastRow="0" w:firstColumn="1" w:lastColumn="0" w:noHBand="0" w:noVBand="1"/>
      </w:tblPr>
      <w:tblGrid>
        <w:gridCol w:w="1560"/>
        <w:gridCol w:w="1559"/>
        <w:gridCol w:w="1701"/>
        <w:gridCol w:w="2281"/>
        <w:gridCol w:w="4665"/>
        <w:gridCol w:w="3685"/>
      </w:tblGrid>
      <w:tr w:rsidR="00766C9A" w:rsidRPr="003D7B44" w14:paraId="61ED7E53" w14:textId="77777777" w:rsidTr="00917E48">
        <w:tc>
          <w:tcPr>
            <w:tcW w:w="15451" w:type="dxa"/>
            <w:gridSpan w:val="6"/>
            <w:shd w:val="clear" w:color="auto" w:fill="8EAADB" w:themeFill="accent1" w:themeFillTint="99"/>
          </w:tcPr>
          <w:p w14:paraId="50A4EB8E" w14:textId="77777777" w:rsidR="00766C9A" w:rsidRPr="00622BEE" w:rsidRDefault="00766C9A" w:rsidP="00917E48">
            <w:pPr>
              <w:spacing w:before="60" w:after="60"/>
              <w:rPr>
                <w:rFonts w:ascii="Arial" w:hAnsi="Arial" w:cs="Arial"/>
              </w:rPr>
            </w:pPr>
            <w:r w:rsidRPr="00622BEE">
              <w:rPr>
                <w:rFonts w:ascii="Arial" w:hAnsi="Arial" w:cs="Arial"/>
                <w:b/>
                <w:bCs/>
              </w:rPr>
              <w:t xml:space="preserve">Mission 2: </w:t>
            </w:r>
            <w:r w:rsidRPr="00622BEE">
              <w:rPr>
                <w:rFonts w:ascii="Arial" w:hAnsi="Arial" w:cs="Arial"/>
              </w:rPr>
              <w:t>Making Britain a clean energy superpower through environmental sustainability.</w:t>
            </w:r>
          </w:p>
        </w:tc>
      </w:tr>
      <w:tr w:rsidR="00766C9A" w:rsidRPr="003D7B44" w14:paraId="668778E9" w14:textId="77777777" w:rsidTr="00917E48">
        <w:tc>
          <w:tcPr>
            <w:tcW w:w="1560" w:type="dxa"/>
            <w:shd w:val="clear" w:color="auto" w:fill="FFF2CC" w:themeFill="accent4" w:themeFillTint="33"/>
          </w:tcPr>
          <w:p w14:paraId="6F142AE3" w14:textId="77777777" w:rsidR="00766C9A" w:rsidRPr="003D7B44" w:rsidRDefault="00766C9A" w:rsidP="00917E48">
            <w:pPr>
              <w:spacing w:before="60" w:after="60"/>
              <w:rPr>
                <w:rFonts w:ascii="Arial" w:hAnsi="Arial" w:cs="Arial"/>
                <w:b/>
                <w:bCs/>
                <w:color w:val="000000"/>
                <w:sz w:val="20"/>
                <w:szCs w:val="20"/>
              </w:rPr>
            </w:pPr>
            <w:r w:rsidRPr="003D7B44">
              <w:rPr>
                <w:rFonts w:ascii="Arial" w:hAnsi="Arial" w:cs="Arial"/>
                <w:b/>
                <w:bCs/>
                <w:color w:val="000000"/>
                <w:sz w:val="20"/>
                <w:szCs w:val="20"/>
              </w:rPr>
              <w:t>Model Award Criteria (MAC)</w:t>
            </w:r>
          </w:p>
        </w:tc>
        <w:tc>
          <w:tcPr>
            <w:tcW w:w="1559" w:type="dxa"/>
            <w:shd w:val="clear" w:color="auto" w:fill="FFF2CC" w:themeFill="accent4" w:themeFillTint="33"/>
          </w:tcPr>
          <w:p w14:paraId="73BE4684" w14:textId="77777777" w:rsidR="00766C9A" w:rsidRPr="003D7B44" w:rsidRDefault="00766C9A" w:rsidP="00917E48">
            <w:pPr>
              <w:spacing w:before="60" w:after="60"/>
              <w:rPr>
                <w:rFonts w:ascii="Arial" w:hAnsi="Arial" w:cs="Arial"/>
                <w:b/>
                <w:bCs/>
                <w:color w:val="000000"/>
                <w:sz w:val="20"/>
                <w:szCs w:val="20"/>
              </w:rPr>
            </w:pPr>
            <w:r w:rsidRPr="003D7B44">
              <w:rPr>
                <w:rFonts w:ascii="Arial" w:hAnsi="Arial" w:cs="Arial"/>
                <w:b/>
                <w:bCs/>
                <w:color w:val="000000"/>
                <w:sz w:val="20"/>
                <w:szCs w:val="20"/>
              </w:rPr>
              <w:t>Standard Reporting Me</w:t>
            </w:r>
            <w:r>
              <w:rPr>
                <w:rFonts w:ascii="Arial" w:hAnsi="Arial" w:cs="Arial"/>
                <w:b/>
                <w:bCs/>
                <w:color w:val="000000"/>
                <w:sz w:val="20"/>
                <w:szCs w:val="20"/>
              </w:rPr>
              <w:t>tric</w:t>
            </w:r>
            <w:r w:rsidRPr="003D7B44">
              <w:rPr>
                <w:rFonts w:ascii="Arial" w:hAnsi="Arial" w:cs="Arial"/>
                <w:b/>
                <w:bCs/>
                <w:color w:val="000000"/>
                <w:sz w:val="20"/>
                <w:szCs w:val="20"/>
              </w:rPr>
              <w:t xml:space="preserve"> (SRM)</w:t>
            </w:r>
          </w:p>
        </w:tc>
        <w:tc>
          <w:tcPr>
            <w:tcW w:w="1701" w:type="dxa"/>
            <w:shd w:val="clear" w:color="auto" w:fill="FFF2CC" w:themeFill="accent4" w:themeFillTint="33"/>
          </w:tcPr>
          <w:p w14:paraId="65A42020" w14:textId="77777777" w:rsidR="00766C9A" w:rsidRPr="003D7B44" w:rsidRDefault="00766C9A" w:rsidP="00917E48">
            <w:pPr>
              <w:spacing w:before="60" w:after="60"/>
              <w:rPr>
                <w:rFonts w:ascii="Arial" w:hAnsi="Arial" w:cs="Arial"/>
                <w:sz w:val="20"/>
                <w:szCs w:val="20"/>
              </w:rPr>
            </w:pPr>
            <w:r w:rsidRPr="003D7B44">
              <w:rPr>
                <w:rFonts w:ascii="Arial" w:hAnsi="Arial" w:cs="Arial"/>
                <w:b/>
                <w:bCs/>
                <w:color w:val="000000"/>
                <w:sz w:val="20"/>
                <w:szCs w:val="20"/>
              </w:rPr>
              <w:t>Unique Reference Number (URN)</w:t>
            </w:r>
          </w:p>
        </w:tc>
        <w:tc>
          <w:tcPr>
            <w:tcW w:w="2281" w:type="dxa"/>
            <w:shd w:val="clear" w:color="auto" w:fill="FFF2CC" w:themeFill="accent4" w:themeFillTint="33"/>
          </w:tcPr>
          <w:p w14:paraId="6471544C" w14:textId="77777777" w:rsidR="00766C9A" w:rsidRPr="003D7B44" w:rsidRDefault="00766C9A" w:rsidP="00917E48">
            <w:pPr>
              <w:spacing w:before="60" w:after="60"/>
              <w:rPr>
                <w:rFonts w:ascii="Arial" w:hAnsi="Arial" w:cs="Arial"/>
                <w:sz w:val="20"/>
                <w:szCs w:val="20"/>
              </w:rPr>
            </w:pPr>
            <w:r w:rsidRPr="003D7B44">
              <w:rPr>
                <w:rFonts w:ascii="Arial" w:hAnsi="Arial" w:cs="Arial"/>
                <w:b/>
                <w:bCs/>
                <w:color w:val="000000"/>
                <w:sz w:val="20"/>
                <w:szCs w:val="20"/>
              </w:rPr>
              <w:t>SVS Activity Area</w:t>
            </w:r>
          </w:p>
        </w:tc>
        <w:tc>
          <w:tcPr>
            <w:tcW w:w="4665" w:type="dxa"/>
            <w:shd w:val="clear" w:color="auto" w:fill="FFF2CC" w:themeFill="accent4" w:themeFillTint="33"/>
          </w:tcPr>
          <w:p w14:paraId="6ABBDE4B" w14:textId="77777777" w:rsidR="00766C9A" w:rsidRPr="003D7B44" w:rsidRDefault="00766C9A" w:rsidP="00917E48">
            <w:pPr>
              <w:spacing w:before="60" w:after="60"/>
              <w:rPr>
                <w:rFonts w:ascii="Arial" w:hAnsi="Arial" w:cs="Arial"/>
                <w:b/>
                <w:bCs/>
                <w:color w:val="000000"/>
                <w:sz w:val="20"/>
                <w:szCs w:val="20"/>
              </w:rPr>
            </w:pPr>
            <w:r w:rsidRPr="003D7B44">
              <w:rPr>
                <w:rFonts w:ascii="Arial" w:hAnsi="Arial" w:cs="Arial"/>
                <w:b/>
                <w:bCs/>
                <w:color w:val="000000"/>
                <w:sz w:val="20"/>
                <w:szCs w:val="20"/>
              </w:rPr>
              <w:t xml:space="preserve">Brief overview </w:t>
            </w:r>
          </w:p>
          <w:p w14:paraId="444BD8A9" w14:textId="77777777" w:rsidR="00766C9A" w:rsidRPr="003D7B44" w:rsidRDefault="00766C9A" w:rsidP="00917E48">
            <w:pPr>
              <w:spacing w:before="60" w:after="60"/>
              <w:rPr>
                <w:rFonts w:ascii="Arial" w:hAnsi="Arial" w:cs="Arial"/>
                <w:sz w:val="20"/>
                <w:szCs w:val="20"/>
              </w:rPr>
            </w:pPr>
          </w:p>
        </w:tc>
        <w:tc>
          <w:tcPr>
            <w:tcW w:w="3685" w:type="dxa"/>
            <w:shd w:val="clear" w:color="auto" w:fill="FFF2CC" w:themeFill="accent4" w:themeFillTint="33"/>
          </w:tcPr>
          <w:p w14:paraId="2CC39713" w14:textId="77777777" w:rsidR="00766C9A" w:rsidRPr="003D7B44" w:rsidRDefault="00766C9A" w:rsidP="00917E48">
            <w:pPr>
              <w:spacing w:before="60" w:after="60"/>
              <w:rPr>
                <w:rFonts w:ascii="Arial" w:hAnsi="Arial" w:cs="Arial"/>
                <w:sz w:val="20"/>
                <w:szCs w:val="20"/>
              </w:rPr>
            </w:pPr>
            <w:r w:rsidRPr="003D7B44">
              <w:rPr>
                <w:rFonts w:ascii="Arial" w:hAnsi="Arial" w:cs="Arial"/>
                <w:b/>
                <w:bCs/>
                <w:color w:val="000000"/>
                <w:sz w:val="20"/>
                <w:szCs w:val="20"/>
              </w:rPr>
              <w:t>SVS Value</w:t>
            </w:r>
          </w:p>
        </w:tc>
      </w:tr>
      <w:tr w:rsidR="00766C9A" w:rsidRPr="003D7B44" w14:paraId="68677EBC" w14:textId="77777777" w:rsidTr="00917E48">
        <w:tc>
          <w:tcPr>
            <w:tcW w:w="1560" w:type="dxa"/>
          </w:tcPr>
          <w:p w14:paraId="763667A5" w14:textId="77777777" w:rsidR="00766C9A" w:rsidRPr="003D7B44" w:rsidRDefault="00766C9A" w:rsidP="00917E48">
            <w:pPr>
              <w:spacing w:before="60" w:after="60"/>
              <w:rPr>
                <w:rFonts w:ascii="Arial" w:hAnsi="Arial" w:cs="Arial"/>
                <w:sz w:val="20"/>
                <w:szCs w:val="20"/>
              </w:rPr>
            </w:pPr>
            <w:r w:rsidRPr="003D7B44">
              <w:rPr>
                <w:rFonts w:ascii="Arial" w:hAnsi="Arial" w:cs="Arial"/>
                <w:color w:val="000000"/>
                <w:sz w:val="20"/>
                <w:szCs w:val="20"/>
              </w:rPr>
              <w:t>MAC 4a PA</w:t>
            </w:r>
          </w:p>
        </w:tc>
        <w:tc>
          <w:tcPr>
            <w:tcW w:w="1559" w:type="dxa"/>
          </w:tcPr>
          <w:p w14:paraId="20331F74" w14:textId="77777777" w:rsidR="00766C9A" w:rsidRPr="003D7B44" w:rsidRDefault="00766C9A" w:rsidP="00917E48">
            <w:pPr>
              <w:spacing w:before="60" w:after="60"/>
              <w:rPr>
                <w:rFonts w:ascii="Arial" w:hAnsi="Arial" w:cs="Arial"/>
                <w:sz w:val="20"/>
                <w:szCs w:val="20"/>
              </w:rPr>
            </w:pPr>
            <w:r>
              <w:rPr>
                <w:rFonts w:ascii="Arial" w:hAnsi="Arial" w:cs="Arial"/>
                <w:color w:val="000000"/>
                <w:sz w:val="20"/>
                <w:szCs w:val="20"/>
              </w:rPr>
              <w:t>NA</w:t>
            </w:r>
          </w:p>
        </w:tc>
        <w:tc>
          <w:tcPr>
            <w:tcW w:w="1701" w:type="dxa"/>
          </w:tcPr>
          <w:p w14:paraId="644A5804" w14:textId="77777777" w:rsidR="00766C9A" w:rsidRPr="003D7B44" w:rsidRDefault="00766C9A" w:rsidP="00917E48">
            <w:pPr>
              <w:spacing w:before="60" w:after="60"/>
              <w:rPr>
                <w:rFonts w:ascii="Arial" w:hAnsi="Arial" w:cs="Arial"/>
                <w:sz w:val="20"/>
                <w:szCs w:val="20"/>
              </w:rPr>
            </w:pPr>
            <w:r w:rsidRPr="003D7B44">
              <w:rPr>
                <w:rFonts w:ascii="Arial" w:hAnsi="Arial" w:cs="Arial"/>
                <w:color w:val="000000"/>
                <w:sz w:val="20"/>
                <w:szCs w:val="20"/>
              </w:rPr>
              <w:t>4a-1</w:t>
            </w:r>
          </w:p>
        </w:tc>
        <w:tc>
          <w:tcPr>
            <w:tcW w:w="2281" w:type="dxa"/>
          </w:tcPr>
          <w:p w14:paraId="131F781C" w14:textId="77777777" w:rsidR="00766C9A" w:rsidRPr="003D7B44" w:rsidRDefault="00766C9A" w:rsidP="00917E48">
            <w:pPr>
              <w:spacing w:before="60" w:after="60"/>
              <w:rPr>
                <w:rFonts w:ascii="Arial" w:hAnsi="Arial" w:cs="Arial"/>
                <w:sz w:val="20"/>
                <w:szCs w:val="20"/>
              </w:rPr>
            </w:pPr>
            <w:r w:rsidRPr="003D7B44">
              <w:rPr>
                <w:rFonts w:ascii="Arial" w:hAnsi="Arial" w:cs="Arial"/>
                <w:color w:val="000000"/>
                <w:sz w:val="20"/>
                <w:szCs w:val="20"/>
              </w:rPr>
              <w:t xml:space="preserve">The Pan London Idling Action project </w:t>
            </w:r>
          </w:p>
        </w:tc>
        <w:tc>
          <w:tcPr>
            <w:tcW w:w="4665" w:type="dxa"/>
          </w:tcPr>
          <w:p w14:paraId="394F77CE" w14:textId="77777777" w:rsidR="00766C9A" w:rsidRPr="00E31BCA" w:rsidRDefault="00766C9A" w:rsidP="00917E48">
            <w:pPr>
              <w:spacing w:before="60" w:after="60"/>
              <w:rPr>
                <w:rFonts w:ascii="Arial" w:hAnsi="Arial" w:cs="Arial"/>
                <w:color w:val="000000"/>
                <w:sz w:val="20"/>
                <w:szCs w:val="20"/>
              </w:rPr>
            </w:pPr>
            <w:r w:rsidRPr="003D7B44">
              <w:rPr>
                <w:rFonts w:ascii="Arial" w:hAnsi="Arial" w:cs="Arial"/>
                <w:color w:val="000000"/>
                <w:sz w:val="20"/>
                <w:szCs w:val="20"/>
              </w:rPr>
              <w:t>Bidder to sign up to The Pan London Idling Action project</w:t>
            </w:r>
            <w:r>
              <w:rPr>
                <w:rFonts w:ascii="Arial" w:hAnsi="Arial" w:cs="Arial"/>
                <w:color w:val="000000"/>
                <w:sz w:val="20"/>
                <w:szCs w:val="20"/>
              </w:rPr>
              <w:t>.</w:t>
            </w:r>
          </w:p>
        </w:tc>
        <w:tc>
          <w:tcPr>
            <w:tcW w:w="3685" w:type="dxa"/>
          </w:tcPr>
          <w:p w14:paraId="38B3E511" w14:textId="77777777" w:rsidR="00766C9A" w:rsidRPr="00E31BCA" w:rsidRDefault="00766C9A" w:rsidP="00917E48">
            <w:pPr>
              <w:spacing w:before="60" w:after="60"/>
              <w:rPr>
                <w:rFonts w:ascii="Arial" w:eastAsia="Calibri" w:hAnsi="Arial" w:cs="Arial"/>
                <w:color w:val="000000"/>
                <w:sz w:val="20"/>
                <w:szCs w:val="20"/>
              </w:rPr>
            </w:pPr>
            <w:r w:rsidRPr="003D7B44">
              <w:rPr>
                <w:rFonts w:ascii="Arial" w:eastAsia="Calibri" w:hAnsi="Arial" w:cs="Arial"/>
                <w:color w:val="000000"/>
                <w:sz w:val="20"/>
                <w:szCs w:val="20"/>
              </w:rPr>
              <w:t>1 SVS Output</w:t>
            </w:r>
            <w:r w:rsidRPr="003D7B44">
              <w:rPr>
                <w:rFonts w:ascii="Arial" w:eastAsia="Calibri" w:hAnsi="Arial" w:cs="Arial"/>
                <w:color w:val="000000"/>
                <w:sz w:val="20"/>
                <w:szCs w:val="20"/>
              </w:rPr>
              <w:br/>
              <w:t>For signing up (Must not already have signed up)</w:t>
            </w:r>
          </w:p>
        </w:tc>
      </w:tr>
    </w:tbl>
    <w:p w14:paraId="6DBE66C6" w14:textId="77777777" w:rsidR="00904E84" w:rsidRDefault="00904E84" w:rsidP="004C66AC">
      <w:pPr>
        <w:jc w:val="center"/>
        <w:rPr>
          <w:b/>
          <w:caps/>
        </w:rPr>
      </w:pPr>
    </w:p>
    <w:tbl>
      <w:tblPr>
        <w:tblStyle w:val="TableGrid"/>
        <w:tblW w:w="15451" w:type="dxa"/>
        <w:tblInd w:w="-751" w:type="dxa"/>
        <w:tblLook w:val="04A0" w:firstRow="1" w:lastRow="0" w:firstColumn="1" w:lastColumn="0" w:noHBand="0" w:noVBand="1"/>
      </w:tblPr>
      <w:tblGrid>
        <w:gridCol w:w="1560"/>
        <w:gridCol w:w="1559"/>
        <w:gridCol w:w="1701"/>
        <w:gridCol w:w="2268"/>
        <w:gridCol w:w="4536"/>
        <w:gridCol w:w="3827"/>
      </w:tblGrid>
      <w:tr w:rsidR="000D406C" w:rsidRPr="003D7B44" w14:paraId="47ED891A" w14:textId="77777777" w:rsidTr="00917E48">
        <w:tc>
          <w:tcPr>
            <w:tcW w:w="15451" w:type="dxa"/>
            <w:gridSpan w:val="6"/>
            <w:shd w:val="clear" w:color="auto" w:fill="8EAADB" w:themeFill="accent1" w:themeFillTint="99"/>
          </w:tcPr>
          <w:p w14:paraId="6148FBB7" w14:textId="77777777" w:rsidR="000D406C" w:rsidRPr="000F5049" w:rsidRDefault="000D406C" w:rsidP="00917E48">
            <w:pPr>
              <w:spacing w:before="60" w:after="60"/>
              <w:rPr>
                <w:rFonts w:ascii="Arial" w:hAnsi="Arial" w:cs="Arial"/>
              </w:rPr>
            </w:pPr>
            <w:r w:rsidRPr="00622BEE">
              <w:rPr>
                <w:rFonts w:ascii="Arial" w:hAnsi="Arial" w:cs="Arial"/>
                <w:b/>
                <w:bCs/>
              </w:rPr>
              <w:t xml:space="preserve">Mission 5: </w:t>
            </w:r>
            <w:r w:rsidRPr="00622BEE">
              <w:rPr>
                <w:rFonts w:ascii="Arial" w:hAnsi="Arial" w:cs="Arial"/>
              </w:rPr>
              <w:t>Build an NHS fit for the future by improving physical and mental wellbeing in the supply chain and communities we serve.</w:t>
            </w:r>
          </w:p>
        </w:tc>
      </w:tr>
      <w:tr w:rsidR="000D406C" w:rsidRPr="003D7B44" w14:paraId="2BB7B1C5" w14:textId="77777777" w:rsidTr="00917E48">
        <w:tc>
          <w:tcPr>
            <w:tcW w:w="1560" w:type="dxa"/>
            <w:shd w:val="clear" w:color="auto" w:fill="FFF2CC" w:themeFill="accent4" w:themeFillTint="33"/>
          </w:tcPr>
          <w:p w14:paraId="7EB17A51" w14:textId="77777777" w:rsidR="000D406C" w:rsidRPr="005755F8" w:rsidRDefault="000D406C" w:rsidP="00917E48">
            <w:pPr>
              <w:spacing w:before="60" w:after="60"/>
              <w:rPr>
                <w:rFonts w:ascii="Arial" w:hAnsi="Arial" w:cs="Arial"/>
                <w:b/>
                <w:bCs/>
                <w:sz w:val="20"/>
                <w:szCs w:val="20"/>
              </w:rPr>
            </w:pPr>
            <w:r w:rsidRPr="005755F8">
              <w:rPr>
                <w:rFonts w:ascii="Arial" w:hAnsi="Arial" w:cs="Arial"/>
                <w:b/>
                <w:bCs/>
                <w:sz w:val="20"/>
                <w:szCs w:val="20"/>
              </w:rPr>
              <w:t>Model Award Criteria (MAC)</w:t>
            </w:r>
          </w:p>
        </w:tc>
        <w:tc>
          <w:tcPr>
            <w:tcW w:w="1559" w:type="dxa"/>
            <w:shd w:val="clear" w:color="auto" w:fill="FFF2CC" w:themeFill="accent4" w:themeFillTint="33"/>
          </w:tcPr>
          <w:p w14:paraId="79AE6763" w14:textId="77777777" w:rsidR="000D406C" w:rsidRPr="005755F8" w:rsidRDefault="000D406C" w:rsidP="00917E48">
            <w:pPr>
              <w:spacing w:before="60" w:after="60"/>
              <w:rPr>
                <w:rFonts w:ascii="Arial" w:hAnsi="Arial" w:cs="Arial"/>
                <w:b/>
                <w:bCs/>
                <w:sz w:val="20"/>
                <w:szCs w:val="20"/>
              </w:rPr>
            </w:pPr>
            <w:r w:rsidRPr="005755F8">
              <w:rPr>
                <w:rFonts w:ascii="Arial" w:hAnsi="Arial" w:cs="Arial"/>
                <w:b/>
                <w:bCs/>
                <w:color w:val="000000"/>
                <w:sz w:val="20"/>
                <w:szCs w:val="20"/>
              </w:rPr>
              <w:t>Standard Reporting Metric (SRM)</w:t>
            </w:r>
          </w:p>
        </w:tc>
        <w:tc>
          <w:tcPr>
            <w:tcW w:w="1701" w:type="dxa"/>
            <w:shd w:val="clear" w:color="auto" w:fill="FFF2CC" w:themeFill="accent4" w:themeFillTint="33"/>
          </w:tcPr>
          <w:p w14:paraId="32C14BCF" w14:textId="77777777" w:rsidR="000D406C" w:rsidRPr="005755F8" w:rsidRDefault="000D406C" w:rsidP="00917E48">
            <w:pPr>
              <w:spacing w:before="60" w:after="60"/>
              <w:rPr>
                <w:rFonts w:ascii="Arial" w:hAnsi="Arial" w:cs="Arial"/>
                <w:b/>
                <w:bCs/>
                <w:sz w:val="20"/>
                <w:szCs w:val="20"/>
              </w:rPr>
            </w:pPr>
            <w:r w:rsidRPr="005755F8">
              <w:rPr>
                <w:rFonts w:ascii="Arial" w:hAnsi="Arial" w:cs="Arial"/>
                <w:b/>
                <w:bCs/>
                <w:sz w:val="20"/>
                <w:szCs w:val="20"/>
              </w:rPr>
              <w:t>Unique Reference Number (URN)</w:t>
            </w:r>
          </w:p>
        </w:tc>
        <w:tc>
          <w:tcPr>
            <w:tcW w:w="2268" w:type="dxa"/>
            <w:shd w:val="clear" w:color="auto" w:fill="FFF2CC" w:themeFill="accent4" w:themeFillTint="33"/>
          </w:tcPr>
          <w:p w14:paraId="3C860E01" w14:textId="77777777" w:rsidR="000D406C" w:rsidRPr="005755F8" w:rsidRDefault="000D406C" w:rsidP="00917E48">
            <w:pPr>
              <w:spacing w:before="60" w:after="60"/>
              <w:rPr>
                <w:rFonts w:ascii="Arial" w:hAnsi="Arial" w:cs="Arial"/>
                <w:b/>
                <w:bCs/>
                <w:sz w:val="20"/>
                <w:szCs w:val="20"/>
              </w:rPr>
            </w:pPr>
            <w:r w:rsidRPr="005755F8">
              <w:rPr>
                <w:rFonts w:ascii="Arial" w:hAnsi="Arial" w:cs="Arial"/>
                <w:b/>
                <w:bCs/>
                <w:sz w:val="20"/>
                <w:szCs w:val="20"/>
              </w:rPr>
              <w:t>SVS Activity Area</w:t>
            </w:r>
          </w:p>
        </w:tc>
        <w:tc>
          <w:tcPr>
            <w:tcW w:w="4536" w:type="dxa"/>
            <w:shd w:val="clear" w:color="auto" w:fill="FFF2CC" w:themeFill="accent4" w:themeFillTint="33"/>
          </w:tcPr>
          <w:p w14:paraId="7DD412FA" w14:textId="77777777" w:rsidR="000D406C" w:rsidRPr="005755F8" w:rsidRDefault="000D406C" w:rsidP="00917E48">
            <w:pPr>
              <w:spacing w:before="60" w:after="60"/>
              <w:rPr>
                <w:rFonts w:ascii="Arial" w:hAnsi="Arial" w:cs="Arial"/>
                <w:b/>
                <w:bCs/>
                <w:sz w:val="20"/>
                <w:szCs w:val="20"/>
              </w:rPr>
            </w:pPr>
            <w:r w:rsidRPr="005755F8">
              <w:rPr>
                <w:rFonts w:ascii="Arial" w:hAnsi="Arial" w:cs="Arial"/>
                <w:b/>
                <w:bCs/>
                <w:sz w:val="20"/>
                <w:szCs w:val="20"/>
              </w:rPr>
              <w:t>Brief overview</w:t>
            </w:r>
          </w:p>
          <w:p w14:paraId="4BE90020" w14:textId="77777777" w:rsidR="000D406C" w:rsidRPr="005755F8" w:rsidRDefault="000D406C" w:rsidP="00917E48">
            <w:pPr>
              <w:spacing w:before="60" w:after="60"/>
              <w:rPr>
                <w:rFonts w:ascii="Arial" w:hAnsi="Arial" w:cs="Arial"/>
                <w:b/>
                <w:bCs/>
                <w:sz w:val="20"/>
                <w:szCs w:val="20"/>
              </w:rPr>
            </w:pPr>
          </w:p>
        </w:tc>
        <w:tc>
          <w:tcPr>
            <w:tcW w:w="3827" w:type="dxa"/>
            <w:shd w:val="clear" w:color="auto" w:fill="FFF2CC" w:themeFill="accent4" w:themeFillTint="33"/>
          </w:tcPr>
          <w:p w14:paraId="44B6967A" w14:textId="77777777" w:rsidR="000D406C" w:rsidRPr="005755F8" w:rsidRDefault="000D406C" w:rsidP="00917E48">
            <w:pPr>
              <w:spacing w:before="60" w:after="60"/>
              <w:rPr>
                <w:rFonts w:ascii="Arial" w:hAnsi="Arial" w:cs="Arial"/>
                <w:b/>
                <w:bCs/>
                <w:sz w:val="20"/>
                <w:szCs w:val="20"/>
              </w:rPr>
            </w:pPr>
            <w:r w:rsidRPr="005755F8">
              <w:rPr>
                <w:rFonts w:ascii="Arial" w:hAnsi="Arial" w:cs="Arial"/>
                <w:b/>
                <w:bCs/>
                <w:sz w:val="20"/>
                <w:szCs w:val="20"/>
              </w:rPr>
              <w:t>SVS Value</w:t>
            </w:r>
          </w:p>
        </w:tc>
      </w:tr>
      <w:tr w:rsidR="000D406C" w:rsidRPr="003D7B44" w14:paraId="5E3108B3" w14:textId="77777777" w:rsidTr="00917E48">
        <w:tc>
          <w:tcPr>
            <w:tcW w:w="1560" w:type="dxa"/>
          </w:tcPr>
          <w:p w14:paraId="412B982D" w14:textId="77777777" w:rsidR="000D406C" w:rsidRPr="005755F8" w:rsidRDefault="000D406C" w:rsidP="00917E48">
            <w:pPr>
              <w:pStyle w:val="Level2"/>
              <w:tabs>
                <w:tab w:val="clear" w:pos="851"/>
                <w:tab w:val="left" w:pos="2805"/>
              </w:tabs>
              <w:spacing w:before="60" w:after="60"/>
              <w:ind w:left="0" w:right="118" w:firstLine="0"/>
              <w:jc w:val="left"/>
            </w:pPr>
            <w:r w:rsidRPr="005755F8">
              <w:rPr>
                <w:color w:val="000000"/>
              </w:rPr>
              <w:t>MAC 8a</w:t>
            </w:r>
          </w:p>
        </w:tc>
        <w:tc>
          <w:tcPr>
            <w:tcW w:w="1559" w:type="dxa"/>
          </w:tcPr>
          <w:p w14:paraId="4079C65F" w14:textId="77777777" w:rsidR="000D406C" w:rsidRPr="005755F8" w:rsidRDefault="000D406C" w:rsidP="00917E48">
            <w:pPr>
              <w:pStyle w:val="Level2"/>
              <w:tabs>
                <w:tab w:val="clear" w:pos="851"/>
                <w:tab w:val="left" w:pos="2805"/>
              </w:tabs>
              <w:spacing w:before="60" w:after="60"/>
              <w:ind w:left="0" w:right="118" w:firstLine="0"/>
              <w:jc w:val="left"/>
            </w:pPr>
            <w:r w:rsidRPr="005755F8">
              <w:rPr>
                <w:color w:val="000000"/>
              </w:rPr>
              <w:t>8ai</w:t>
            </w:r>
          </w:p>
        </w:tc>
        <w:tc>
          <w:tcPr>
            <w:tcW w:w="1701" w:type="dxa"/>
          </w:tcPr>
          <w:p w14:paraId="1ABC040E" w14:textId="77777777" w:rsidR="000D406C" w:rsidRPr="005755F8" w:rsidRDefault="000D406C" w:rsidP="00917E48">
            <w:pPr>
              <w:pStyle w:val="Level2"/>
              <w:tabs>
                <w:tab w:val="clear" w:pos="851"/>
                <w:tab w:val="left" w:pos="2805"/>
              </w:tabs>
              <w:spacing w:before="60" w:after="60"/>
              <w:ind w:left="0" w:right="118" w:firstLine="0"/>
              <w:jc w:val="left"/>
            </w:pPr>
            <w:r w:rsidRPr="005755F8">
              <w:rPr>
                <w:color w:val="000000"/>
              </w:rPr>
              <w:t>8a-1</w:t>
            </w:r>
          </w:p>
        </w:tc>
        <w:tc>
          <w:tcPr>
            <w:tcW w:w="2268" w:type="dxa"/>
          </w:tcPr>
          <w:p w14:paraId="39F442E3" w14:textId="77777777" w:rsidR="000D406C" w:rsidRPr="005755F8" w:rsidRDefault="000D406C" w:rsidP="00917E48">
            <w:pPr>
              <w:pStyle w:val="Level2"/>
              <w:tabs>
                <w:tab w:val="clear" w:pos="851"/>
                <w:tab w:val="left" w:pos="2805"/>
              </w:tabs>
              <w:spacing w:before="60" w:after="60"/>
              <w:ind w:left="0" w:right="118" w:firstLine="0"/>
              <w:jc w:val="left"/>
            </w:pPr>
            <w:r w:rsidRPr="005755F8">
              <w:t xml:space="preserve">Occupational Health (OH) Support </w:t>
            </w:r>
          </w:p>
        </w:tc>
        <w:tc>
          <w:tcPr>
            <w:tcW w:w="4536" w:type="dxa"/>
          </w:tcPr>
          <w:p w14:paraId="6AB6C1F9" w14:textId="77777777" w:rsidR="000D406C" w:rsidRPr="005755F8" w:rsidRDefault="000D406C" w:rsidP="00917E48">
            <w:pPr>
              <w:spacing w:before="60" w:after="60"/>
              <w:rPr>
                <w:rFonts w:ascii="Arial" w:hAnsi="Arial" w:cs="Arial"/>
                <w:sz w:val="20"/>
                <w:szCs w:val="20"/>
              </w:rPr>
            </w:pPr>
            <w:r w:rsidRPr="005755F8">
              <w:rPr>
                <w:rFonts w:ascii="Arial" w:hAnsi="Arial" w:cs="Arial"/>
                <w:sz w:val="20"/>
                <w:szCs w:val="20"/>
              </w:rPr>
              <w:t xml:space="preserve">Bidder to commit to provide </w:t>
            </w:r>
            <w:r>
              <w:rPr>
                <w:rFonts w:ascii="Arial" w:hAnsi="Arial" w:cs="Arial"/>
                <w:sz w:val="20"/>
                <w:szCs w:val="20"/>
              </w:rPr>
              <w:t>OH support/access via their own OH arrangement (internal or external) to the personnel of a Small and Medium Enterprise (SME). The support/ access provided can be tailored to what the Bi</w:t>
            </w:r>
            <w:r w:rsidRPr="005755F8">
              <w:rPr>
                <w:rFonts w:ascii="Arial" w:hAnsi="Arial" w:cs="Arial"/>
                <w:sz w:val="20"/>
                <w:szCs w:val="20"/>
              </w:rPr>
              <w:t>dder determine</w:t>
            </w:r>
            <w:r>
              <w:rPr>
                <w:rFonts w:ascii="Arial" w:hAnsi="Arial" w:cs="Arial"/>
                <w:sz w:val="20"/>
                <w:szCs w:val="20"/>
              </w:rPr>
              <w:t>s proportionate.</w:t>
            </w:r>
          </w:p>
        </w:tc>
        <w:tc>
          <w:tcPr>
            <w:tcW w:w="3827" w:type="dxa"/>
          </w:tcPr>
          <w:p w14:paraId="003C608D" w14:textId="77777777" w:rsidR="000D406C" w:rsidRPr="005755F8" w:rsidRDefault="000D406C" w:rsidP="00917E48">
            <w:pPr>
              <w:pStyle w:val="Level2"/>
              <w:tabs>
                <w:tab w:val="clear" w:pos="851"/>
                <w:tab w:val="left" w:pos="2805"/>
              </w:tabs>
              <w:spacing w:before="60" w:after="60"/>
              <w:ind w:left="0" w:right="119" w:firstLine="0"/>
              <w:jc w:val="left"/>
            </w:pPr>
            <w:r w:rsidRPr="005755F8">
              <w:t xml:space="preserve">1 SVS Output </w:t>
            </w:r>
          </w:p>
          <w:p w14:paraId="2750B4B3" w14:textId="77777777" w:rsidR="000D406C" w:rsidRPr="005755F8" w:rsidRDefault="000D406C" w:rsidP="00917E48">
            <w:pPr>
              <w:pStyle w:val="Level2"/>
              <w:tabs>
                <w:tab w:val="clear" w:pos="851"/>
                <w:tab w:val="left" w:pos="2805"/>
              </w:tabs>
              <w:spacing w:before="60" w:after="60"/>
              <w:ind w:left="0" w:right="119" w:firstLine="0"/>
              <w:jc w:val="left"/>
            </w:pPr>
            <w:r w:rsidRPr="005755F8">
              <w:t>For each 50 staff members signed up</w:t>
            </w:r>
          </w:p>
        </w:tc>
      </w:tr>
    </w:tbl>
    <w:p w14:paraId="13FB763D" w14:textId="77777777" w:rsidR="00C2246C" w:rsidRDefault="00C2246C" w:rsidP="004C66AC">
      <w:pPr>
        <w:jc w:val="center"/>
        <w:rPr>
          <w:b/>
          <w:caps/>
        </w:rPr>
      </w:pPr>
    </w:p>
    <w:p w14:paraId="18F53600" w14:textId="77777777" w:rsidR="00C2246C" w:rsidRDefault="00C2246C" w:rsidP="004C66AC">
      <w:pPr>
        <w:jc w:val="center"/>
        <w:rPr>
          <w:b/>
          <w:caps/>
        </w:rPr>
      </w:pPr>
    </w:p>
    <w:p w14:paraId="4615EA32" w14:textId="13174068" w:rsidR="002B40EA" w:rsidRDefault="002B40EA" w:rsidP="002B40EA">
      <w:pPr>
        <w:pStyle w:val="Subheading"/>
        <w:rPr>
          <w:b/>
          <w:bCs/>
          <w:color w:val="002060"/>
          <w:sz w:val="24"/>
        </w:rPr>
      </w:pPr>
      <w:r w:rsidRPr="002B40EA">
        <w:rPr>
          <w:b/>
          <w:bCs/>
          <w:color w:val="002060"/>
          <w:sz w:val="24"/>
        </w:rPr>
        <w:t>Table 1</w:t>
      </w:r>
      <w:r w:rsidR="009326CA">
        <w:rPr>
          <w:b/>
          <w:bCs/>
          <w:color w:val="002060"/>
          <w:sz w:val="24"/>
        </w:rPr>
        <w:t>b</w:t>
      </w:r>
      <w:r w:rsidRPr="002B40EA">
        <w:rPr>
          <w:b/>
          <w:bCs/>
          <w:color w:val="002060"/>
          <w:sz w:val="24"/>
        </w:rPr>
        <w:t>: SVS Activity Areas’ Definitions</w:t>
      </w:r>
    </w:p>
    <w:tbl>
      <w:tblPr>
        <w:tblW w:w="15402"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3355"/>
      </w:tblGrid>
      <w:tr w:rsidR="00566C14" w:rsidRPr="00566C14" w14:paraId="76205990" w14:textId="77777777" w:rsidTr="00917E48">
        <w:trPr>
          <w:trHeight w:val="20"/>
        </w:trPr>
        <w:tc>
          <w:tcPr>
            <w:tcW w:w="2047" w:type="dxa"/>
            <w:shd w:val="clear" w:color="auto" w:fill="EAEDF1" w:themeFill="text2" w:themeFillTint="1A"/>
          </w:tcPr>
          <w:p w14:paraId="5663DBBA" w14:textId="77777777" w:rsidR="00566C14" w:rsidRPr="00566C14" w:rsidRDefault="00566C14" w:rsidP="00917E48">
            <w:pPr>
              <w:pStyle w:val="NoSpacing"/>
              <w:spacing w:before="60" w:after="60"/>
              <w:ind w:right="697"/>
              <w:rPr>
                <w:rFonts w:ascii="Arial" w:hAnsi="Arial" w:cs="Arial"/>
                <w:b/>
                <w:sz w:val="20"/>
                <w:szCs w:val="20"/>
              </w:rPr>
            </w:pPr>
            <w:r w:rsidRPr="00566C14">
              <w:rPr>
                <w:rFonts w:ascii="Arial" w:hAnsi="Arial" w:cs="Arial"/>
                <w:b/>
                <w:sz w:val="20"/>
                <w:szCs w:val="20"/>
              </w:rPr>
              <w:t>Activity</w:t>
            </w:r>
          </w:p>
        </w:tc>
        <w:tc>
          <w:tcPr>
            <w:tcW w:w="13355" w:type="dxa"/>
            <w:shd w:val="clear" w:color="auto" w:fill="EAEDF1" w:themeFill="text2" w:themeFillTint="1A"/>
          </w:tcPr>
          <w:p w14:paraId="4FF1463C" w14:textId="77777777" w:rsidR="00566C14" w:rsidRPr="00566C14" w:rsidRDefault="00566C14" w:rsidP="00917E48">
            <w:pPr>
              <w:pStyle w:val="NoSpacing"/>
              <w:spacing w:before="60" w:after="60"/>
              <w:ind w:right="697"/>
              <w:rPr>
                <w:rFonts w:ascii="Arial" w:hAnsi="Arial" w:cs="Arial"/>
                <w:b/>
                <w:sz w:val="20"/>
                <w:szCs w:val="20"/>
              </w:rPr>
            </w:pPr>
            <w:r w:rsidRPr="00566C14">
              <w:rPr>
                <w:rFonts w:ascii="Arial" w:hAnsi="Arial" w:cs="Arial"/>
                <w:b/>
                <w:sz w:val="20"/>
                <w:szCs w:val="20"/>
              </w:rPr>
              <w:t>Definition and explanation</w:t>
            </w:r>
          </w:p>
        </w:tc>
      </w:tr>
      <w:tr w:rsidR="00566C14" w:rsidRPr="00566C14" w14:paraId="3FE05534" w14:textId="77777777" w:rsidTr="00917E48">
        <w:trPr>
          <w:trHeight w:val="20"/>
        </w:trPr>
        <w:tc>
          <w:tcPr>
            <w:tcW w:w="2047" w:type="dxa"/>
          </w:tcPr>
          <w:p w14:paraId="43D9A10F" w14:textId="77777777" w:rsidR="00566C14" w:rsidRPr="00DE67E0" w:rsidRDefault="00566C14" w:rsidP="00917E48">
            <w:pPr>
              <w:spacing w:before="60" w:after="60"/>
              <w:ind w:right="118"/>
              <w:rPr>
                <w:rFonts w:ascii="Arial" w:hAnsi="Arial" w:cs="Arial"/>
                <w:bCs/>
                <w:sz w:val="20"/>
                <w:szCs w:val="20"/>
                <w:highlight w:val="lightGray"/>
              </w:rPr>
            </w:pPr>
            <w:r w:rsidRPr="007A65C0">
              <w:rPr>
                <w:rFonts w:ascii="Arial" w:hAnsi="Arial" w:cs="Arial"/>
                <w:bCs/>
                <w:sz w:val="20"/>
                <w:szCs w:val="20"/>
              </w:rPr>
              <w:t xml:space="preserve">Occupational Health (OH) Support </w:t>
            </w:r>
          </w:p>
        </w:tc>
        <w:tc>
          <w:tcPr>
            <w:tcW w:w="13355" w:type="dxa"/>
          </w:tcPr>
          <w:p w14:paraId="0F04A2A5" w14:textId="77777777" w:rsidR="00566C14" w:rsidRPr="00566C14" w:rsidRDefault="00566C14" w:rsidP="00917E48">
            <w:pPr>
              <w:pStyle w:val="NoSpacing"/>
              <w:spacing w:before="60" w:after="60"/>
              <w:ind w:right="174"/>
              <w:rPr>
                <w:rFonts w:ascii="Arial" w:hAnsi="Arial" w:cs="Arial"/>
                <w:color w:val="000000"/>
                <w:sz w:val="20"/>
                <w:szCs w:val="20"/>
              </w:rPr>
            </w:pPr>
            <w:r w:rsidRPr="00566C14">
              <w:rPr>
                <w:rFonts w:ascii="Arial" w:hAnsi="Arial" w:cs="Arial"/>
                <w:sz w:val="20"/>
                <w:szCs w:val="20"/>
              </w:rPr>
              <w:t xml:space="preserve">Bidder to commit to provide OH support/access via their own OH arrangement (internal or external) to the personnel of a Small and Medium Enterprise (SME). The support/ access provided can be tailored to what the Bidder determines proportionate, and which SME aligns with the Bidder’s values and organisational mission.  </w:t>
            </w:r>
          </w:p>
        </w:tc>
      </w:tr>
      <w:tr w:rsidR="00566C14" w:rsidRPr="00566C14" w14:paraId="7E83DC46" w14:textId="77777777" w:rsidTr="00917E48">
        <w:trPr>
          <w:trHeight w:val="20"/>
        </w:trPr>
        <w:tc>
          <w:tcPr>
            <w:tcW w:w="2047" w:type="dxa"/>
          </w:tcPr>
          <w:p w14:paraId="463CC53B" w14:textId="77777777" w:rsidR="00566C14" w:rsidRPr="00566C14" w:rsidRDefault="00566C14" w:rsidP="00917E48">
            <w:pPr>
              <w:spacing w:before="60" w:after="60"/>
              <w:ind w:right="118"/>
              <w:rPr>
                <w:rFonts w:ascii="Arial" w:hAnsi="Arial" w:cs="Arial"/>
                <w:bCs/>
                <w:sz w:val="20"/>
                <w:szCs w:val="20"/>
              </w:rPr>
            </w:pPr>
            <w:r w:rsidRPr="00566C14">
              <w:rPr>
                <w:rFonts w:ascii="Arial" w:hAnsi="Arial" w:cs="Arial"/>
                <w:color w:val="000000"/>
                <w:sz w:val="20"/>
                <w:szCs w:val="20"/>
              </w:rPr>
              <w:lastRenderedPageBreak/>
              <w:t>The Pan London Idling Action project</w:t>
            </w:r>
          </w:p>
        </w:tc>
        <w:tc>
          <w:tcPr>
            <w:tcW w:w="13355" w:type="dxa"/>
          </w:tcPr>
          <w:p w14:paraId="24675010" w14:textId="77777777" w:rsidR="00566C14" w:rsidRPr="00566C14" w:rsidRDefault="00566C14" w:rsidP="00917E48">
            <w:pPr>
              <w:spacing w:before="60" w:after="60"/>
              <w:ind w:right="174"/>
              <w:rPr>
                <w:rFonts w:ascii="Arial" w:hAnsi="Arial" w:cs="Arial"/>
                <w:color w:val="000000"/>
                <w:sz w:val="20"/>
                <w:szCs w:val="20"/>
              </w:rPr>
            </w:pPr>
            <w:r w:rsidRPr="00566C14">
              <w:rPr>
                <w:rFonts w:ascii="Arial" w:hAnsi="Arial" w:cs="Arial"/>
                <w:color w:val="000000"/>
                <w:sz w:val="20"/>
                <w:szCs w:val="20"/>
              </w:rPr>
              <w:t xml:space="preserve">Bidder to sign up to The Pan London Idling Action project. </w:t>
            </w:r>
          </w:p>
          <w:p w14:paraId="2A77314F" w14:textId="77777777" w:rsidR="00566C14" w:rsidRPr="00566C14" w:rsidRDefault="00566C14" w:rsidP="00917E48">
            <w:pPr>
              <w:spacing w:before="60" w:after="60"/>
              <w:ind w:right="174"/>
              <w:rPr>
                <w:rFonts w:ascii="Arial" w:hAnsi="Arial" w:cs="Arial"/>
                <w:color w:val="000000"/>
                <w:sz w:val="20"/>
                <w:szCs w:val="20"/>
              </w:rPr>
            </w:pPr>
            <w:r w:rsidRPr="00566C14">
              <w:rPr>
                <w:rFonts w:ascii="Arial" w:hAnsi="Arial" w:cs="Arial"/>
                <w:color w:val="000000"/>
                <w:sz w:val="20"/>
                <w:szCs w:val="20"/>
              </w:rPr>
              <w:t>The Pan London Idling project is jointly led by the City of London Corporation and the London Borough of Camden and supported by the Mayor of London. It sees 31 London authorities joining forces in a bid to cut unnecessary vehicle emissions. The Pan London Idling Action’s #EnginesOff campaign is a public pledge for businesses to reduce vehicle emissions and tackle avoidable air pollution by asking their fleet drivers and employees not to idle their vehicles wherever possible.  Free driver training and resources are provided to businesses who sign the pledge.</w:t>
            </w:r>
          </w:p>
          <w:p w14:paraId="39AB5FB8" w14:textId="77777777" w:rsidR="00566C14" w:rsidRPr="00566C14" w:rsidRDefault="00566C14" w:rsidP="00917E48">
            <w:pPr>
              <w:pStyle w:val="NoSpacing"/>
              <w:spacing w:before="60" w:after="60"/>
              <w:ind w:right="174"/>
              <w:rPr>
                <w:rFonts w:ascii="Arial" w:hAnsi="Arial" w:cs="Arial"/>
                <w:color w:val="000000"/>
                <w:sz w:val="20"/>
                <w:szCs w:val="20"/>
              </w:rPr>
            </w:pPr>
            <w:r w:rsidRPr="00566C14">
              <w:rPr>
                <w:rFonts w:ascii="Arial" w:hAnsi="Arial" w:cs="Arial"/>
                <w:color w:val="000000"/>
                <w:sz w:val="20"/>
                <w:szCs w:val="20"/>
              </w:rPr>
              <w:t xml:space="preserve">Link: </w:t>
            </w:r>
            <w:hyperlink r:id="rId11">
              <w:r w:rsidRPr="00566C14">
                <w:rPr>
                  <w:rStyle w:val="Hyperlink"/>
                  <w:rFonts w:ascii="Arial" w:eastAsiaTheme="majorEastAsia" w:hAnsi="Arial" w:cs="Arial"/>
                  <w:sz w:val="20"/>
                  <w:szCs w:val="20"/>
                </w:rPr>
                <w:t>http://www.idlingaction.london/</w:t>
              </w:r>
            </w:hyperlink>
            <w:r w:rsidRPr="00566C14">
              <w:rPr>
                <w:rFonts w:ascii="Arial" w:hAnsi="Arial" w:cs="Arial"/>
                <w:sz w:val="20"/>
                <w:szCs w:val="20"/>
              </w:rPr>
              <w:t xml:space="preserve"> </w:t>
            </w:r>
          </w:p>
        </w:tc>
      </w:tr>
    </w:tbl>
    <w:p w14:paraId="33715D71" w14:textId="77777777" w:rsidR="002B40EA" w:rsidRPr="002B40EA" w:rsidRDefault="002B40EA" w:rsidP="002B40EA">
      <w:pPr>
        <w:pStyle w:val="Subheading"/>
        <w:rPr>
          <w:b/>
          <w:bCs/>
          <w:color w:val="002060"/>
          <w:sz w:val="24"/>
        </w:rPr>
      </w:pPr>
    </w:p>
    <w:p w14:paraId="02488E74" w14:textId="77777777" w:rsidR="0091620A" w:rsidRDefault="0091620A" w:rsidP="004C66AC">
      <w:pPr>
        <w:jc w:val="center"/>
        <w:rPr>
          <w:b/>
          <w:caps/>
        </w:rPr>
      </w:pPr>
    </w:p>
    <w:p w14:paraId="3010BB29" w14:textId="77777777" w:rsidR="002B40EA" w:rsidRDefault="002B40EA" w:rsidP="004C66AC">
      <w:pPr>
        <w:jc w:val="center"/>
        <w:rPr>
          <w:b/>
          <w:caps/>
        </w:rPr>
      </w:pPr>
    </w:p>
    <w:p w14:paraId="048D3AB1" w14:textId="0EE3EFA6" w:rsidR="004C66AC" w:rsidRPr="00262450" w:rsidRDefault="004C66AC" w:rsidP="004C66AC">
      <w:pPr>
        <w:jc w:val="center"/>
        <w:rPr>
          <w:b/>
          <w:caps/>
        </w:rPr>
      </w:pPr>
      <w:r w:rsidRPr="00262450">
        <w:rPr>
          <w:b/>
          <w:caps/>
        </w:rPr>
        <w:t>END OF DOCUMENT</w:t>
      </w:r>
    </w:p>
    <w:p w14:paraId="4A7A0880" w14:textId="77777777" w:rsidR="004C66AC" w:rsidRDefault="004C66AC" w:rsidP="00737A61">
      <w:pPr>
        <w:pStyle w:val="BodyText1"/>
        <w:jc w:val="both"/>
        <w:rPr>
          <w:rFonts w:ascii="Arial" w:hAnsi="Arial" w:cs="Arial"/>
          <w:sz w:val="20"/>
        </w:rPr>
      </w:pPr>
    </w:p>
    <w:sectPr w:rsidR="004C66AC" w:rsidSect="00F83E9F">
      <w:pgSz w:w="16838" w:h="11906" w:orient="landscape"/>
      <w:pgMar w:top="1440"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14FA3" w14:textId="77777777" w:rsidR="0052789F" w:rsidRDefault="0052789F" w:rsidP="00927DC9">
      <w:r>
        <w:separator/>
      </w:r>
    </w:p>
  </w:endnote>
  <w:endnote w:type="continuationSeparator" w:id="0">
    <w:p w14:paraId="01524DD5" w14:textId="77777777" w:rsidR="0052789F" w:rsidRDefault="0052789F" w:rsidP="0092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9403" w14:textId="1764F2A0" w:rsidR="00737A61" w:rsidRPr="00297D9B" w:rsidRDefault="00737A61" w:rsidP="00737A61">
    <w:pPr>
      <w:pStyle w:val="Footer"/>
      <w:rPr>
        <w:i/>
        <w:iCs/>
        <w:sz w:val="16"/>
      </w:rPr>
    </w:pPr>
    <w:r w:rsidRPr="00737A61">
      <w:rPr>
        <w:i/>
        <w:iCs/>
        <w:sz w:val="18"/>
      </w:rPr>
      <w:t>Commercial Services – COUPA Event #</w:t>
    </w:r>
    <w:r w:rsidR="001549CD">
      <w:rPr>
        <w:i/>
        <w:iCs/>
        <w:sz w:val="18"/>
      </w:rPr>
      <w:t>2483</w:t>
    </w:r>
    <w:r w:rsidRPr="00737A61">
      <w:rPr>
        <w:i/>
        <w:iCs/>
        <w:sz w:val="18"/>
      </w:rPr>
      <w:tab/>
    </w:r>
    <w:r w:rsidRPr="00737A61">
      <w:rPr>
        <w:i/>
        <w:iCs/>
        <w:sz w:val="18"/>
      </w:rPr>
      <w:tab/>
    </w:r>
    <w:r>
      <w:rPr>
        <w:i/>
        <w:iCs/>
        <w:sz w:val="16"/>
      </w:rPr>
      <w:tab/>
      <w:t xml:space="preserve"> </w:t>
    </w:r>
  </w:p>
  <w:p w14:paraId="391EBFD3" w14:textId="0388263A" w:rsidR="00C401D3" w:rsidRDefault="00C401D3">
    <w:pPr>
      <w:pStyle w:val="Footer"/>
    </w:pPr>
    <w:r>
      <w:rPr>
        <w:noProof/>
      </w:rPr>
      <w:drawing>
        <wp:anchor distT="0" distB="0" distL="114300" distR="114300" simplePos="0" relativeHeight="251661312" behindDoc="1" locked="0" layoutInCell="1" allowOverlap="1" wp14:anchorId="18B958BF" wp14:editId="640324FA">
          <wp:simplePos x="0" y="0"/>
          <wp:positionH relativeFrom="margin">
            <wp:posOffset>4472940</wp:posOffset>
          </wp:positionH>
          <wp:positionV relativeFrom="page">
            <wp:posOffset>9980295</wp:posOffset>
          </wp:positionV>
          <wp:extent cx="2019300" cy="576580"/>
          <wp:effectExtent l="0" t="0" r="0" b="0"/>
          <wp:wrapThrough wrapText="bothSides">
            <wp:wrapPolygon edited="0">
              <wp:start x="0" y="0"/>
              <wp:lineTo x="0" y="20696"/>
              <wp:lineTo x="21396" y="20696"/>
              <wp:lineTo x="21396"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073 Brand Bars More Trust A4 Portrait White.jpg"/>
                  <pic:cNvPicPr/>
                </pic:nvPicPr>
                <pic:blipFill rotWithShape="1">
                  <a:blip r:embed="rId1" cstate="print">
                    <a:extLst>
                      <a:ext uri="{28A0092B-C50C-407E-A947-70E740481C1C}">
                        <a14:useLocalDpi xmlns:a14="http://schemas.microsoft.com/office/drawing/2010/main" val="0"/>
                      </a:ext>
                    </a:extLst>
                  </a:blip>
                  <a:srcRect l="53520" r="2319"/>
                  <a:stretch/>
                </pic:blipFill>
                <pic:spPr bwMode="auto">
                  <a:xfrm>
                    <a:off x="0" y="0"/>
                    <a:ext cx="2019300" cy="576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FD2678E" wp14:editId="230D79B1">
          <wp:simplePos x="0" y="0"/>
          <wp:positionH relativeFrom="margin">
            <wp:posOffset>-641350</wp:posOffset>
          </wp:positionH>
          <wp:positionV relativeFrom="bottomMargin">
            <wp:posOffset>215265</wp:posOffset>
          </wp:positionV>
          <wp:extent cx="1762125" cy="466725"/>
          <wp:effectExtent l="0" t="0" r="9525" b="9525"/>
          <wp:wrapThrough wrapText="bothSides">
            <wp:wrapPolygon edited="0">
              <wp:start x="0" y="0"/>
              <wp:lineTo x="0" y="21159"/>
              <wp:lineTo x="21483" y="21159"/>
              <wp:lineTo x="21483" y="0"/>
              <wp:lineTo x="0" y="0"/>
            </wp:wrapPolygon>
          </wp:wrapThrough>
          <wp:docPr id="16" name="Picture 1" descr="Met Pol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 Police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r="44611"/>
                  <a:stretch/>
                </pic:blipFill>
                <pic:spPr bwMode="auto">
                  <a:xfrm>
                    <a:off x="0" y="0"/>
                    <a:ext cx="1762125" cy="46672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3F5D7" w14:textId="77777777" w:rsidR="0052789F" w:rsidRDefault="0052789F" w:rsidP="00927DC9">
      <w:r>
        <w:separator/>
      </w:r>
    </w:p>
  </w:footnote>
  <w:footnote w:type="continuationSeparator" w:id="0">
    <w:p w14:paraId="68C387CA" w14:textId="77777777" w:rsidR="0052789F" w:rsidRDefault="0052789F" w:rsidP="0092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FEB9" w14:textId="5898481B" w:rsidR="00F376EE" w:rsidRPr="00591DF2" w:rsidRDefault="00737A61" w:rsidP="00F376EE">
    <w:pPr>
      <w:pStyle w:val="NoSpacing"/>
      <w:jc w:val="center"/>
      <w:rPr>
        <w:rFonts w:ascii="Arial" w:hAnsi="Arial" w:cs="Arial"/>
        <w:sz w:val="20"/>
      </w:rPr>
    </w:pPr>
    <w:r w:rsidRPr="00591DF2">
      <w:rPr>
        <w:rFonts w:ascii="Arial" w:hAnsi="Arial" w:cs="Arial"/>
        <w:sz w:val="20"/>
      </w:rPr>
      <w:t xml:space="preserve">The </w:t>
    </w:r>
    <w:r w:rsidR="00F376EE">
      <w:rPr>
        <w:rFonts w:ascii="Arial" w:hAnsi="Arial" w:cs="Arial"/>
        <w:sz w:val="20"/>
      </w:rPr>
      <w:t>Provision of Hazardous Waste Management</w:t>
    </w:r>
    <w:r w:rsidR="008F61F9">
      <w:rPr>
        <w:rFonts w:ascii="Arial" w:hAnsi="Arial" w:cs="Arial"/>
        <w:sz w:val="20"/>
      </w:rPr>
      <w:t xml:space="preserve">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672"/>
    <w:multiLevelType w:val="multilevel"/>
    <w:tmpl w:val="EEF2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1A6B86"/>
    <w:multiLevelType w:val="hybridMultilevel"/>
    <w:tmpl w:val="95848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D57F6"/>
    <w:multiLevelType w:val="multilevel"/>
    <w:tmpl w:val="6E5A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8B0058"/>
    <w:multiLevelType w:val="hybridMultilevel"/>
    <w:tmpl w:val="C14615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9B0C80"/>
    <w:multiLevelType w:val="hybridMultilevel"/>
    <w:tmpl w:val="3BFA6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625C4D"/>
    <w:multiLevelType w:val="hybridMultilevel"/>
    <w:tmpl w:val="00FC069C"/>
    <w:lvl w:ilvl="0" w:tplc="63B201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42239B"/>
    <w:multiLevelType w:val="hybridMultilevel"/>
    <w:tmpl w:val="257C4CF0"/>
    <w:lvl w:ilvl="0" w:tplc="EC4CDEB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E55963"/>
    <w:multiLevelType w:val="multilevel"/>
    <w:tmpl w:val="0D083F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A991717"/>
    <w:multiLevelType w:val="hybridMultilevel"/>
    <w:tmpl w:val="257C4CF0"/>
    <w:lvl w:ilvl="0" w:tplc="EC4CDEB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E4313F"/>
    <w:multiLevelType w:val="hybridMultilevel"/>
    <w:tmpl w:val="E74C1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154F19"/>
    <w:multiLevelType w:val="multilevel"/>
    <w:tmpl w:val="9410CFE4"/>
    <w:lvl w:ilvl="0">
      <w:start w:val="1"/>
      <w:numFmt w:val="lowerRoman"/>
      <w:lvlText w:val="%1."/>
      <w:lvlJc w:val="right"/>
      <w:pPr>
        <w:ind w:left="1954" w:hanging="360"/>
      </w:pPr>
      <w:rPr>
        <w:b w:val="0"/>
        <w:bCs w:val="0"/>
        <w:u w:val="none"/>
      </w:rPr>
    </w:lvl>
    <w:lvl w:ilvl="1">
      <w:start w:val="1"/>
      <w:numFmt w:val="lowerLetter"/>
      <w:lvlText w:val="%2."/>
      <w:lvlJc w:val="left"/>
      <w:pPr>
        <w:ind w:left="2750" w:hanging="360"/>
      </w:pPr>
      <w:rPr>
        <w:u w:val="none"/>
      </w:rPr>
    </w:lvl>
    <w:lvl w:ilvl="2">
      <w:start w:val="1"/>
      <w:numFmt w:val="lowerRoman"/>
      <w:lvlText w:val="%3."/>
      <w:lvlJc w:val="right"/>
      <w:pPr>
        <w:ind w:left="3470" w:hanging="360"/>
      </w:pPr>
      <w:rPr>
        <w:u w:val="none"/>
      </w:rPr>
    </w:lvl>
    <w:lvl w:ilvl="3">
      <w:start w:val="1"/>
      <w:numFmt w:val="decimal"/>
      <w:lvlText w:val="%4."/>
      <w:lvlJc w:val="left"/>
      <w:pPr>
        <w:ind w:left="4190" w:hanging="360"/>
      </w:pPr>
      <w:rPr>
        <w:u w:val="none"/>
      </w:rPr>
    </w:lvl>
    <w:lvl w:ilvl="4">
      <w:start w:val="1"/>
      <w:numFmt w:val="lowerLetter"/>
      <w:lvlText w:val="%5."/>
      <w:lvlJc w:val="left"/>
      <w:pPr>
        <w:ind w:left="4910" w:hanging="360"/>
      </w:pPr>
      <w:rPr>
        <w:u w:val="none"/>
      </w:rPr>
    </w:lvl>
    <w:lvl w:ilvl="5">
      <w:start w:val="1"/>
      <w:numFmt w:val="lowerRoman"/>
      <w:lvlText w:val="%6."/>
      <w:lvlJc w:val="right"/>
      <w:pPr>
        <w:ind w:left="5630" w:hanging="360"/>
      </w:pPr>
      <w:rPr>
        <w:u w:val="none"/>
      </w:rPr>
    </w:lvl>
    <w:lvl w:ilvl="6">
      <w:start w:val="1"/>
      <w:numFmt w:val="decimal"/>
      <w:lvlText w:val="%7."/>
      <w:lvlJc w:val="left"/>
      <w:pPr>
        <w:ind w:left="6350" w:hanging="360"/>
      </w:pPr>
      <w:rPr>
        <w:u w:val="none"/>
      </w:rPr>
    </w:lvl>
    <w:lvl w:ilvl="7">
      <w:start w:val="1"/>
      <w:numFmt w:val="lowerLetter"/>
      <w:lvlText w:val="%8."/>
      <w:lvlJc w:val="left"/>
      <w:pPr>
        <w:ind w:left="7070" w:hanging="360"/>
      </w:pPr>
      <w:rPr>
        <w:u w:val="none"/>
      </w:rPr>
    </w:lvl>
    <w:lvl w:ilvl="8">
      <w:start w:val="1"/>
      <w:numFmt w:val="lowerRoman"/>
      <w:lvlText w:val="%9."/>
      <w:lvlJc w:val="right"/>
      <w:pPr>
        <w:ind w:left="7790" w:hanging="360"/>
      </w:pPr>
      <w:rPr>
        <w:u w:val="none"/>
      </w:rPr>
    </w:lvl>
  </w:abstractNum>
  <w:abstractNum w:abstractNumId="16" w15:restartNumberingAfterBreak="0">
    <w:nsid w:val="5A425615"/>
    <w:multiLevelType w:val="hybridMultilevel"/>
    <w:tmpl w:val="498021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70858FE"/>
    <w:multiLevelType w:val="multilevel"/>
    <w:tmpl w:val="9410CFE4"/>
    <w:lvl w:ilvl="0">
      <w:start w:val="1"/>
      <w:numFmt w:val="lowerRoman"/>
      <w:lvlText w:val="%1."/>
      <w:lvlJc w:val="right"/>
      <w:pPr>
        <w:ind w:left="644"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52173968">
    <w:abstractNumId w:val="20"/>
  </w:num>
  <w:num w:numId="2" w16cid:durableId="357661644">
    <w:abstractNumId w:val="5"/>
  </w:num>
  <w:num w:numId="3" w16cid:durableId="1357806963">
    <w:abstractNumId w:val="9"/>
  </w:num>
  <w:num w:numId="4" w16cid:durableId="470286985">
    <w:abstractNumId w:val="18"/>
  </w:num>
  <w:num w:numId="5" w16cid:durableId="1342122787">
    <w:abstractNumId w:val="19"/>
  </w:num>
  <w:num w:numId="6" w16cid:durableId="500699780">
    <w:abstractNumId w:val="6"/>
  </w:num>
  <w:num w:numId="7" w16cid:durableId="1212764967">
    <w:abstractNumId w:val="13"/>
  </w:num>
  <w:num w:numId="8" w16cid:durableId="830144517">
    <w:abstractNumId w:val="17"/>
  </w:num>
  <w:num w:numId="9" w16cid:durableId="859782666">
    <w:abstractNumId w:val="8"/>
  </w:num>
  <w:num w:numId="10" w16cid:durableId="2041931889">
    <w:abstractNumId w:val="12"/>
  </w:num>
  <w:num w:numId="11" w16cid:durableId="1483964258">
    <w:abstractNumId w:val="15"/>
  </w:num>
  <w:num w:numId="12" w16cid:durableId="1893998438">
    <w:abstractNumId w:val="11"/>
  </w:num>
  <w:num w:numId="13" w16cid:durableId="909191821">
    <w:abstractNumId w:val="3"/>
  </w:num>
  <w:num w:numId="14" w16cid:durableId="1786850887">
    <w:abstractNumId w:val="16"/>
  </w:num>
  <w:num w:numId="15" w16cid:durableId="1907839472">
    <w:abstractNumId w:val="7"/>
  </w:num>
  <w:num w:numId="16" w16cid:durableId="1206673003">
    <w:abstractNumId w:val="0"/>
  </w:num>
  <w:num w:numId="17" w16cid:durableId="1449735192">
    <w:abstractNumId w:val="2"/>
  </w:num>
  <w:num w:numId="18" w16cid:durableId="786050280">
    <w:abstractNumId w:val="10"/>
  </w:num>
  <w:num w:numId="19" w16cid:durableId="1951474701">
    <w:abstractNumId w:val="14"/>
  </w:num>
  <w:num w:numId="20" w16cid:durableId="1300038966">
    <w:abstractNumId w:val="1"/>
  </w:num>
  <w:num w:numId="21" w16cid:durableId="814684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69E"/>
    <w:rsid w:val="000211E5"/>
    <w:rsid w:val="000257EC"/>
    <w:rsid w:val="00036C7C"/>
    <w:rsid w:val="0008167C"/>
    <w:rsid w:val="000948AE"/>
    <w:rsid w:val="000B38E1"/>
    <w:rsid w:val="000D406C"/>
    <w:rsid w:val="000F3613"/>
    <w:rsid w:val="001000EE"/>
    <w:rsid w:val="00125325"/>
    <w:rsid w:val="001359E4"/>
    <w:rsid w:val="001533A2"/>
    <w:rsid w:val="001549CD"/>
    <w:rsid w:val="0019614F"/>
    <w:rsid w:val="001D0F37"/>
    <w:rsid w:val="001F440E"/>
    <w:rsid w:val="002251FE"/>
    <w:rsid w:val="002549C0"/>
    <w:rsid w:val="00273D3E"/>
    <w:rsid w:val="002955CD"/>
    <w:rsid w:val="002A4A22"/>
    <w:rsid w:val="002B40EA"/>
    <w:rsid w:val="002E4C54"/>
    <w:rsid w:val="00365080"/>
    <w:rsid w:val="00367281"/>
    <w:rsid w:val="00392B24"/>
    <w:rsid w:val="003978BF"/>
    <w:rsid w:val="003E18FC"/>
    <w:rsid w:val="003E3A3A"/>
    <w:rsid w:val="004066AF"/>
    <w:rsid w:val="0042639F"/>
    <w:rsid w:val="004C1B2F"/>
    <w:rsid w:val="004C630E"/>
    <w:rsid w:val="004C66AC"/>
    <w:rsid w:val="00501F0A"/>
    <w:rsid w:val="00503832"/>
    <w:rsid w:val="00521CC2"/>
    <w:rsid w:val="0052789F"/>
    <w:rsid w:val="00542D7C"/>
    <w:rsid w:val="00566C14"/>
    <w:rsid w:val="00591DF2"/>
    <w:rsid w:val="00594D76"/>
    <w:rsid w:val="005A0848"/>
    <w:rsid w:val="005C38D4"/>
    <w:rsid w:val="00612FE8"/>
    <w:rsid w:val="00634295"/>
    <w:rsid w:val="0063696F"/>
    <w:rsid w:val="00646FF5"/>
    <w:rsid w:val="00680654"/>
    <w:rsid w:val="00696D24"/>
    <w:rsid w:val="006B7035"/>
    <w:rsid w:val="006E633D"/>
    <w:rsid w:val="00705F3E"/>
    <w:rsid w:val="00717028"/>
    <w:rsid w:val="00737A61"/>
    <w:rsid w:val="00744596"/>
    <w:rsid w:val="00766C9A"/>
    <w:rsid w:val="007901AE"/>
    <w:rsid w:val="007A65C0"/>
    <w:rsid w:val="007D24E5"/>
    <w:rsid w:val="007D48D1"/>
    <w:rsid w:val="00851EAF"/>
    <w:rsid w:val="00864A3F"/>
    <w:rsid w:val="0089192E"/>
    <w:rsid w:val="00893776"/>
    <w:rsid w:val="008A38C8"/>
    <w:rsid w:val="008D595A"/>
    <w:rsid w:val="008F2B4F"/>
    <w:rsid w:val="008F61F9"/>
    <w:rsid w:val="00904E84"/>
    <w:rsid w:val="0091620A"/>
    <w:rsid w:val="009234DF"/>
    <w:rsid w:val="00927DC9"/>
    <w:rsid w:val="009326CA"/>
    <w:rsid w:val="009A242E"/>
    <w:rsid w:val="009A2AD8"/>
    <w:rsid w:val="009D5A40"/>
    <w:rsid w:val="009D78FC"/>
    <w:rsid w:val="009E7219"/>
    <w:rsid w:val="00A24217"/>
    <w:rsid w:val="00A273BC"/>
    <w:rsid w:val="00A3518E"/>
    <w:rsid w:val="00A35B48"/>
    <w:rsid w:val="00A74B78"/>
    <w:rsid w:val="00A86366"/>
    <w:rsid w:val="00AD769E"/>
    <w:rsid w:val="00AF322A"/>
    <w:rsid w:val="00B10EA4"/>
    <w:rsid w:val="00B212C8"/>
    <w:rsid w:val="00B33EC3"/>
    <w:rsid w:val="00B566B9"/>
    <w:rsid w:val="00B86B67"/>
    <w:rsid w:val="00BA4219"/>
    <w:rsid w:val="00BE1EF3"/>
    <w:rsid w:val="00C047F2"/>
    <w:rsid w:val="00C1181A"/>
    <w:rsid w:val="00C11E11"/>
    <w:rsid w:val="00C12DE4"/>
    <w:rsid w:val="00C2246C"/>
    <w:rsid w:val="00C3111A"/>
    <w:rsid w:val="00C401D3"/>
    <w:rsid w:val="00C462F1"/>
    <w:rsid w:val="00C4735A"/>
    <w:rsid w:val="00C712FA"/>
    <w:rsid w:val="00C76DF0"/>
    <w:rsid w:val="00CC1A69"/>
    <w:rsid w:val="00CE31D3"/>
    <w:rsid w:val="00D710D4"/>
    <w:rsid w:val="00DB1E07"/>
    <w:rsid w:val="00DE543D"/>
    <w:rsid w:val="00DE67E0"/>
    <w:rsid w:val="00DF6E37"/>
    <w:rsid w:val="00E46D6B"/>
    <w:rsid w:val="00E53D94"/>
    <w:rsid w:val="00E573FE"/>
    <w:rsid w:val="00E6602A"/>
    <w:rsid w:val="00E73A50"/>
    <w:rsid w:val="00E86815"/>
    <w:rsid w:val="00E86ECB"/>
    <w:rsid w:val="00ED72FD"/>
    <w:rsid w:val="00EE0207"/>
    <w:rsid w:val="00EF27B8"/>
    <w:rsid w:val="00F376EE"/>
    <w:rsid w:val="00F51E0B"/>
    <w:rsid w:val="00F83E9F"/>
    <w:rsid w:val="00FA6D73"/>
    <w:rsid w:val="00FE546C"/>
    <w:rsid w:val="00FF4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6BE27"/>
  <w15:docId w15:val="{D6583B76-F552-4DC7-8619-E4758AFC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69E"/>
    <w:pPr>
      <w:spacing w:after="0" w:line="240" w:lineRule="auto"/>
    </w:pPr>
    <w:rPr>
      <w:rFonts w:eastAsia="Helvetica Neue Light" w:cs="Helvetica Neue Light"/>
      <w:kern w:val="0"/>
      <w:sz w:val="24"/>
      <w:szCs w:val="24"/>
      <w:lang w:eastAsia="en-GB"/>
    </w:rPr>
  </w:style>
  <w:style w:type="paragraph" w:styleId="Heading1">
    <w:name w:val="heading 1"/>
    <w:basedOn w:val="Normal"/>
    <w:next w:val="Normal"/>
    <w:link w:val="Heading1Char"/>
    <w:uiPriority w:val="9"/>
    <w:qFormat/>
    <w:rsid w:val="00AD769E"/>
    <w:pPr>
      <w:keepNext/>
      <w:keepLines/>
      <w:pageBreakBefore/>
      <w:numPr>
        <w:numId w:val="1"/>
      </w:numPr>
      <w:spacing w:after="720"/>
      <w:ind w:left="0" w:firstLine="0"/>
      <w:outlineLvl w:val="0"/>
    </w:pPr>
    <w:rPr>
      <w:b/>
      <w:color w:val="ED7D31" w:themeColor="accent2"/>
      <w:sz w:val="50"/>
      <w:szCs w:val="50"/>
    </w:rPr>
  </w:style>
  <w:style w:type="paragraph" w:styleId="Heading2">
    <w:name w:val="heading 2"/>
    <w:basedOn w:val="Normal"/>
    <w:next w:val="Normal"/>
    <w:link w:val="Heading2Char"/>
    <w:uiPriority w:val="9"/>
    <w:unhideWhenUsed/>
    <w:qFormat/>
    <w:rsid w:val="00AD769E"/>
    <w:pPr>
      <w:keepNext/>
      <w:numPr>
        <w:ilvl w:val="1"/>
        <w:numId w:val="1"/>
      </w:numPr>
      <w:tabs>
        <w:tab w:val="left" w:pos="851"/>
      </w:tabs>
      <w:spacing w:before="120" w:after="120"/>
      <w:outlineLvl w:val="1"/>
    </w:pPr>
    <w:rPr>
      <w:b/>
      <w:color w:val="ED7D31" w:themeColor="accent2"/>
      <w:sz w:val="32"/>
      <w:szCs w:val="32"/>
    </w:rPr>
  </w:style>
  <w:style w:type="paragraph" w:styleId="Heading3">
    <w:name w:val="heading 3"/>
    <w:basedOn w:val="Normal"/>
    <w:next w:val="Normal"/>
    <w:link w:val="Heading3Char"/>
    <w:uiPriority w:val="9"/>
    <w:unhideWhenUsed/>
    <w:qFormat/>
    <w:rsid w:val="00AD769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D769E"/>
    <w:pPr>
      <w:numPr>
        <w:ilvl w:val="3"/>
        <w:numId w:val="1"/>
      </w:numPr>
      <w:outlineLvl w:val="3"/>
    </w:pPr>
    <w:rPr>
      <w:b/>
      <w:color w:val="005ABB"/>
    </w:rPr>
  </w:style>
  <w:style w:type="paragraph" w:styleId="Heading5">
    <w:name w:val="heading 5"/>
    <w:basedOn w:val="Normal"/>
    <w:next w:val="Normal"/>
    <w:link w:val="Heading5Char"/>
    <w:uiPriority w:val="9"/>
    <w:unhideWhenUsed/>
    <w:qFormat/>
    <w:rsid w:val="00AD769E"/>
    <w:pPr>
      <w:numPr>
        <w:ilvl w:val="4"/>
        <w:numId w:val="1"/>
      </w:numPr>
      <w:outlineLvl w:val="4"/>
    </w:pPr>
    <w:rPr>
      <w:b/>
      <w:color w:val="005ABB"/>
    </w:rPr>
  </w:style>
  <w:style w:type="paragraph" w:styleId="Heading6">
    <w:name w:val="heading 6"/>
    <w:basedOn w:val="Normal"/>
    <w:next w:val="Normal"/>
    <w:link w:val="Heading6Char"/>
    <w:uiPriority w:val="9"/>
    <w:unhideWhenUsed/>
    <w:qFormat/>
    <w:rsid w:val="00AD769E"/>
    <w:pPr>
      <w:numPr>
        <w:ilvl w:val="5"/>
        <w:numId w:val="1"/>
      </w:numPr>
      <w:outlineLvl w:val="5"/>
    </w:pPr>
    <w:rPr>
      <w:b/>
      <w:color w:val="005ABB"/>
    </w:rPr>
  </w:style>
  <w:style w:type="paragraph" w:styleId="Heading7">
    <w:name w:val="heading 7"/>
    <w:basedOn w:val="Normal"/>
    <w:next w:val="Normal"/>
    <w:link w:val="Heading7Char"/>
    <w:uiPriority w:val="9"/>
    <w:semiHidden/>
    <w:unhideWhenUsed/>
    <w:qFormat/>
    <w:rsid w:val="00AD769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D769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769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69E"/>
    <w:rPr>
      <w:rFonts w:eastAsia="Helvetica Neue Light" w:cs="Helvetica Neue Light"/>
      <w:b/>
      <w:color w:val="ED7D31" w:themeColor="accent2"/>
      <w:kern w:val="0"/>
      <w:sz w:val="50"/>
      <w:szCs w:val="50"/>
      <w:lang w:eastAsia="en-GB"/>
    </w:rPr>
  </w:style>
  <w:style w:type="character" w:customStyle="1" w:styleId="Heading2Char">
    <w:name w:val="Heading 2 Char"/>
    <w:basedOn w:val="DefaultParagraphFont"/>
    <w:link w:val="Heading2"/>
    <w:uiPriority w:val="9"/>
    <w:rsid w:val="00AD769E"/>
    <w:rPr>
      <w:rFonts w:eastAsia="Helvetica Neue Light" w:cs="Helvetica Neue Light"/>
      <w:b/>
      <w:color w:val="ED7D31" w:themeColor="accent2"/>
      <w:kern w:val="0"/>
      <w:sz w:val="32"/>
      <w:szCs w:val="32"/>
      <w:lang w:eastAsia="en-GB"/>
    </w:rPr>
  </w:style>
  <w:style w:type="character" w:customStyle="1" w:styleId="Heading4Char">
    <w:name w:val="Heading 4 Char"/>
    <w:basedOn w:val="DefaultParagraphFont"/>
    <w:link w:val="Heading4"/>
    <w:uiPriority w:val="9"/>
    <w:rsid w:val="00AD769E"/>
    <w:rPr>
      <w:rFonts w:eastAsia="Helvetica Neue Light" w:cs="Helvetica Neue Light"/>
      <w:b/>
      <w:color w:val="005ABB"/>
      <w:kern w:val="0"/>
      <w:sz w:val="24"/>
      <w:szCs w:val="24"/>
      <w:lang w:eastAsia="en-GB"/>
    </w:rPr>
  </w:style>
  <w:style w:type="character" w:customStyle="1" w:styleId="Heading5Char">
    <w:name w:val="Heading 5 Char"/>
    <w:basedOn w:val="DefaultParagraphFont"/>
    <w:link w:val="Heading5"/>
    <w:uiPriority w:val="9"/>
    <w:rsid w:val="00AD769E"/>
    <w:rPr>
      <w:rFonts w:eastAsia="Helvetica Neue Light" w:cs="Helvetica Neue Light"/>
      <w:b/>
      <w:color w:val="005ABB"/>
      <w:kern w:val="0"/>
      <w:sz w:val="24"/>
      <w:szCs w:val="24"/>
      <w:lang w:eastAsia="en-GB"/>
    </w:rPr>
  </w:style>
  <w:style w:type="character" w:customStyle="1" w:styleId="Heading6Char">
    <w:name w:val="Heading 6 Char"/>
    <w:basedOn w:val="DefaultParagraphFont"/>
    <w:link w:val="Heading6"/>
    <w:uiPriority w:val="9"/>
    <w:rsid w:val="00AD769E"/>
    <w:rPr>
      <w:rFonts w:eastAsia="Helvetica Neue Light" w:cs="Helvetica Neue Light"/>
      <w:b/>
      <w:color w:val="005ABB"/>
      <w:kern w:val="0"/>
      <w:sz w:val="24"/>
      <w:szCs w:val="24"/>
      <w:lang w:eastAsia="en-GB"/>
    </w:rPr>
  </w:style>
  <w:style w:type="character" w:customStyle="1" w:styleId="Heading7Char">
    <w:name w:val="Heading 7 Char"/>
    <w:basedOn w:val="DefaultParagraphFont"/>
    <w:link w:val="Heading7"/>
    <w:uiPriority w:val="9"/>
    <w:semiHidden/>
    <w:rsid w:val="00AD769E"/>
    <w:rPr>
      <w:rFonts w:asciiTheme="majorHAnsi" w:eastAsiaTheme="majorEastAsia" w:hAnsiTheme="majorHAnsi" w:cstheme="majorBidi"/>
      <w:i/>
      <w:iCs/>
      <w:color w:val="1F3763" w:themeColor="accent1" w:themeShade="7F"/>
      <w:kern w:val="0"/>
      <w:sz w:val="24"/>
      <w:szCs w:val="24"/>
      <w:lang w:eastAsia="en-GB"/>
    </w:rPr>
  </w:style>
  <w:style w:type="character" w:customStyle="1" w:styleId="Heading8Char">
    <w:name w:val="Heading 8 Char"/>
    <w:basedOn w:val="DefaultParagraphFont"/>
    <w:link w:val="Heading8"/>
    <w:uiPriority w:val="9"/>
    <w:semiHidden/>
    <w:rsid w:val="00AD769E"/>
    <w:rPr>
      <w:rFonts w:asciiTheme="majorHAnsi" w:eastAsiaTheme="majorEastAsia" w:hAnsiTheme="majorHAnsi" w:cstheme="majorBidi"/>
      <w:color w:val="272727" w:themeColor="text1" w:themeTint="D8"/>
      <w:kern w:val="0"/>
      <w:sz w:val="21"/>
      <w:szCs w:val="21"/>
      <w:lang w:eastAsia="en-GB"/>
    </w:rPr>
  </w:style>
  <w:style w:type="character" w:customStyle="1" w:styleId="Heading9Char">
    <w:name w:val="Heading 9 Char"/>
    <w:basedOn w:val="DefaultParagraphFont"/>
    <w:link w:val="Heading9"/>
    <w:uiPriority w:val="9"/>
    <w:semiHidden/>
    <w:rsid w:val="00AD769E"/>
    <w:rPr>
      <w:rFonts w:asciiTheme="majorHAnsi" w:eastAsiaTheme="majorEastAsia" w:hAnsiTheme="majorHAnsi" w:cstheme="majorBidi"/>
      <w:i/>
      <w:iCs/>
      <w:color w:val="272727" w:themeColor="text1" w:themeTint="D8"/>
      <w:kern w:val="0"/>
      <w:sz w:val="21"/>
      <w:szCs w:val="21"/>
      <w:lang w:eastAsia="en-GB"/>
    </w:rPr>
  </w:style>
  <w:style w:type="table" w:styleId="TableGrid">
    <w:name w:val="Table Grid"/>
    <w:basedOn w:val="TableNormal"/>
    <w:uiPriority w:val="39"/>
    <w:rsid w:val="00AD769E"/>
    <w:pPr>
      <w:spacing w:after="0" w:line="240" w:lineRule="auto"/>
    </w:pPr>
    <w:rPr>
      <w:rFonts w:ascii="Helvetica Neue Light" w:eastAsia="Helvetica Neue Light" w:hAnsi="Helvetica Neue Light" w:cs="Helvetica Neue Light"/>
      <w:kern w:val="0"/>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1"/>
    <w:qFormat/>
    <w:rsid w:val="00AD769E"/>
    <w:pPr>
      <w:pBdr>
        <w:top w:val="nil"/>
        <w:left w:val="nil"/>
        <w:bottom w:val="nil"/>
        <w:right w:val="nil"/>
        <w:between w:val="nil"/>
      </w:pBdr>
      <w:suppressAutoHyphens/>
      <w:spacing w:after="240"/>
    </w:pPr>
    <w:rPr>
      <w:color w:val="000000"/>
    </w:rPr>
  </w:style>
  <w:style w:type="paragraph" w:customStyle="1" w:styleId="Heading2-NotToC">
    <w:name w:val="Heading 2 - Not ToC"/>
    <w:basedOn w:val="Heading2"/>
    <w:qFormat/>
    <w:rsid w:val="00AD769E"/>
    <w:pPr>
      <w:numPr>
        <w:ilvl w:val="0"/>
        <w:numId w:val="0"/>
      </w:numPr>
    </w:pPr>
  </w:style>
  <w:style w:type="paragraph" w:styleId="Subtitle">
    <w:name w:val="Subtitle"/>
    <w:basedOn w:val="Normal"/>
    <w:next w:val="Normal"/>
    <w:link w:val="SubtitleChar"/>
    <w:uiPriority w:val="11"/>
    <w:qFormat/>
    <w:rsid w:val="00AD769E"/>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D769E"/>
    <w:rPr>
      <w:rFonts w:eastAsiaTheme="minorEastAsia"/>
      <w:color w:val="5A5A5A" w:themeColor="text1" w:themeTint="A5"/>
      <w:spacing w:val="15"/>
      <w:kern w:val="0"/>
      <w:lang w:eastAsia="en-GB"/>
    </w:rPr>
  </w:style>
  <w:style w:type="character" w:customStyle="1" w:styleId="Heading3Char">
    <w:name w:val="Heading 3 Char"/>
    <w:basedOn w:val="DefaultParagraphFont"/>
    <w:link w:val="Heading3"/>
    <w:uiPriority w:val="9"/>
    <w:rsid w:val="00AD769E"/>
    <w:rPr>
      <w:rFonts w:asciiTheme="majorHAnsi" w:eastAsiaTheme="majorEastAsia" w:hAnsiTheme="majorHAnsi" w:cstheme="majorBidi"/>
      <w:color w:val="1F3763" w:themeColor="accent1" w:themeShade="7F"/>
      <w:kern w:val="0"/>
      <w:sz w:val="24"/>
      <w:szCs w:val="24"/>
      <w:lang w:eastAsia="en-GB"/>
    </w:rPr>
  </w:style>
  <w:style w:type="paragraph" w:customStyle="1" w:styleId="Subheading">
    <w:name w:val="Subheading"/>
    <w:link w:val="SubheadingChar"/>
    <w:qFormat/>
    <w:rsid w:val="00AD769E"/>
    <w:rPr>
      <w:rFonts w:ascii="Arial" w:eastAsiaTheme="majorEastAsia" w:hAnsi="Arial" w:cs="Arial"/>
      <w:kern w:val="0"/>
      <w:sz w:val="28"/>
      <w:szCs w:val="28"/>
      <w:lang w:eastAsia="en-GB"/>
    </w:rPr>
  </w:style>
  <w:style w:type="character" w:customStyle="1" w:styleId="SubheadingChar">
    <w:name w:val="Subheading Char"/>
    <w:basedOn w:val="DefaultParagraphFont"/>
    <w:link w:val="Subheading"/>
    <w:rsid w:val="00AD769E"/>
    <w:rPr>
      <w:rFonts w:ascii="Arial" w:eastAsiaTheme="majorEastAsia" w:hAnsi="Arial" w:cs="Arial"/>
      <w:kern w:val="0"/>
      <w:sz w:val="28"/>
      <w:szCs w:val="28"/>
      <w:lang w:eastAsia="en-GB"/>
    </w:rPr>
  </w:style>
  <w:style w:type="paragraph" w:styleId="Header">
    <w:name w:val="header"/>
    <w:basedOn w:val="Normal"/>
    <w:link w:val="HeaderChar"/>
    <w:uiPriority w:val="99"/>
    <w:unhideWhenUsed/>
    <w:rsid w:val="00927DC9"/>
    <w:pPr>
      <w:tabs>
        <w:tab w:val="center" w:pos="4513"/>
        <w:tab w:val="right" w:pos="9026"/>
      </w:tabs>
    </w:pPr>
  </w:style>
  <w:style w:type="character" w:customStyle="1" w:styleId="HeaderChar">
    <w:name w:val="Header Char"/>
    <w:basedOn w:val="DefaultParagraphFont"/>
    <w:link w:val="Header"/>
    <w:uiPriority w:val="99"/>
    <w:rsid w:val="00927DC9"/>
    <w:rPr>
      <w:rFonts w:eastAsia="Helvetica Neue Light" w:cs="Helvetica Neue Light"/>
      <w:kern w:val="0"/>
      <w:sz w:val="24"/>
      <w:szCs w:val="24"/>
      <w:lang w:eastAsia="en-GB"/>
    </w:rPr>
  </w:style>
  <w:style w:type="paragraph" w:styleId="Footer">
    <w:name w:val="footer"/>
    <w:basedOn w:val="Normal"/>
    <w:link w:val="FooterChar"/>
    <w:uiPriority w:val="99"/>
    <w:unhideWhenUsed/>
    <w:rsid w:val="00927DC9"/>
    <w:pPr>
      <w:tabs>
        <w:tab w:val="center" w:pos="4513"/>
        <w:tab w:val="right" w:pos="9026"/>
      </w:tabs>
    </w:pPr>
  </w:style>
  <w:style w:type="character" w:customStyle="1" w:styleId="FooterChar">
    <w:name w:val="Footer Char"/>
    <w:basedOn w:val="DefaultParagraphFont"/>
    <w:link w:val="Footer"/>
    <w:uiPriority w:val="99"/>
    <w:rsid w:val="00927DC9"/>
    <w:rPr>
      <w:rFonts w:eastAsia="Helvetica Neue Light" w:cs="Helvetica Neue Light"/>
      <w:kern w:val="0"/>
      <w:sz w:val="24"/>
      <w:szCs w:val="24"/>
      <w:lang w:eastAsia="en-GB"/>
    </w:rPr>
  </w:style>
  <w:style w:type="paragraph" w:styleId="NoSpacing">
    <w:name w:val="No Spacing"/>
    <w:link w:val="NoSpacingChar"/>
    <w:uiPriority w:val="1"/>
    <w:qFormat/>
    <w:rsid w:val="00737A61"/>
    <w:pPr>
      <w:spacing w:after="0" w:line="240" w:lineRule="auto"/>
    </w:pPr>
    <w:rPr>
      <w:rFonts w:eastAsia="Helvetica Neue Light" w:cs="Helvetica Neue Light"/>
      <w:kern w:val="0"/>
      <w:sz w:val="24"/>
      <w:szCs w:val="24"/>
      <w:lang w:eastAsia="en-GB"/>
    </w:rPr>
  </w:style>
  <w:style w:type="paragraph" w:customStyle="1" w:styleId="TITLEPAGE">
    <w:name w:val="TITLE PAGE"/>
    <w:basedOn w:val="Normal"/>
    <w:rsid w:val="00737A61"/>
    <w:pPr>
      <w:spacing w:line="276" w:lineRule="auto"/>
      <w:jc w:val="center"/>
    </w:pPr>
    <w:rPr>
      <w:rFonts w:ascii="Arial" w:eastAsia="Times New Roman" w:hAnsi="Arial" w:cs="Times New Roman"/>
      <w:sz w:val="52"/>
      <w:szCs w:val="20"/>
      <w:lang w:eastAsia="en-US"/>
      <w14:ligatures w14:val="none"/>
    </w:rPr>
  </w:style>
  <w:style w:type="character" w:customStyle="1" w:styleId="Heading1Char1Char">
    <w:name w:val="Heading 1 Char1 Char"/>
    <w:aliases w:val="Heading 1 Char Char Char Char"/>
    <w:rsid w:val="00737A61"/>
    <w:rPr>
      <w:rFonts w:ascii="Arial" w:hAnsi="Arial"/>
      <w:b/>
      <w:caps/>
      <w:noProof w:val="0"/>
      <w:kern w:val="28"/>
      <w:sz w:val="28"/>
      <w:lang w:val="en-GB" w:eastAsia="en-US" w:bidi="ar-SA"/>
    </w:rPr>
  </w:style>
  <w:style w:type="character" w:styleId="Hyperlink">
    <w:name w:val="Hyperlink"/>
    <w:basedOn w:val="DefaultParagraphFont"/>
    <w:uiPriority w:val="99"/>
    <w:unhideWhenUsed/>
    <w:rsid w:val="004C66AC"/>
    <w:rPr>
      <w:color w:val="ED7D31" w:themeColor="accent2"/>
      <w:u w:val="single"/>
    </w:rPr>
  </w:style>
  <w:style w:type="paragraph" w:styleId="ListParagraph">
    <w:name w:val="List Paragraph"/>
    <w:basedOn w:val="Normal"/>
    <w:link w:val="ListParagraphChar"/>
    <w:uiPriority w:val="34"/>
    <w:qFormat/>
    <w:rsid w:val="004C66AC"/>
    <w:pPr>
      <w:ind w:left="720"/>
      <w:contextualSpacing/>
    </w:pPr>
    <w:rPr>
      <w14:ligatures w14:val="none"/>
    </w:rPr>
  </w:style>
  <w:style w:type="paragraph" w:customStyle="1" w:styleId="Cover-Subtitle">
    <w:name w:val="Cover - Subtitle"/>
    <w:basedOn w:val="Normal"/>
    <w:qFormat/>
    <w:rsid w:val="004C66AC"/>
    <w:pPr>
      <w:pBdr>
        <w:top w:val="nil"/>
        <w:left w:val="nil"/>
        <w:bottom w:val="nil"/>
        <w:right w:val="nil"/>
        <w:between w:val="nil"/>
      </w:pBdr>
      <w:spacing w:after="240"/>
    </w:pPr>
    <w:rPr>
      <w:color w:val="ED7D31" w:themeColor="accent2"/>
      <w:sz w:val="44"/>
      <w:szCs w:val="44"/>
      <w14:ligatures w14:val="none"/>
    </w:rPr>
  </w:style>
  <w:style w:type="paragraph" w:styleId="FootnoteText">
    <w:name w:val="footnote text"/>
    <w:basedOn w:val="Normal"/>
    <w:link w:val="FootnoteTextChar"/>
    <w:uiPriority w:val="99"/>
    <w:semiHidden/>
    <w:unhideWhenUsed/>
    <w:rsid w:val="008D595A"/>
    <w:rPr>
      <w:sz w:val="20"/>
      <w:szCs w:val="20"/>
      <w14:ligatures w14:val="none"/>
    </w:rPr>
  </w:style>
  <w:style w:type="character" w:customStyle="1" w:styleId="FootnoteTextChar">
    <w:name w:val="Footnote Text Char"/>
    <w:basedOn w:val="DefaultParagraphFont"/>
    <w:link w:val="FootnoteText"/>
    <w:uiPriority w:val="99"/>
    <w:semiHidden/>
    <w:rsid w:val="008D595A"/>
    <w:rPr>
      <w:rFonts w:eastAsia="Helvetica Neue Light" w:cs="Helvetica Neue Light"/>
      <w:kern w:val="0"/>
      <w:sz w:val="20"/>
      <w:szCs w:val="20"/>
      <w:lang w:eastAsia="en-GB"/>
      <w14:ligatures w14:val="none"/>
    </w:rPr>
  </w:style>
  <w:style w:type="character" w:styleId="FootnoteReference">
    <w:name w:val="footnote reference"/>
    <w:basedOn w:val="DefaultParagraphFont"/>
    <w:uiPriority w:val="99"/>
    <w:semiHidden/>
    <w:unhideWhenUsed/>
    <w:rsid w:val="008D595A"/>
    <w:rPr>
      <w:vertAlign w:val="superscript"/>
    </w:rPr>
  </w:style>
  <w:style w:type="numbering" w:customStyle="1" w:styleId="Style2">
    <w:name w:val="Style2"/>
    <w:uiPriority w:val="99"/>
    <w:rsid w:val="008D595A"/>
    <w:pPr>
      <w:numPr>
        <w:numId w:val="8"/>
      </w:numPr>
    </w:pPr>
  </w:style>
  <w:style w:type="paragraph" w:customStyle="1" w:styleId="Heading1A">
    <w:name w:val="Heading 1A"/>
    <w:link w:val="Heading1AChar"/>
    <w:uiPriority w:val="99"/>
    <w:qFormat/>
    <w:rsid w:val="00A86366"/>
    <w:pPr>
      <w:spacing w:before="120" w:after="120" w:line="240" w:lineRule="auto"/>
    </w:pPr>
    <w:rPr>
      <w:rFonts w:ascii="Arial" w:eastAsia="Times New Roman" w:hAnsi="Arial" w:cs="Times New Roman"/>
      <w:b/>
      <w:kern w:val="0"/>
      <w:sz w:val="28"/>
      <w:szCs w:val="32"/>
      <w14:ligatures w14:val="none"/>
    </w:rPr>
  </w:style>
  <w:style w:type="character" w:customStyle="1" w:styleId="Heading1AChar">
    <w:name w:val="Heading 1A Char"/>
    <w:basedOn w:val="DefaultParagraphFont"/>
    <w:link w:val="Heading1A"/>
    <w:uiPriority w:val="99"/>
    <w:rsid w:val="00A86366"/>
    <w:rPr>
      <w:rFonts w:ascii="Arial" w:eastAsia="Times New Roman" w:hAnsi="Arial" w:cs="Times New Roman"/>
      <w:b/>
      <w:kern w:val="0"/>
      <w:sz w:val="28"/>
      <w:szCs w:val="32"/>
      <w14:ligatures w14:val="none"/>
    </w:rPr>
  </w:style>
  <w:style w:type="paragraph" w:customStyle="1" w:styleId="TableText">
    <w:name w:val="Table Text"/>
    <w:uiPriority w:val="99"/>
    <w:rsid w:val="00A86366"/>
    <w:pPr>
      <w:spacing w:before="60" w:after="60" w:line="240" w:lineRule="atLeast"/>
    </w:pPr>
    <w:rPr>
      <w:rFonts w:ascii="Arial" w:eastAsia="Times" w:hAnsi="Arial" w:cs="Times New Roman"/>
      <w:kern w:val="0"/>
      <w:sz w:val="18"/>
      <w:szCs w:val="18"/>
      <w:lang w:eastAsia="en-GB"/>
      <w14:ligatures w14:val="none"/>
    </w:rPr>
  </w:style>
  <w:style w:type="character" w:styleId="CommentReference">
    <w:name w:val="annotation reference"/>
    <w:basedOn w:val="DefaultParagraphFont"/>
    <w:uiPriority w:val="99"/>
    <w:semiHidden/>
    <w:unhideWhenUsed/>
    <w:rsid w:val="00A86366"/>
    <w:rPr>
      <w:sz w:val="16"/>
      <w:szCs w:val="16"/>
    </w:rPr>
  </w:style>
  <w:style w:type="paragraph" w:styleId="CommentText">
    <w:name w:val="annotation text"/>
    <w:basedOn w:val="Normal"/>
    <w:link w:val="CommentTextChar"/>
    <w:uiPriority w:val="99"/>
    <w:unhideWhenUsed/>
    <w:rsid w:val="00A86366"/>
    <w:rPr>
      <w:sz w:val="20"/>
      <w:szCs w:val="20"/>
    </w:rPr>
  </w:style>
  <w:style w:type="character" w:customStyle="1" w:styleId="CommentTextChar">
    <w:name w:val="Comment Text Char"/>
    <w:basedOn w:val="DefaultParagraphFont"/>
    <w:link w:val="CommentText"/>
    <w:uiPriority w:val="99"/>
    <w:rsid w:val="00A86366"/>
    <w:rPr>
      <w:rFonts w:eastAsia="Helvetica Neue Light" w:cs="Helvetica Neue Light"/>
      <w:kern w:val="0"/>
      <w:sz w:val="20"/>
      <w:szCs w:val="20"/>
      <w:lang w:eastAsia="en-GB"/>
    </w:rPr>
  </w:style>
  <w:style w:type="paragraph" w:styleId="CommentSubject">
    <w:name w:val="annotation subject"/>
    <w:basedOn w:val="CommentText"/>
    <w:next w:val="CommentText"/>
    <w:link w:val="CommentSubjectChar"/>
    <w:uiPriority w:val="99"/>
    <w:semiHidden/>
    <w:unhideWhenUsed/>
    <w:rsid w:val="00A86366"/>
    <w:rPr>
      <w:b/>
      <w:bCs/>
    </w:rPr>
  </w:style>
  <w:style w:type="character" w:customStyle="1" w:styleId="CommentSubjectChar">
    <w:name w:val="Comment Subject Char"/>
    <w:basedOn w:val="CommentTextChar"/>
    <w:link w:val="CommentSubject"/>
    <w:uiPriority w:val="99"/>
    <w:semiHidden/>
    <w:rsid w:val="00A86366"/>
    <w:rPr>
      <w:rFonts w:eastAsia="Helvetica Neue Light" w:cs="Helvetica Neue Light"/>
      <w:b/>
      <w:bCs/>
      <w:kern w:val="0"/>
      <w:sz w:val="20"/>
      <w:szCs w:val="20"/>
      <w:lang w:eastAsia="en-GB"/>
    </w:rPr>
  </w:style>
  <w:style w:type="paragraph" w:styleId="BalloonText">
    <w:name w:val="Balloon Text"/>
    <w:basedOn w:val="Normal"/>
    <w:link w:val="BalloonTextChar"/>
    <w:uiPriority w:val="99"/>
    <w:semiHidden/>
    <w:unhideWhenUsed/>
    <w:rsid w:val="00A863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366"/>
    <w:rPr>
      <w:rFonts w:ascii="Segoe UI" w:eastAsia="Helvetica Neue Light" w:hAnsi="Segoe UI" w:cs="Segoe UI"/>
      <w:kern w:val="0"/>
      <w:sz w:val="18"/>
      <w:szCs w:val="18"/>
      <w:lang w:eastAsia="en-GB"/>
    </w:rPr>
  </w:style>
  <w:style w:type="paragraph" w:customStyle="1" w:styleId="Normal1">
    <w:name w:val="Normal1"/>
    <w:rsid w:val="00ED72FD"/>
    <w:pPr>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ListParagraphChar">
    <w:name w:val="List Paragraph Char"/>
    <w:link w:val="ListParagraph"/>
    <w:uiPriority w:val="34"/>
    <w:rsid w:val="00ED72FD"/>
    <w:rPr>
      <w:rFonts w:eastAsia="Helvetica Neue Light" w:cs="Helvetica Neue Light"/>
      <w:kern w:val="0"/>
      <w:sz w:val="24"/>
      <w:szCs w:val="24"/>
      <w:lang w:eastAsia="en-GB"/>
      <w14:ligatures w14:val="none"/>
    </w:rPr>
  </w:style>
  <w:style w:type="paragraph" w:customStyle="1" w:styleId="paragraph">
    <w:name w:val="paragraph"/>
    <w:basedOn w:val="Normal"/>
    <w:rsid w:val="000211E5"/>
    <w:pPr>
      <w:spacing w:before="100" w:beforeAutospacing="1" w:after="100" w:afterAutospacing="1"/>
    </w:pPr>
    <w:rPr>
      <w:rFonts w:ascii="Times New Roman" w:eastAsia="Times New Roman" w:hAnsi="Times New Roman" w:cs="Times New Roman"/>
      <w14:ligatures w14:val="none"/>
    </w:rPr>
  </w:style>
  <w:style w:type="character" w:customStyle="1" w:styleId="eop">
    <w:name w:val="eop"/>
    <w:basedOn w:val="DefaultParagraphFont"/>
    <w:rsid w:val="000211E5"/>
  </w:style>
  <w:style w:type="paragraph" w:customStyle="1" w:styleId="Sub-headingtender">
    <w:name w:val="Sub-heading tender"/>
    <w:basedOn w:val="Normal"/>
    <w:link w:val="Sub-headingtenderChar"/>
    <w:qFormat/>
    <w:rsid w:val="00B86B67"/>
    <w:pPr>
      <w:spacing w:after="160" w:line="259" w:lineRule="auto"/>
    </w:pPr>
    <w:rPr>
      <w:rFonts w:ascii="Arial" w:eastAsia="Times New Roman" w:hAnsi="Arial" w:cs="Arial"/>
      <w:b/>
      <w:bCs/>
      <w:color w:val="4472C4"/>
      <w:sz w:val="28"/>
      <w:szCs w:val="28"/>
    </w:rPr>
  </w:style>
  <w:style w:type="character" w:customStyle="1" w:styleId="Sub-headingtenderChar">
    <w:name w:val="Sub-heading tender Char"/>
    <w:basedOn w:val="DefaultParagraphFont"/>
    <w:link w:val="Sub-headingtender"/>
    <w:rsid w:val="00B86B67"/>
    <w:rPr>
      <w:rFonts w:ascii="Arial" w:eastAsia="Times New Roman" w:hAnsi="Arial" w:cs="Arial"/>
      <w:b/>
      <w:bCs/>
      <w:color w:val="4472C4"/>
      <w:kern w:val="0"/>
      <w:sz w:val="28"/>
      <w:szCs w:val="28"/>
      <w:lang w:eastAsia="en-GB"/>
    </w:rPr>
  </w:style>
  <w:style w:type="paragraph" w:customStyle="1" w:styleId="Tables">
    <w:name w:val="Tables"/>
    <w:basedOn w:val="Normal"/>
    <w:link w:val="TablesChar"/>
    <w:qFormat/>
    <w:rsid w:val="00B33EC3"/>
    <w:pPr>
      <w:pBdr>
        <w:top w:val="nil"/>
        <w:left w:val="nil"/>
        <w:bottom w:val="nil"/>
        <w:right w:val="nil"/>
        <w:between w:val="nil"/>
      </w:pBdr>
      <w:suppressAutoHyphens/>
      <w:spacing w:before="120" w:after="120"/>
      <w:jc w:val="both"/>
    </w:pPr>
    <w:rPr>
      <w:rFonts w:ascii="Arial" w:hAnsi="Arial"/>
      <w:color w:val="0070C0"/>
      <w:sz w:val="28"/>
      <w:szCs w:val="28"/>
      <w14:ligatures w14:val="none"/>
    </w:rPr>
  </w:style>
  <w:style w:type="character" w:customStyle="1" w:styleId="TablesChar">
    <w:name w:val="Tables Char"/>
    <w:basedOn w:val="DefaultParagraphFont"/>
    <w:link w:val="Tables"/>
    <w:rsid w:val="00B33EC3"/>
    <w:rPr>
      <w:rFonts w:ascii="Arial" w:eastAsia="Helvetica Neue Light" w:hAnsi="Arial" w:cs="Helvetica Neue Light"/>
      <w:color w:val="0070C0"/>
      <w:kern w:val="0"/>
      <w:sz w:val="28"/>
      <w:szCs w:val="28"/>
      <w:lang w:eastAsia="en-GB"/>
      <w14:ligatures w14:val="none"/>
    </w:rPr>
  </w:style>
  <w:style w:type="paragraph" w:customStyle="1" w:styleId="Level2">
    <w:name w:val="Level 2"/>
    <w:basedOn w:val="Normal"/>
    <w:link w:val="Level2Char"/>
    <w:qFormat/>
    <w:rsid w:val="00E46D6B"/>
    <w:pPr>
      <w:tabs>
        <w:tab w:val="num" w:pos="851"/>
      </w:tabs>
      <w:adjustRightInd w:val="0"/>
      <w:spacing w:after="240"/>
      <w:ind w:left="851" w:hanging="851"/>
      <w:jc w:val="both"/>
      <w:outlineLvl w:val="1"/>
    </w:pPr>
    <w:rPr>
      <w:rFonts w:ascii="Arial" w:eastAsia="Arial" w:hAnsi="Arial" w:cs="Arial"/>
      <w:sz w:val="20"/>
      <w:szCs w:val="20"/>
      <w14:ligatures w14:val="none"/>
    </w:rPr>
  </w:style>
  <w:style w:type="character" w:customStyle="1" w:styleId="Level2Char">
    <w:name w:val="Level 2 Char"/>
    <w:link w:val="Level2"/>
    <w:rsid w:val="00E46D6B"/>
    <w:rPr>
      <w:rFonts w:ascii="Arial" w:eastAsia="Arial" w:hAnsi="Arial" w:cs="Arial"/>
      <w:kern w:val="0"/>
      <w:sz w:val="20"/>
      <w:szCs w:val="20"/>
      <w:lang w:eastAsia="en-GB"/>
      <w14:ligatures w14:val="none"/>
    </w:rPr>
  </w:style>
  <w:style w:type="character" w:customStyle="1" w:styleId="NoSpacingChar">
    <w:name w:val="No Spacing Char"/>
    <w:link w:val="NoSpacing"/>
    <w:uiPriority w:val="1"/>
    <w:rsid w:val="00566C14"/>
    <w:rPr>
      <w:rFonts w:eastAsia="Helvetica Neue Light" w:cs="Helvetica Neue Light"/>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937314">
      <w:bodyDiv w:val="1"/>
      <w:marLeft w:val="0"/>
      <w:marRight w:val="0"/>
      <w:marTop w:val="0"/>
      <w:marBottom w:val="0"/>
      <w:divBdr>
        <w:top w:val="none" w:sz="0" w:space="0" w:color="auto"/>
        <w:left w:val="none" w:sz="0" w:space="0" w:color="auto"/>
        <w:bottom w:val="none" w:sz="0" w:space="0" w:color="auto"/>
        <w:right w:val="none" w:sz="0" w:space="0" w:color="auto"/>
      </w:divBdr>
      <w:divsChild>
        <w:div w:id="564414945">
          <w:marLeft w:val="0"/>
          <w:marRight w:val="0"/>
          <w:marTop w:val="0"/>
          <w:marBottom w:val="0"/>
          <w:divBdr>
            <w:top w:val="none" w:sz="0" w:space="0" w:color="auto"/>
            <w:left w:val="none" w:sz="0" w:space="0" w:color="auto"/>
            <w:bottom w:val="none" w:sz="0" w:space="0" w:color="auto"/>
            <w:right w:val="none" w:sz="0" w:space="0" w:color="auto"/>
          </w:divBdr>
        </w:div>
        <w:div w:id="1525091367">
          <w:marLeft w:val="0"/>
          <w:marRight w:val="0"/>
          <w:marTop w:val="0"/>
          <w:marBottom w:val="0"/>
          <w:divBdr>
            <w:top w:val="none" w:sz="0" w:space="0" w:color="auto"/>
            <w:left w:val="none" w:sz="0" w:space="0" w:color="auto"/>
            <w:bottom w:val="none" w:sz="0" w:space="0" w:color="auto"/>
            <w:right w:val="none" w:sz="0" w:space="0" w:color="auto"/>
          </w:divBdr>
        </w:div>
        <w:div w:id="1928611986">
          <w:marLeft w:val="0"/>
          <w:marRight w:val="0"/>
          <w:marTop w:val="0"/>
          <w:marBottom w:val="0"/>
          <w:divBdr>
            <w:top w:val="none" w:sz="0" w:space="0" w:color="auto"/>
            <w:left w:val="none" w:sz="0" w:space="0" w:color="auto"/>
            <w:bottom w:val="none" w:sz="0" w:space="0" w:color="auto"/>
            <w:right w:val="none" w:sz="0" w:space="0" w:color="auto"/>
          </w:divBdr>
        </w:div>
        <w:div w:id="833959004">
          <w:marLeft w:val="0"/>
          <w:marRight w:val="0"/>
          <w:marTop w:val="0"/>
          <w:marBottom w:val="0"/>
          <w:divBdr>
            <w:top w:val="none" w:sz="0" w:space="0" w:color="auto"/>
            <w:left w:val="none" w:sz="0" w:space="0" w:color="auto"/>
            <w:bottom w:val="none" w:sz="0" w:space="0" w:color="auto"/>
            <w:right w:val="none" w:sz="0" w:space="0" w:color="auto"/>
          </w:divBdr>
        </w:div>
        <w:div w:id="918949496">
          <w:marLeft w:val="0"/>
          <w:marRight w:val="0"/>
          <w:marTop w:val="0"/>
          <w:marBottom w:val="0"/>
          <w:divBdr>
            <w:top w:val="none" w:sz="0" w:space="0" w:color="auto"/>
            <w:left w:val="none" w:sz="0" w:space="0" w:color="auto"/>
            <w:bottom w:val="none" w:sz="0" w:space="0" w:color="auto"/>
            <w:right w:val="none" w:sz="0" w:space="0" w:color="auto"/>
          </w:divBdr>
        </w:div>
      </w:divsChild>
    </w:div>
    <w:div w:id="734206956">
      <w:bodyDiv w:val="1"/>
      <w:marLeft w:val="0"/>
      <w:marRight w:val="0"/>
      <w:marTop w:val="0"/>
      <w:marBottom w:val="0"/>
      <w:divBdr>
        <w:top w:val="none" w:sz="0" w:space="0" w:color="auto"/>
        <w:left w:val="none" w:sz="0" w:space="0" w:color="auto"/>
        <w:bottom w:val="none" w:sz="0" w:space="0" w:color="auto"/>
        <w:right w:val="none" w:sz="0" w:space="0" w:color="auto"/>
      </w:divBdr>
      <w:divsChild>
        <w:div w:id="1968126861">
          <w:marLeft w:val="0"/>
          <w:marRight w:val="0"/>
          <w:marTop w:val="0"/>
          <w:marBottom w:val="0"/>
          <w:divBdr>
            <w:top w:val="none" w:sz="0" w:space="0" w:color="auto"/>
            <w:left w:val="none" w:sz="0" w:space="0" w:color="auto"/>
            <w:bottom w:val="none" w:sz="0" w:space="0" w:color="auto"/>
            <w:right w:val="none" w:sz="0" w:space="0" w:color="auto"/>
          </w:divBdr>
        </w:div>
        <w:div w:id="949777869">
          <w:marLeft w:val="0"/>
          <w:marRight w:val="0"/>
          <w:marTop w:val="0"/>
          <w:marBottom w:val="0"/>
          <w:divBdr>
            <w:top w:val="none" w:sz="0" w:space="0" w:color="auto"/>
            <w:left w:val="none" w:sz="0" w:space="0" w:color="auto"/>
            <w:bottom w:val="none" w:sz="0" w:space="0" w:color="auto"/>
            <w:right w:val="none" w:sz="0" w:space="0" w:color="auto"/>
          </w:divBdr>
        </w:div>
        <w:div w:id="1599287666">
          <w:marLeft w:val="0"/>
          <w:marRight w:val="0"/>
          <w:marTop w:val="0"/>
          <w:marBottom w:val="0"/>
          <w:divBdr>
            <w:top w:val="none" w:sz="0" w:space="0" w:color="auto"/>
            <w:left w:val="none" w:sz="0" w:space="0" w:color="auto"/>
            <w:bottom w:val="none" w:sz="0" w:space="0" w:color="auto"/>
            <w:right w:val="none" w:sz="0" w:space="0" w:color="auto"/>
          </w:divBdr>
        </w:div>
        <w:div w:id="2069106122">
          <w:marLeft w:val="0"/>
          <w:marRight w:val="0"/>
          <w:marTop w:val="0"/>
          <w:marBottom w:val="0"/>
          <w:divBdr>
            <w:top w:val="none" w:sz="0" w:space="0" w:color="auto"/>
            <w:left w:val="none" w:sz="0" w:space="0" w:color="auto"/>
            <w:bottom w:val="none" w:sz="0" w:space="0" w:color="auto"/>
            <w:right w:val="none" w:sz="0" w:space="0" w:color="auto"/>
          </w:divBdr>
        </w:div>
        <w:div w:id="876820410">
          <w:marLeft w:val="0"/>
          <w:marRight w:val="0"/>
          <w:marTop w:val="0"/>
          <w:marBottom w:val="0"/>
          <w:divBdr>
            <w:top w:val="none" w:sz="0" w:space="0" w:color="auto"/>
            <w:left w:val="none" w:sz="0" w:space="0" w:color="auto"/>
            <w:bottom w:val="none" w:sz="0" w:space="0" w:color="auto"/>
            <w:right w:val="none" w:sz="0" w:space="0" w:color="auto"/>
          </w:divBdr>
        </w:div>
        <w:div w:id="2129857543">
          <w:marLeft w:val="0"/>
          <w:marRight w:val="0"/>
          <w:marTop w:val="0"/>
          <w:marBottom w:val="0"/>
          <w:divBdr>
            <w:top w:val="none" w:sz="0" w:space="0" w:color="auto"/>
            <w:left w:val="none" w:sz="0" w:space="0" w:color="auto"/>
            <w:bottom w:val="none" w:sz="0" w:space="0" w:color="auto"/>
            <w:right w:val="none" w:sz="0" w:space="0" w:color="auto"/>
          </w:divBdr>
        </w:div>
        <w:div w:id="2143494669">
          <w:marLeft w:val="0"/>
          <w:marRight w:val="0"/>
          <w:marTop w:val="0"/>
          <w:marBottom w:val="0"/>
          <w:divBdr>
            <w:top w:val="none" w:sz="0" w:space="0" w:color="auto"/>
            <w:left w:val="none" w:sz="0" w:space="0" w:color="auto"/>
            <w:bottom w:val="none" w:sz="0" w:space="0" w:color="auto"/>
            <w:right w:val="none" w:sz="0" w:space="0" w:color="auto"/>
          </w:divBdr>
        </w:div>
        <w:div w:id="1337152235">
          <w:marLeft w:val="0"/>
          <w:marRight w:val="0"/>
          <w:marTop w:val="0"/>
          <w:marBottom w:val="0"/>
          <w:divBdr>
            <w:top w:val="none" w:sz="0" w:space="0" w:color="auto"/>
            <w:left w:val="none" w:sz="0" w:space="0" w:color="auto"/>
            <w:bottom w:val="none" w:sz="0" w:space="0" w:color="auto"/>
            <w:right w:val="none" w:sz="0" w:space="0" w:color="auto"/>
          </w:divBdr>
        </w:div>
        <w:div w:id="270672569">
          <w:marLeft w:val="0"/>
          <w:marRight w:val="0"/>
          <w:marTop w:val="0"/>
          <w:marBottom w:val="0"/>
          <w:divBdr>
            <w:top w:val="none" w:sz="0" w:space="0" w:color="auto"/>
            <w:left w:val="none" w:sz="0" w:space="0" w:color="auto"/>
            <w:bottom w:val="none" w:sz="0" w:space="0" w:color="auto"/>
            <w:right w:val="none" w:sz="0" w:space="0" w:color="auto"/>
          </w:divBdr>
        </w:div>
      </w:divsChild>
    </w:div>
    <w:div w:id="1201362767">
      <w:bodyDiv w:val="1"/>
      <w:marLeft w:val="0"/>
      <w:marRight w:val="0"/>
      <w:marTop w:val="0"/>
      <w:marBottom w:val="0"/>
      <w:divBdr>
        <w:top w:val="none" w:sz="0" w:space="0" w:color="auto"/>
        <w:left w:val="none" w:sz="0" w:space="0" w:color="auto"/>
        <w:bottom w:val="none" w:sz="0" w:space="0" w:color="auto"/>
        <w:right w:val="none" w:sz="0" w:space="0" w:color="auto"/>
      </w:divBdr>
      <w:divsChild>
        <w:div w:id="536241270">
          <w:marLeft w:val="0"/>
          <w:marRight w:val="0"/>
          <w:marTop w:val="0"/>
          <w:marBottom w:val="0"/>
          <w:divBdr>
            <w:top w:val="none" w:sz="0" w:space="0" w:color="auto"/>
            <w:left w:val="none" w:sz="0" w:space="0" w:color="auto"/>
            <w:bottom w:val="none" w:sz="0" w:space="0" w:color="auto"/>
            <w:right w:val="none" w:sz="0" w:space="0" w:color="auto"/>
          </w:divBdr>
        </w:div>
        <w:div w:id="677780332">
          <w:marLeft w:val="0"/>
          <w:marRight w:val="0"/>
          <w:marTop w:val="0"/>
          <w:marBottom w:val="0"/>
          <w:divBdr>
            <w:top w:val="none" w:sz="0" w:space="0" w:color="auto"/>
            <w:left w:val="none" w:sz="0" w:space="0" w:color="auto"/>
            <w:bottom w:val="none" w:sz="0" w:space="0" w:color="auto"/>
            <w:right w:val="none" w:sz="0" w:space="0" w:color="auto"/>
          </w:divBdr>
        </w:div>
        <w:div w:id="1419213862">
          <w:marLeft w:val="0"/>
          <w:marRight w:val="0"/>
          <w:marTop w:val="0"/>
          <w:marBottom w:val="0"/>
          <w:divBdr>
            <w:top w:val="none" w:sz="0" w:space="0" w:color="auto"/>
            <w:left w:val="none" w:sz="0" w:space="0" w:color="auto"/>
            <w:bottom w:val="none" w:sz="0" w:space="0" w:color="auto"/>
            <w:right w:val="none" w:sz="0" w:space="0" w:color="auto"/>
          </w:divBdr>
        </w:div>
        <w:div w:id="1620524066">
          <w:marLeft w:val="0"/>
          <w:marRight w:val="0"/>
          <w:marTop w:val="0"/>
          <w:marBottom w:val="0"/>
          <w:divBdr>
            <w:top w:val="none" w:sz="0" w:space="0" w:color="auto"/>
            <w:left w:val="none" w:sz="0" w:space="0" w:color="auto"/>
            <w:bottom w:val="none" w:sz="0" w:space="0" w:color="auto"/>
            <w:right w:val="none" w:sz="0" w:space="0" w:color="auto"/>
          </w:divBdr>
        </w:div>
        <w:div w:id="1939556789">
          <w:marLeft w:val="0"/>
          <w:marRight w:val="0"/>
          <w:marTop w:val="0"/>
          <w:marBottom w:val="0"/>
          <w:divBdr>
            <w:top w:val="none" w:sz="0" w:space="0" w:color="auto"/>
            <w:left w:val="none" w:sz="0" w:space="0" w:color="auto"/>
            <w:bottom w:val="none" w:sz="0" w:space="0" w:color="auto"/>
            <w:right w:val="none" w:sz="0" w:space="0" w:color="auto"/>
          </w:divBdr>
        </w:div>
      </w:divsChild>
    </w:div>
    <w:div w:id="1795517976">
      <w:bodyDiv w:val="1"/>
      <w:marLeft w:val="0"/>
      <w:marRight w:val="0"/>
      <w:marTop w:val="0"/>
      <w:marBottom w:val="0"/>
      <w:divBdr>
        <w:top w:val="none" w:sz="0" w:space="0" w:color="auto"/>
        <w:left w:val="none" w:sz="0" w:space="0" w:color="auto"/>
        <w:bottom w:val="none" w:sz="0" w:space="0" w:color="auto"/>
        <w:right w:val="none" w:sz="0" w:space="0" w:color="auto"/>
      </w:divBdr>
      <w:divsChild>
        <w:div w:id="453060998">
          <w:marLeft w:val="0"/>
          <w:marRight w:val="0"/>
          <w:marTop w:val="0"/>
          <w:marBottom w:val="0"/>
          <w:divBdr>
            <w:top w:val="none" w:sz="0" w:space="0" w:color="auto"/>
            <w:left w:val="none" w:sz="0" w:space="0" w:color="auto"/>
            <w:bottom w:val="none" w:sz="0" w:space="0" w:color="auto"/>
            <w:right w:val="none" w:sz="0" w:space="0" w:color="auto"/>
          </w:divBdr>
        </w:div>
        <w:div w:id="195824045">
          <w:marLeft w:val="0"/>
          <w:marRight w:val="0"/>
          <w:marTop w:val="0"/>
          <w:marBottom w:val="0"/>
          <w:divBdr>
            <w:top w:val="none" w:sz="0" w:space="0" w:color="auto"/>
            <w:left w:val="none" w:sz="0" w:space="0" w:color="auto"/>
            <w:bottom w:val="none" w:sz="0" w:space="0" w:color="auto"/>
            <w:right w:val="none" w:sz="0" w:space="0" w:color="auto"/>
          </w:divBdr>
        </w:div>
        <w:div w:id="1109936589">
          <w:marLeft w:val="0"/>
          <w:marRight w:val="0"/>
          <w:marTop w:val="0"/>
          <w:marBottom w:val="0"/>
          <w:divBdr>
            <w:top w:val="none" w:sz="0" w:space="0" w:color="auto"/>
            <w:left w:val="none" w:sz="0" w:space="0" w:color="auto"/>
            <w:bottom w:val="none" w:sz="0" w:space="0" w:color="auto"/>
            <w:right w:val="none" w:sz="0" w:space="0" w:color="auto"/>
          </w:divBdr>
        </w:div>
        <w:div w:id="1423909795">
          <w:marLeft w:val="0"/>
          <w:marRight w:val="0"/>
          <w:marTop w:val="0"/>
          <w:marBottom w:val="0"/>
          <w:divBdr>
            <w:top w:val="none" w:sz="0" w:space="0" w:color="auto"/>
            <w:left w:val="none" w:sz="0" w:space="0" w:color="auto"/>
            <w:bottom w:val="none" w:sz="0" w:space="0" w:color="auto"/>
            <w:right w:val="none" w:sz="0" w:space="0" w:color="auto"/>
          </w:divBdr>
        </w:div>
        <w:div w:id="385490946">
          <w:marLeft w:val="0"/>
          <w:marRight w:val="0"/>
          <w:marTop w:val="0"/>
          <w:marBottom w:val="0"/>
          <w:divBdr>
            <w:top w:val="none" w:sz="0" w:space="0" w:color="auto"/>
            <w:left w:val="none" w:sz="0" w:space="0" w:color="auto"/>
            <w:bottom w:val="none" w:sz="0" w:space="0" w:color="auto"/>
            <w:right w:val="none" w:sz="0" w:space="0" w:color="auto"/>
          </w:divBdr>
        </w:div>
        <w:div w:id="2098669216">
          <w:marLeft w:val="0"/>
          <w:marRight w:val="0"/>
          <w:marTop w:val="0"/>
          <w:marBottom w:val="0"/>
          <w:divBdr>
            <w:top w:val="none" w:sz="0" w:space="0" w:color="auto"/>
            <w:left w:val="none" w:sz="0" w:space="0" w:color="auto"/>
            <w:bottom w:val="none" w:sz="0" w:space="0" w:color="auto"/>
            <w:right w:val="none" w:sz="0" w:space="0" w:color="auto"/>
          </w:divBdr>
        </w:div>
        <w:div w:id="1433210095">
          <w:marLeft w:val="0"/>
          <w:marRight w:val="0"/>
          <w:marTop w:val="0"/>
          <w:marBottom w:val="0"/>
          <w:divBdr>
            <w:top w:val="none" w:sz="0" w:space="0" w:color="auto"/>
            <w:left w:val="none" w:sz="0" w:space="0" w:color="auto"/>
            <w:bottom w:val="none" w:sz="0" w:space="0" w:color="auto"/>
            <w:right w:val="none" w:sz="0" w:space="0" w:color="auto"/>
          </w:divBdr>
        </w:div>
        <w:div w:id="1173035246">
          <w:marLeft w:val="0"/>
          <w:marRight w:val="0"/>
          <w:marTop w:val="0"/>
          <w:marBottom w:val="0"/>
          <w:divBdr>
            <w:top w:val="none" w:sz="0" w:space="0" w:color="auto"/>
            <w:left w:val="none" w:sz="0" w:space="0" w:color="auto"/>
            <w:bottom w:val="none" w:sz="0" w:space="0" w:color="auto"/>
            <w:right w:val="none" w:sz="0" w:space="0" w:color="auto"/>
          </w:divBdr>
        </w:div>
        <w:div w:id="735522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cid:image002.png@01D7DC9C.0C8A2D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dlingaction.london/"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951</TotalTime>
  <Pages>4</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Elyse - Commercial Services</dc:creator>
  <cp:keywords/>
  <dc:description/>
  <cp:lastModifiedBy>Malde Rahul - Commercial Services</cp:lastModifiedBy>
  <cp:revision>89</cp:revision>
  <dcterms:created xsi:type="dcterms:W3CDTF">2025-01-20T15:09:00Z</dcterms:created>
  <dcterms:modified xsi:type="dcterms:W3CDTF">2025-12-30T11:47:00Z</dcterms:modified>
</cp:coreProperties>
</file>