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9420C3" w14:textId="77777777"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2FB9C3C4" w14:textId="77777777" w:rsidR="00667472" w:rsidRPr="004A7A3A" w:rsidRDefault="00667472" w:rsidP="00603661">
      <w:pPr>
        <w:rPr>
          <w:rFonts w:ascii="Arial" w:hAnsi="Arial" w:cs="Arial"/>
          <w:sz w:val="28"/>
          <w:szCs w:val="28"/>
        </w:rPr>
      </w:pPr>
    </w:p>
    <w:p w14:paraId="7727A4A4" w14:textId="77777777" w:rsidR="00411034" w:rsidRDefault="00411034" w:rsidP="00BC3CF2">
      <w:pPr>
        <w:pStyle w:val="NoSpacing"/>
        <w:rPr>
          <w:rFonts w:ascii="Arial" w:hAnsi="Arial" w:cs="Arial"/>
          <w:b/>
          <w:sz w:val="24"/>
          <w:szCs w:val="24"/>
        </w:rPr>
      </w:pPr>
      <w:r w:rsidRPr="00411034">
        <w:rPr>
          <w:rFonts w:ascii="Arial" w:hAnsi="Arial" w:cs="Arial"/>
          <w:b/>
          <w:sz w:val="24"/>
          <w:szCs w:val="24"/>
        </w:rPr>
        <w:t>Project title: NHS National Framework for Transition Products (Nintedanib and Dalbavancin) commencing 1st May 2026</w:t>
      </w:r>
    </w:p>
    <w:p w14:paraId="6FED5CE8" w14:textId="77777777" w:rsidR="00BC3CF2" w:rsidRPr="00411034" w:rsidRDefault="00BC3CF2" w:rsidP="00BC3CF2">
      <w:pPr>
        <w:pStyle w:val="NoSpacing"/>
        <w:rPr>
          <w:rFonts w:ascii="Arial" w:hAnsi="Arial" w:cs="Arial"/>
          <w:b/>
          <w:sz w:val="24"/>
          <w:szCs w:val="24"/>
        </w:rPr>
      </w:pPr>
    </w:p>
    <w:p w14:paraId="3AFC2836" w14:textId="77777777" w:rsidR="00411034" w:rsidRDefault="00411034" w:rsidP="00BC3CF2">
      <w:pPr>
        <w:pStyle w:val="NoSpacing"/>
        <w:rPr>
          <w:rFonts w:ascii="Arial" w:hAnsi="Arial" w:cs="Arial"/>
          <w:b/>
          <w:sz w:val="24"/>
          <w:szCs w:val="24"/>
        </w:rPr>
      </w:pPr>
      <w:r w:rsidRPr="00411034">
        <w:rPr>
          <w:rFonts w:ascii="Arial" w:hAnsi="Arial" w:cs="Arial"/>
          <w:b/>
          <w:sz w:val="24"/>
          <w:szCs w:val="24"/>
        </w:rPr>
        <w:t>Offer reference number: CM/TNS/25/5736</w:t>
      </w:r>
    </w:p>
    <w:p w14:paraId="501DCD5E" w14:textId="77777777" w:rsidR="00BC3CF2" w:rsidRPr="00411034" w:rsidRDefault="00BC3CF2" w:rsidP="00BC3CF2">
      <w:pPr>
        <w:pStyle w:val="NoSpacing"/>
        <w:rPr>
          <w:rFonts w:ascii="Arial" w:hAnsi="Arial" w:cs="Arial"/>
          <w:b/>
          <w:sz w:val="24"/>
          <w:szCs w:val="24"/>
        </w:rPr>
      </w:pPr>
    </w:p>
    <w:p w14:paraId="603CA114" w14:textId="77777777" w:rsidR="00411034" w:rsidRDefault="00411034" w:rsidP="00BC3CF2">
      <w:pPr>
        <w:pStyle w:val="NoSpacing"/>
        <w:rPr>
          <w:rFonts w:ascii="Arial" w:hAnsi="Arial" w:cs="Arial"/>
          <w:b/>
          <w:sz w:val="24"/>
          <w:szCs w:val="24"/>
        </w:rPr>
      </w:pPr>
      <w:r w:rsidRPr="00411034">
        <w:rPr>
          <w:rFonts w:ascii="Arial" w:hAnsi="Arial" w:cs="Arial"/>
          <w:b/>
          <w:sz w:val="24"/>
          <w:szCs w:val="24"/>
        </w:rPr>
        <w:t>Period of framework agreement: Dates detailed below, with an option or options to extend (at the discretion of the Authority) up to a maximum of 24 months.</w:t>
      </w:r>
    </w:p>
    <w:p w14:paraId="51174FFB" w14:textId="77777777" w:rsidR="00BC3CF2" w:rsidRPr="00411034" w:rsidRDefault="00BC3CF2" w:rsidP="00BC3CF2">
      <w:pPr>
        <w:pStyle w:val="NoSpacing"/>
        <w:rPr>
          <w:rFonts w:ascii="Arial" w:hAnsi="Arial" w:cs="Arial"/>
          <w:b/>
          <w:sz w:val="24"/>
          <w:szCs w:val="24"/>
        </w:rPr>
      </w:pPr>
    </w:p>
    <w:p w14:paraId="3D1E08DC" w14:textId="77777777" w:rsidR="00411034" w:rsidRPr="00411034" w:rsidRDefault="00411034" w:rsidP="00BC3CF2">
      <w:pPr>
        <w:pStyle w:val="NoSpacing"/>
        <w:rPr>
          <w:rFonts w:ascii="Arial" w:hAnsi="Arial" w:cs="Arial"/>
          <w:b/>
          <w:sz w:val="24"/>
          <w:szCs w:val="24"/>
        </w:rPr>
      </w:pPr>
      <w:r w:rsidRPr="00411034">
        <w:rPr>
          <w:rFonts w:ascii="Arial" w:hAnsi="Arial" w:cs="Arial"/>
          <w:b/>
          <w:sz w:val="24"/>
          <w:szCs w:val="24"/>
        </w:rPr>
        <w:t xml:space="preserve">CM/TNS/25/5736 Nintedanib and Dalbavancin </w:t>
      </w:r>
    </w:p>
    <w:p w14:paraId="4446A754" w14:textId="77777777" w:rsidR="00411034" w:rsidRPr="00411034" w:rsidRDefault="00411034" w:rsidP="00BC3CF2">
      <w:pPr>
        <w:pStyle w:val="NoSpacing"/>
        <w:rPr>
          <w:rFonts w:ascii="Arial" w:hAnsi="Arial" w:cs="Arial"/>
          <w:b/>
          <w:sz w:val="24"/>
          <w:szCs w:val="24"/>
        </w:rPr>
      </w:pPr>
      <w:r w:rsidRPr="00411034">
        <w:rPr>
          <w:rFonts w:ascii="Arial" w:hAnsi="Arial" w:cs="Arial"/>
          <w:b/>
          <w:sz w:val="24"/>
          <w:szCs w:val="24"/>
        </w:rPr>
        <w:t>Lot 1 DLN/DNW: 01/05/2026 to 30/09/2027 (17 months)</w:t>
      </w:r>
    </w:p>
    <w:p w14:paraId="658E1F53" w14:textId="77777777" w:rsidR="00411034" w:rsidRPr="00411034" w:rsidRDefault="00411034" w:rsidP="00BC3CF2">
      <w:pPr>
        <w:pStyle w:val="NoSpacing"/>
        <w:rPr>
          <w:rFonts w:ascii="Arial" w:hAnsi="Arial" w:cs="Arial"/>
          <w:b/>
          <w:sz w:val="24"/>
          <w:szCs w:val="24"/>
        </w:rPr>
      </w:pPr>
      <w:r w:rsidRPr="00411034">
        <w:rPr>
          <w:rFonts w:ascii="Arial" w:hAnsi="Arial" w:cs="Arial"/>
          <w:b/>
          <w:sz w:val="24"/>
          <w:szCs w:val="24"/>
        </w:rPr>
        <w:t xml:space="preserve">Lot 2 DLS/DNE: 01/05/2026 to 31/05/2027 (13 months) </w:t>
      </w:r>
    </w:p>
    <w:p w14:paraId="18549CE1" w14:textId="77777777" w:rsidR="00411034" w:rsidRDefault="00411034" w:rsidP="00BC3CF2">
      <w:pPr>
        <w:pStyle w:val="NoSpacing"/>
        <w:rPr>
          <w:rFonts w:ascii="Arial" w:hAnsi="Arial" w:cs="Arial"/>
          <w:b/>
          <w:sz w:val="24"/>
          <w:szCs w:val="24"/>
        </w:rPr>
      </w:pPr>
      <w:r w:rsidRPr="00411034">
        <w:rPr>
          <w:rFonts w:ascii="Arial" w:hAnsi="Arial" w:cs="Arial"/>
          <w:b/>
          <w:sz w:val="24"/>
          <w:szCs w:val="24"/>
        </w:rPr>
        <w:t>Lot 3 DCE/DSW: 01/05/2026 to 31/01/2027 (9 months)</w:t>
      </w:r>
    </w:p>
    <w:p w14:paraId="4E33BCC1" w14:textId="77777777" w:rsidR="00BC3CF2" w:rsidRPr="00411034" w:rsidRDefault="00BC3CF2" w:rsidP="00BC3CF2">
      <w:pPr>
        <w:pStyle w:val="NoSpacing"/>
        <w:rPr>
          <w:rFonts w:ascii="Arial" w:hAnsi="Arial" w:cs="Arial"/>
          <w:b/>
          <w:sz w:val="24"/>
          <w:szCs w:val="24"/>
        </w:rPr>
      </w:pPr>
    </w:p>
    <w:p w14:paraId="58BB1CD6" w14:textId="56207720" w:rsidR="00061F5D" w:rsidRPr="00F82BB1" w:rsidRDefault="00411034" w:rsidP="00BC3CF2">
      <w:pPr>
        <w:pStyle w:val="NoSpacing"/>
        <w:rPr>
          <w:rFonts w:ascii="Arial" w:hAnsi="Arial" w:cs="Arial"/>
          <w:b/>
          <w:sz w:val="24"/>
          <w:szCs w:val="24"/>
        </w:rPr>
      </w:pPr>
      <w:r w:rsidRPr="00411034">
        <w:rPr>
          <w:rFonts w:ascii="Arial" w:hAnsi="Arial" w:cs="Arial"/>
          <w:b/>
          <w:sz w:val="24"/>
          <w:szCs w:val="24"/>
        </w:rPr>
        <w:t>Published By: Medicines Procurement and Supply Chain - NHS Medicines Value &amp; Access, NHS England</w:t>
      </w:r>
      <w:r w:rsidR="00061F5D" w:rsidRPr="00F82BB1">
        <w:rPr>
          <w:rFonts w:ascii="Arial" w:hAnsi="Arial" w:cs="Arial"/>
          <w:b/>
          <w:sz w:val="24"/>
          <w:szCs w:val="24"/>
        </w:rPr>
        <w:tab/>
      </w:r>
    </w:p>
    <w:p w14:paraId="7E8ACED1" w14:textId="77777777" w:rsidR="0035283A" w:rsidRDefault="0035283A" w:rsidP="00603661">
      <w:pPr>
        <w:rPr>
          <w:rFonts w:ascii="Arial" w:hAnsi="Arial" w:cs="Arial"/>
          <w:b/>
          <w:bCs/>
          <w:sz w:val="28"/>
          <w:szCs w:val="28"/>
        </w:rPr>
      </w:pPr>
    </w:p>
    <w:p w14:paraId="108A2166" w14:textId="573B71ED" w:rsidR="003B554C" w:rsidRDefault="003B554C" w:rsidP="00061F5D">
      <w:pPr>
        <w:rPr>
          <w:rFonts w:ascii="Arial" w:hAnsi="Arial" w:cs="Arial"/>
          <w:b/>
          <w:bCs/>
          <w:sz w:val="28"/>
          <w:szCs w:val="28"/>
        </w:rPr>
      </w:pPr>
      <w:r w:rsidRPr="004A7A3A">
        <w:rPr>
          <w:rFonts w:ascii="Arial" w:hAnsi="Arial" w:cs="Arial"/>
          <w:b/>
          <w:bCs/>
          <w:sz w:val="28"/>
          <w:szCs w:val="28"/>
        </w:rPr>
        <w:t>Quality Assurance Process</w:t>
      </w:r>
    </w:p>
    <w:p w14:paraId="1E300346" w14:textId="77777777" w:rsidR="003B554C" w:rsidRDefault="003B554C" w:rsidP="00603661">
      <w:pPr>
        <w:rPr>
          <w:rFonts w:ascii="Arial" w:hAnsi="Arial" w:cs="Arial"/>
          <w:b/>
          <w:bCs/>
          <w:sz w:val="28"/>
          <w:szCs w:val="28"/>
        </w:rPr>
      </w:pPr>
    </w:p>
    <w:p w14:paraId="32FA5744" w14:textId="77777777" w:rsidR="003B554C" w:rsidRPr="004A7A3A" w:rsidRDefault="003B554C" w:rsidP="00603661">
      <w:pPr>
        <w:rPr>
          <w:rFonts w:ascii="Arial" w:hAnsi="Arial" w:cs="Arial"/>
          <w:sz w:val="28"/>
          <w:szCs w:val="28"/>
        </w:rPr>
      </w:pPr>
    </w:p>
    <w:bookmarkEnd w:id="0"/>
    <w:p w14:paraId="48F2A671"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1FE8159E" w14:textId="77777777" w:rsidR="007E0361" w:rsidRPr="004A7A3A" w:rsidRDefault="007E0361" w:rsidP="00E1388E">
      <w:pPr>
        <w:ind w:left="567" w:hanging="567"/>
        <w:contextualSpacing/>
        <w:rPr>
          <w:rFonts w:ascii="Arial" w:hAnsi="Arial" w:cs="Arial"/>
          <w:sz w:val="24"/>
          <w:szCs w:val="24"/>
          <w:lang w:eastAsia="en-GB"/>
        </w:rPr>
      </w:pPr>
    </w:p>
    <w:p w14:paraId="25921CB3"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7163D1BF" w14:textId="77777777" w:rsidR="007E0361" w:rsidRPr="004A7A3A" w:rsidRDefault="007E0361" w:rsidP="00E1388E">
      <w:pPr>
        <w:ind w:hanging="567"/>
        <w:rPr>
          <w:rFonts w:ascii="Arial" w:hAnsi="Arial" w:cs="Arial"/>
          <w:sz w:val="24"/>
          <w:szCs w:val="24"/>
        </w:rPr>
      </w:pPr>
    </w:p>
    <w:p w14:paraId="1D727A9C"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w:t>
      </w:r>
    </w:p>
    <w:p w14:paraId="4BD66DA4"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 xml:space="preserve">“N” – Normal risk products </w:t>
      </w:r>
    </w:p>
    <w:p w14:paraId="7C39048A" w14:textId="77777777" w:rsidR="0007761A" w:rsidRPr="004A7A3A" w:rsidRDefault="0007761A" w:rsidP="00E1388E">
      <w:pPr>
        <w:ind w:hanging="567"/>
        <w:rPr>
          <w:rFonts w:ascii="Arial" w:hAnsi="Arial" w:cs="Arial"/>
          <w:sz w:val="24"/>
          <w:szCs w:val="24"/>
        </w:rPr>
      </w:pPr>
    </w:p>
    <w:p w14:paraId="32702BC7" w14:textId="289B029B" w:rsidR="007E0361" w:rsidRPr="004A7A3A" w:rsidRDefault="007E0361" w:rsidP="00D40092">
      <w:pPr>
        <w:ind w:left="564"/>
        <w:jc w:val="both"/>
        <w:rPr>
          <w:rFonts w:ascii="Arial" w:hAnsi="Arial" w:cs="Arial"/>
          <w:sz w:val="24"/>
          <w:szCs w:val="24"/>
        </w:rPr>
      </w:pPr>
      <w:r w:rsidRPr="004A7A3A">
        <w:rPr>
          <w:rFonts w:ascii="Arial" w:hAnsi="Arial" w:cs="Arial"/>
          <w:sz w:val="24"/>
          <w:szCs w:val="24"/>
        </w:rPr>
        <w:t xml:space="preserve">Please refer to </w:t>
      </w:r>
      <w:r w:rsidRPr="006C4E5E">
        <w:rPr>
          <w:rFonts w:ascii="Arial" w:hAnsi="Arial" w:cs="Arial"/>
          <w:sz w:val="24"/>
          <w:szCs w:val="24"/>
        </w:rPr>
        <w:t>Document No.</w:t>
      </w:r>
      <w:r w:rsidR="00DF4DF9">
        <w:rPr>
          <w:rFonts w:ascii="Arial" w:hAnsi="Arial" w:cs="Arial"/>
          <w:sz w:val="24"/>
          <w:szCs w:val="24"/>
        </w:rPr>
        <w:t xml:space="preserve"> </w:t>
      </w:r>
      <w:r w:rsidRPr="006C4E5E">
        <w:rPr>
          <w:rFonts w:ascii="Arial" w:hAnsi="Arial" w:cs="Arial"/>
          <w:sz w:val="24"/>
          <w:szCs w:val="24"/>
        </w:rPr>
        <w:t>05</w:t>
      </w:r>
      <w:r w:rsidR="006F7C52" w:rsidRPr="006C4E5E">
        <w:rPr>
          <w:rFonts w:ascii="Arial" w:hAnsi="Arial" w:cs="Arial"/>
          <w:sz w:val="24"/>
          <w:szCs w:val="24"/>
        </w:rPr>
        <w:t>b</w:t>
      </w:r>
      <w:r w:rsidR="0057726B" w:rsidDel="002041AC">
        <w:rPr>
          <w:rFonts w:ascii="Arial" w:hAnsi="Arial" w:cs="Arial"/>
          <w:sz w:val="24"/>
          <w:szCs w:val="24"/>
        </w:rPr>
        <w:t xml:space="preserve"> </w:t>
      </w:r>
      <w:r w:rsidRPr="004A7A3A">
        <w:rPr>
          <w:rFonts w:ascii="Arial" w:hAnsi="Arial" w:cs="Arial"/>
          <w:sz w:val="24"/>
          <w:szCs w:val="24"/>
        </w:rPr>
        <w:t>which indicate</w:t>
      </w:r>
      <w:r w:rsidR="002041AC">
        <w:rPr>
          <w:rFonts w:ascii="Arial" w:hAnsi="Arial" w:cs="Arial"/>
          <w:sz w:val="24"/>
          <w:szCs w:val="24"/>
        </w:rPr>
        <w:t>s</w:t>
      </w:r>
      <w:r w:rsidRPr="004A7A3A">
        <w:rPr>
          <w:rFonts w:ascii="Arial" w:hAnsi="Arial" w:cs="Arial"/>
          <w:sz w:val="24"/>
          <w:szCs w:val="24"/>
        </w:rPr>
        <w:t xml:space="preserv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144C3EB2" w14:textId="77777777" w:rsidR="007E0361" w:rsidRPr="00762385" w:rsidRDefault="007E0361" w:rsidP="00E1388E">
      <w:pPr>
        <w:ind w:hanging="567"/>
        <w:jc w:val="both"/>
        <w:rPr>
          <w:rFonts w:ascii="Arial" w:hAnsi="Arial" w:cs="Arial"/>
          <w:sz w:val="24"/>
          <w:szCs w:val="24"/>
        </w:rPr>
      </w:pPr>
    </w:p>
    <w:p w14:paraId="4C0DFE7E"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4FE8FAB8" w14:textId="77777777" w:rsidR="008F1B96" w:rsidRPr="00B16514" w:rsidRDefault="008F1B96" w:rsidP="00E1388E">
      <w:pPr>
        <w:tabs>
          <w:tab w:val="left" w:pos="567"/>
        </w:tabs>
        <w:ind w:left="564" w:hanging="567"/>
        <w:jc w:val="both"/>
        <w:rPr>
          <w:rFonts w:ascii="Arial" w:eastAsia="Calibri" w:hAnsi="Arial" w:cs="Arial"/>
          <w:sz w:val="24"/>
          <w:szCs w:val="24"/>
        </w:rPr>
      </w:pPr>
    </w:p>
    <w:p w14:paraId="37E7419B" w14:textId="77777777" w:rsidR="007D497F" w:rsidRDefault="008F1B96" w:rsidP="007D497F">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3DCCAC34" w14:textId="77777777" w:rsidR="00335063" w:rsidRDefault="00335063" w:rsidP="007D497F">
      <w:pPr>
        <w:tabs>
          <w:tab w:val="left" w:pos="567"/>
        </w:tabs>
        <w:ind w:left="564" w:hanging="567"/>
        <w:jc w:val="both"/>
        <w:rPr>
          <w:rFonts w:ascii="Arial" w:hAnsi="Arial" w:cs="Arial"/>
          <w:sz w:val="24"/>
          <w:szCs w:val="24"/>
          <w:lang w:val="en-US"/>
        </w:rPr>
      </w:pPr>
    </w:p>
    <w:p w14:paraId="6FF71902" w14:textId="77777777" w:rsidR="00335063" w:rsidRDefault="00335063" w:rsidP="007D497F">
      <w:pPr>
        <w:tabs>
          <w:tab w:val="left" w:pos="567"/>
        </w:tabs>
        <w:ind w:left="564" w:hanging="567"/>
        <w:jc w:val="both"/>
        <w:rPr>
          <w:rFonts w:ascii="Arial" w:hAnsi="Arial" w:cs="Arial"/>
          <w:sz w:val="24"/>
          <w:szCs w:val="24"/>
        </w:rPr>
      </w:pPr>
      <w:r>
        <w:rPr>
          <w:rFonts w:ascii="Arial" w:hAnsi="Arial" w:cs="Arial"/>
          <w:sz w:val="24"/>
          <w:szCs w:val="24"/>
          <w:lang w:val="en-US"/>
        </w:rPr>
        <w:t>1.4</w:t>
      </w:r>
      <w:r>
        <w:rPr>
          <w:rFonts w:ascii="Arial" w:hAnsi="Arial" w:cs="Arial"/>
          <w:sz w:val="24"/>
          <w:szCs w:val="24"/>
          <w:lang w:val="en-US"/>
        </w:rPr>
        <w:tab/>
      </w:r>
      <w:proofErr w:type="gramStart"/>
      <w:r>
        <w:rPr>
          <w:rFonts w:ascii="Arial" w:hAnsi="Arial" w:cs="Arial"/>
          <w:sz w:val="24"/>
          <w:szCs w:val="24"/>
          <w:lang w:val="en-US"/>
        </w:rPr>
        <w:t>Post-award</w:t>
      </w:r>
      <w:proofErr w:type="gramEnd"/>
      <w:r>
        <w:rPr>
          <w:rFonts w:ascii="Arial" w:hAnsi="Arial" w:cs="Arial"/>
          <w:sz w:val="24"/>
          <w:szCs w:val="24"/>
          <w:lang w:val="en-US"/>
        </w:rPr>
        <w:t xml:space="preserve">,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3F45810" w14:textId="77777777" w:rsidR="00E26F7D" w:rsidRPr="00762385" w:rsidRDefault="00E26F7D" w:rsidP="007D497F">
      <w:pPr>
        <w:tabs>
          <w:tab w:val="left" w:pos="567"/>
        </w:tabs>
        <w:ind w:left="564" w:hanging="567"/>
        <w:jc w:val="both"/>
        <w:rPr>
          <w:rFonts w:ascii="Arial" w:hAnsi="Arial" w:cs="Arial"/>
          <w:sz w:val="24"/>
          <w:szCs w:val="24"/>
          <w:lang w:val="en-US"/>
        </w:rPr>
      </w:pPr>
    </w:p>
    <w:p w14:paraId="758764EC" w14:textId="77777777" w:rsidR="008F1B96" w:rsidRPr="00762385" w:rsidRDefault="008F1B96" w:rsidP="00E1388E">
      <w:pPr>
        <w:tabs>
          <w:tab w:val="left" w:pos="567"/>
        </w:tabs>
        <w:ind w:left="564" w:hanging="567"/>
        <w:jc w:val="both"/>
        <w:rPr>
          <w:rFonts w:ascii="Arial" w:hAnsi="Arial" w:cs="Arial"/>
          <w:sz w:val="24"/>
          <w:szCs w:val="24"/>
          <w:lang w:val="en-US"/>
        </w:rPr>
      </w:pPr>
    </w:p>
    <w:p w14:paraId="6637B408" w14:textId="77777777" w:rsidR="008F1B96" w:rsidRPr="004A7A3A" w:rsidRDefault="008F1B96" w:rsidP="00E1388E">
      <w:pPr>
        <w:tabs>
          <w:tab w:val="left" w:pos="567"/>
        </w:tabs>
        <w:ind w:hanging="567"/>
        <w:jc w:val="both"/>
        <w:rPr>
          <w:rFonts w:ascii="Arial" w:hAnsi="Arial" w:cs="Arial"/>
          <w:sz w:val="24"/>
          <w:szCs w:val="24"/>
          <w:lang w:val="en-US"/>
        </w:rPr>
      </w:pPr>
    </w:p>
    <w:p w14:paraId="02029251" w14:textId="77777777" w:rsidR="00AE3AE5" w:rsidRPr="00AE3AE5" w:rsidRDefault="008F1B96" w:rsidP="00AE3AE5">
      <w:pPr>
        <w:numPr>
          <w:ilvl w:val="0"/>
          <w:numId w:val="25"/>
        </w:numPr>
        <w:ind w:left="567" w:hanging="567"/>
        <w:contextualSpacing/>
        <w:rPr>
          <w:rFonts w:ascii="Arial" w:eastAsia="Calibri" w:hAnsi="Arial" w:cs="Arial"/>
          <w:sz w:val="24"/>
          <w:szCs w:val="24"/>
          <w:lang w:eastAsia="en-GB"/>
        </w:rPr>
      </w:pPr>
      <w:r w:rsidRPr="004A7A3A">
        <w:rPr>
          <w:rFonts w:ascii="Arial" w:eastAsia="Calibri" w:hAnsi="Arial" w:cs="Arial"/>
          <w:b/>
          <w:bCs/>
          <w:sz w:val="24"/>
          <w:szCs w:val="24"/>
          <w:lang w:eastAsia="en-GB"/>
        </w:rPr>
        <w:lastRenderedPageBreak/>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37B3E71F" w14:textId="77777777" w:rsidR="00AE3AE5" w:rsidRDefault="00AE3AE5" w:rsidP="00AE3AE5">
      <w:pPr>
        <w:contextualSpacing/>
        <w:rPr>
          <w:rFonts w:ascii="Arial" w:eastAsia="Calibri" w:hAnsi="Arial" w:cs="Arial"/>
          <w:sz w:val="24"/>
          <w:szCs w:val="24"/>
          <w:lang w:eastAsia="en-GB"/>
        </w:rPr>
      </w:pPr>
    </w:p>
    <w:p w14:paraId="0BB664DD" w14:textId="3D8D9717" w:rsidR="008F1B96" w:rsidRPr="00AE3AE5"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t>
      </w:r>
      <w:r w:rsidR="002674EF">
        <w:rPr>
          <w:rFonts w:ascii="Arial" w:eastAsia="Calibri" w:hAnsi="Arial" w:cs="Arial"/>
          <w:sz w:val="24"/>
          <w:szCs w:val="24"/>
          <w:lang w:eastAsia="en-GB"/>
        </w:rPr>
        <w:t>may</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6F48192C" w14:textId="77777777" w:rsidR="008F1B96" w:rsidRPr="004A7A3A" w:rsidRDefault="008F1B96" w:rsidP="00E1388E">
      <w:pPr>
        <w:tabs>
          <w:tab w:val="left" w:pos="567"/>
        </w:tabs>
        <w:ind w:hanging="567"/>
        <w:jc w:val="both"/>
        <w:rPr>
          <w:rFonts w:ascii="Arial" w:hAnsi="Arial" w:cs="Arial"/>
          <w:sz w:val="24"/>
          <w:szCs w:val="24"/>
          <w:lang w:val="en-US"/>
        </w:rPr>
      </w:pPr>
    </w:p>
    <w:p w14:paraId="3BFA913D" w14:textId="77777777" w:rsidR="008F1B96" w:rsidRPr="004A7A3A"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16A2AC80" w14:textId="77777777" w:rsidR="008F1B96" w:rsidRPr="004A7A3A" w:rsidRDefault="008F1B96" w:rsidP="00E1388E">
      <w:pPr>
        <w:pStyle w:val="ListParagraph"/>
        <w:ind w:hanging="567"/>
        <w:rPr>
          <w:rFonts w:ascii="Arial" w:eastAsia="Calibri" w:hAnsi="Arial" w:cs="Arial"/>
        </w:rPr>
      </w:pPr>
    </w:p>
    <w:p w14:paraId="79C06E15" w14:textId="77777777" w:rsidR="00F73E89" w:rsidRPr="00A94457"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664C15AF" w14:textId="77777777" w:rsidR="00F73E89" w:rsidRDefault="00F73E89" w:rsidP="00F73E89">
      <w:pPr>
        <w:ind w:left="567" w:hanging="567"/>
        <w:contextualSpacing/>
        <w:jc w:val="both"/>
        <w:rPr>
          <w:rFonts w:ascii="Arial" w:eastAsia="Calibri" w:hAnsi="Arial" w:cs="Arial"/>
          <w:sz w:val="24"/>
          <w:szCs w:val="24"/>
          <w:lang w:eastAsia="en-GB"/>
        </w:rPr>
      </w:pPr>
    </w:p>
    <w:p w14:paraId="0FE8D6BC" w14:textId="77777777" w:rsidR="00A94457" w:rsidRPr="00CD4CD5" w:rsidRDefault="00A94457" w:rsidP="00F73E89">
      <w:pPr>
        <w:ind w:left="567" w:hanging="567"/>
        <w:contextualSpacing/>
        <w:jc w:val="both"/>
        <w:rPr>
          <w:rFonts w:ascii="Arial" w:eastAsia="Calibri" w:hAnsi="Arial" w:cs="Arial"/>
          <w:sz w:val="24"/>
          <w:szCs w:val="24"/>
          <w:lang w:eastAsia="en-GB"/>
        </w:rPr>
      </w:pPr>
    </w:p>
    <w:p w14:paraId="72829CF2" w14:textId="77777777" w:rsidR="008F1B96" w:rsidRPr="004A7A3A" w:rsidRDefault="00D91F35" w:rsidP="00AE3AE5">
      <w:pPr>
        <w:numPr>
          <w:ilvl w:val="0"/>
          <w:numId w:val="25"/>
        </w:numPr>
        <w:ind w:left="567" w:hanging="567"/>
        <w:contextualSpacing/>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17CBE807"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04910E9E"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4BEA6E1B" w14:textId="77777777" w:rsidR="00A00CE6" w:rsidRDefault="00A00CE6" w:rsidP="00A00CE6">
      <w:pPr>
        <w:ind w:left="567"/>
        <w:contextualSpacing/>
        <w:jc w:val="both"/>
        <w:rPr>
          <w:rFonts w:ascii="Arial" w:eastAsia="Calibri" w:hAnsi="Arial" w:cs="Arial"/>
          <w:sz w:val="24"/>
          <w:szCs w:val="24"/>
          <w:lang w:eastAsia="en-GB"/>
        </w:rPr>
      </w:pPr>
    </w:p>
    <w:p w14:paraId="7B8EF02D" w14:textId="6A3A411C"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C4E5E">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35A0DD8B"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775FE640"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35110D67" w14:textId="77777777" w:rsidR="000C48CA" w:rsidRPr="00AE3AE5" w:rsidRDefault="000C48CA" w:rsidP="00846015">
      <w:pPr>
        <w:pStyle w:val="ListParagraph"/>
        <w:ind w:left="0"/>
        <w:rPr>
          <w:rFonts w:ascii="Arial" w:eastAsia="Calibri" w:hAnsi="Arial" w:cs="Arial"/>
          <w:b/>
          <w:bCs/>
        </w:rPr>
      </w:pPr>
    </w:p>
    <w:p w14:paraId="6A3BEE79" w14:textId="502B0CE8"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2674EF">
        <w:rPr>
          <w:rFonts w:ascii="Arial" w:eastAsia="Calibri" w:hAnsi="Arial" w:cs="Arial"/>
          <w:sz w:val="24"/>
          <w:szCs w:val="24"/>
          <w:lang w:eastAsia="en-GB"/>
        </w:rPr>
        <w:t>may</w:t>
      </w:r>
      <w:r w:rsidR="008F1B96" w:rsidRPr="004A7A3A">
        <w:rPr>
          <w:rFonts w:ascii="Arial" w:eastAsia="Calibri" w:hAnsi="Arial" w:cs="Arial"/>
          <w:sz w:val="24"/>
          <w:szCs w:val="24"/>
          <w:lang w:eastAsia="en-GB"/>
        </w:rPr>
        <w:t xml:space="preserve"> invalidate an offer.</w:t>
      </w:r>
    </w:p>
    <w:p w14:paraId="183891CB" w14:textId="77777777" w:rsidR="00846015" w:rsidRDefault="00846015" w:rsidP="00846015">
      <w:pPr>
        <w:pStyle w:val="ListParagraph"/>
        <w:rPr>
          <w:rFonts w:ascii="Arial" w:eastAsia="Calibri" w:hAnsi="Arial" w:cs="Arial"/>
        </w:rPr>
      </w:pPr>
    </w:p>
    <w:p w14:paraId="4D3DD98F"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306DC165"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8D0215C"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439C9B2A"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69F984CE" w14:textId="77777777" w:rsidR="00D1633A" w:rsidRDefault="00D1633A" w:rsidP="00603661">
            <w:pPr>
              <w:jc w:val="center"/>
              <w:rPr>
                <w:rFonts w:ascii="Arial" w:hAnsi="Arial" w:cs="Arial"/>
                <w:b/>
                <w:bCs/>
                <w:sz w:val="18"/>
                <w:szCs w:val="18"/>
                <w:lang w:eastAsia="en-GB"/>
              </w:rPr>
            </w:pPr>
          </w:p>
          <w:p w14:paraId="2468B7EB"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64671E"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06D4E54F"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6B579559" w14:textId="77777777" w:rsidTr="006C4E5E">
        <w:trPr>
          <w:trHeight w:val="1038"/>
          <w:jc w:val="center"/>
        </w:trPr>
        <w:tc>
          <w:tcPr>
            <w:tcW w:w="2073" w:type="dxa"/>
            <w:tcBorders>
              <w:top w:val="single" w:sz="4" w:space="0" w:color="auto"/>
              <w:left w:val="single" w:sz="4" w:space="0" w:color="auto"/>
              <w:bottom w:val="single" w:sz="4" w:space="0" w:color="auto"/>
              <w:right w:val="single" w:sz="4" w:space="0" w:color="auto"/>
            </w:tcBorders>
            <w:vAlign w:val="center"/>
            <w:hideMark/>
          </w:tcPr>
          <w:p w14:paraId="7DA11448"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941122"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76620C4E"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A7F0D10" w14:textId="77777777" w:rsidR="00CD0E8F" w:rsidRPr="00AA1DF0" w:rsidRDefault="00CD0E8F" w:rsidP="00CD0E8F">
            <w:pPr>
              <w:rPr>
                <w:rFonts w:ascii="Arial" w:hAnsi="Arial" w:cs="Arial"/>
                <w:sz w:val="18"/>
                <w:szCs w:val="18"/>
                <w:lang w:eastAsia="en-GB"/>
              </w:rPr>
            </w:pPr>
          </w:p>
          <w:p w14:paraId="6724FB0C"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 xml:space="preserve">**UK Product Licence Number/Parallel Import Product Licence number/EMEA </w:t>
            </w:r>
            <w:r w:rsidRPr="00AA1DF0">
              <w:rPr>
                <w:rFonts w:ascii="Arial" w:hAnsi="Arial" w:cs="Arial"/>
                <w:b/>
                <w:bCs/>
                <w:sz w:val="18"/>
                <w:szCs w:val="18"/>
                <w:lang w:eastAsia="en-GB"/>
              </w:rPr>
              <w:lastRenderedPageBreak/>
              <w:t>license number (whichever apply)</w:t>
            </w:r>
          </w:p>
        </w:tc>
        <w:tc>
          <w:tcPr>
            <w:tcW w:w="2040" w:type="dxa"/>
            <w:tcBorders>
              <w:top w:val="single" w:sz="4" w:space="0" w:color="auto"/>
              <w:left w:val="single" w:sz="4" w:space="0" w:color="auto"/>
              <w:bottom w:val="single" w:sz="4" w:space="0" w:color="auto"/>
              <w:right w:val="single" w:sz="4" w:space="0" w:color="auto"/>
            </w:tcBorders>
            <w:noWrap/>
            <w:vAlign w:val="center"/>
            <w:hideMark/>
          </w:tcPr>
          <w:p w14:paraId="10BFEC34"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lastRenderedPageBreak/>
              <w:sym w:font="Wingdings" w:char="F0FC"/>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DD54F7F" w14:textId="77777777" w:rsidR="00CD0E8F" w:rsidRPr="00CD0E8F" w:rsidRDefault="00CD0E8F" w:rsidP="00CA4F69">
            <w:pPr>
              <w:tabs>
                <w:tab w:val="left" w:pos="747"/>
              </w:tabs>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4B56197E" w14:textId="77777777" w:rsidTr="006C4E5E">
        <w:trPr>
          <w:trHeight w:val="962"/>
          <w:jc w:val="center"/>
        </w:trPr>
        <w:tc>
          <w:tcPr>
            <w:tcW w:w="2073" w:type="dxa"/>
            <w:tcBorders>
              <w:top w:val="single" w:sz="4" w:space="0" w:color="auto"/>
              <w:left w:val="single" w:sz="4" w:space="0" w:color="auto"/>
              <w:bottom w:val="single" w:sz="4" w:space="0" w:color="auto"/>
              <w:right w:val="single" w:sz="4" w:space="0" w:color="auto"/>
            </w:tcBorders>
            <w:vAlign w:val="center"/>
            <w:hideMark/>
          </w:tcPr>
          <w:p w14:paraId="1A096BD9"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single" w:sz="4" w:space="0" w:color="auto"/>
              <w:left w:val="nil"/>
              <w:bottom w:val="single" w:sz="4" w:space="0" w:color="auto"/>
              <w:right w:val="single" w:sz="4" w:space="0" w:color="auto"/>
            </w:tcBorders>
            <w:noWrap/>
            <w:vAlign w:val="center"/>
            <w:hideMark/>
          </w:tcPr>
          <w:p w14:paraId="767B28B0"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6DD4E55D"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1B7023B0" w14:textId="77777777" w:rsidR="00CD0E8F" w:rsidRPr="00AA1DF0" w:rsidRDefault="00CD0E8F" w:rsidP="00CD0E8F">
            <w:pPr>
              <w:rPr>
                <w:rFonts w:ascii="Arial" w:hAnsi="Arial" w:cs="Arial"/>
                <w:sz w:val="18"/>
                <w:szCs w:val="18"/>
                <w:lang w:eastAsia="en-GB"/>
              </w:rPr>
            </w:pPr>
          </w:p>
          <w:p w14:paraId="3815D701"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38E60074" w14:textId="77777777" w:rsidR="00CD0E8F" w:rsidRPr="00CD0E8F" w:rsidRDefault="00CD0E8F" w:rsidP="00CD0E8F">
            <w:pPr>
              <w:rPr>
                <w:rFonts w:ascii="Arial" w:hAnsi="Arial" w:cs="Arial"/>
                <w:sz w:val="18"/>
                <w:szCs w:val="18"/>
                <w:lang w:eastAsia="en-GB"/>
              </w:rPr>
            </w:pPr>
          </w:p>
          <w:p w14:paraId="6AAC39B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6C2FA1BC"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7A5C8B3A"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270EFAD5" w14:textId="77777777" w:rsidTr="00A2714A">
        <w:trPr>
          <w:trHeight w:val="687"/>
          <w:jc w:val="center"/>
        </w:trPr>
        <w:tc>
          <w:tcPr>
            <w:tcW w:w="2073" w:type="dxa"/>
            <w:tcBorders>
              <w:top w:val="nil"/>
              <w:left w:val="single" w:sz="4" w:space="0" w:color="auto"/>
              <w:bottom w:val="single" w:sz="4" w:space="0" w:color="auto"/>
              <w:right w:val="single" w:sz="4" w:space="0" w:color="auto"/>
            </w:tcBorders>
            <w:noWrap/>
            <w:vAlign w:val="center"/>
          </w:tcPr>
          <w:p w14:paraId="411CE67E"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noWrap/>
            <w:vAlign w:val="center"/>
          </w:tcPr>
          <w:p w14:paraId="0CC342F3"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39EC0938" w14:textId="77777777" w:rsidR="00846015" w:rsidRPr="00CD0E8F" w:rsidRDefault="00846015" w:rsidP="00CD0E8F">
            <w:pPr>
              <w:jc w:val="center"/>
              <w:rPr>
                <w:rFonts w:ascii="Arial" w:hAnsi="Arial" w:cs="Arial"/>
                <w:sz w:val="18"/>
                <w:szCs w:val="18"/>
                <w:lang w:eastAsia="en-GB"/>
              </w:rPr>
            </w:pPr>
          </w:p>
        </w:tc>
        <w:tc>
          <w:tcPr>
            <w:tcW w:w="2040" w:type="dxa"/>
            <w:tcBorders>
              <w:top w:val="single" w:sz="4" w:space="0" w:color="auto"/>
              <w:left w:val="single" w:sz="4" w:space="0" w:color="auto"/>
              <w:bottom w:val="single" w:sz="4" w:space="0" w:color="auto"/>
              <w:right w:val="single" w:sz="4" w:space="0" w:color="auto"/>
            </w:tcBorders>
            <w:noWrap/>
          </w:tcPr>
          <w:p w14:paraId="2F2A71E0" w14:textId="77777777" w:rsidR="00846015" w:rsidRDefault="00846015" w:rsidP="00CD0E8F">
            <w:pPr>
              <w:jc w:val="center"/>
              <w:rPr>
                <w:rFonts w:ascii="Arial" w:hAnsi="Arial" w:cs="Arial"/>
                <w:sz w:val="18"/>
                <w:szCs w:val="18"/>
                <w:lang w:eastAsia="en-GB"/>
              </w:rPr>
            </w:pPr>
          </w:p>
          <w:p w14:paraId="0A5F71A0"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0A96B309" w14:textId="77777777" w:rsidR="00846015" w:rsidRPr="00CD0E8F" w:rsidRDefault="00846015" w:rsidP="00CD0E8F">
            <w:pPr>
              <w:jc w:val="center"/>
              <w:rPr>
                <w:rFonts w:ascii="Arial" w:hAnsi="Arial" w:cs="Arial"/>
                <w:sz w:val="18"/>
                <w:szCs w:val="18"/>
                <w:lang w:eastAsia="en-GB"/>
              </w:rPr>
            </w:pPr>
          </w:p>
        </w:tc>
        <w:tc>
          <w:tcPr>
            <w:tcW w:w="2383" w:type="dxa"/>
            <w:tcBorders>
              <w:top w:val="single" w:sz="4" w:space="0" w:color="auto"/>
              <w:left w:val="single" w:sz="4" w:space="0" w:color="auto"/>
              <w:bottom w:val="single" w:sz="4" w:space="0" w:color="auto"/>
              <w:right w:val="single" w:sz="4" w:space="0" w:color="auto"/>
            </w:tcBorders>
            <w:noWrap/>
            <w:vAlign w:val="center"/>
          </w:tcPr>
          <w:p w14:paraId="525F24AE"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31C3E462" w14:textId="77777777" w:rsidTr="00A2714A">
        <w:trPr>
          <w:trHeight w:val="687"/>
          <w:jc w:val="center"/>
        </w:trPr>
        <w:tc>
          <w:tcPr>
            <w:tcW w:w="2073" w:type="dxa"/>
            <w:tcBorders>
              <w:top w:val="nil"/>
              <w:left w:val="single" w:sz="4" w:space="0" w:color="auto"/>
              <w:bottom w:val="single" w:sz="4" w:space="0" w:color="auto"/>
              <w:right w:val="single" w:sz="4" w:space="0" w:color="auto"/>
            </w:tcBorders>
            <w:noWrap/>
            <w:vAlign w:val="center"/>
            <w:hideMark/>
          </w:tcPr>
          <w:p w14:paraId="04B98C22"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noWrap/>
            <w:vAlign w:val="center"/>
            <w:hideMark/>
          </w:tcPr>
          <w:p w14:paraId="5D41A42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single" w:sz="4" w:space="0" w:color="auto"/>
              <w:bottom w:val="single" w:sz="4" w:space="0" w:color="auto"/>
              <w:right w:val="single" w:sz="4" w:space="0" w:color="auto"/>
            </w:tcBorders>
          </w:tcPr>
          <w:p w14:paraId="3A436806" w14:textId="77777777" w:rsidR="00CD0E8F" w:rsidRPr="00CD0E8F" w:rsidRDefault="00CD0E8F" w:rsidP="00CD0E8F">
            <w:pPr>
              <w:jc w:val="center"/>
              <w:rPr>
                <w:rFonts w:ascii="Arial" w:hAnsi="Arial" w:cs="Arial"/>
                <w:sz w:val="18"/>
                <w:szCs w:val="18"/>
                <w:lang w:eastAsia="en-GB"/>
              </w:rPr>
            </w:pPr>
          </w:p>
        </w:tc>
        <w:tc>
          <w:tcPr>
            <w:tcW w:w="2040" w:type="dxa"/>
            <w:tcBorders>
              <w:top w:val="single" w:sz="4" w:space="0" w:color="auto"/>
              <w:left w:val="single" w:sz="4" w:space="0" w:color="auto"/>
              <w:bottom w:val="single" w:sz="4" w:space="0" w:color="auto"/>
              <w:right w:val="single" w:sz="4" w:space="0" w:color="auto"/>
            </w:tcBorders>
            <w:noWrap/>
            <w:hideMark/>
          </w:tcPr>
          <w:p w14:paraId="46FA91AF"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5B3C8CF"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D2B65B2"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74E935DA" w14:textId="77777777" w:rsidR="00CD0E8F" w:rsidRPr="00CD0E8F" w:rsidRDefault="00CD0E8F" w:rsidP="00CD0E8F">
            <w:pPr>
              <w:jc w:val="center"/>
              <w:rPr>
                <w:rFonts w:ascii="Arial" w:hAnsi="Arial" w:cs="Arial"/>
                <w:sz w:val="18"/>
                <w:szCs w:val="18"/>
                <w:lang w:eastAsia="en-GB"/>
              </w:rPr>
            </w:pPr>
          </w:p>
        </w:tc>
      </w:tr>
      <w:tr w:rsidR="00D1633A" w:rsidRPr="00CD0E8F" w14:paraId="2EE1734C" w14:textId="77777777" w:rsidTr="00A2714A">
        <w:trPr>
          <w:trHeight w:val="717"/>
          <w:jc w:val="center"/>
        </w:trPr>
        <w:tc>
          <w:tcPr>
            <w:tcW w:w="2073" w:type="dxa"/>
            <w:tcBorders>
              <w:top w:val="single" w:sz="4" w:space="0" w:color="auto"/>
              <w:left w:val="single" w:sz="4" w:space="0" w:color="auto"/>
              <w:bottom w:val="single" w:sz="4" w:space="0" w:color="auto"/>
              <w:right w:val="single" w:sz="4" w:space="0" w:color="auto"/>
            </w:tcBorders>
            <w:noWrap/>
            <w:vAlign w:val="center"/>
            <w:hideMark/>
          </w:tcPr>
          <w:p w14:paraId="431D4491"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noWrap/>
            <w:vAlign w:val="center"/>
            <w:hideMark/>
          </w:tcPr>
          <w:p w14:paraId="54DC34A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single" w:sz="4" w:space="0" w:color="auto"/>
              <w:bottom w:val="single" w:sz="4" w:space="0" w:color="auto"/>
              <w:right w:val="single" w:sz="4" w:space="0" w:color="auto"/>
            </w:tcBorders>
          </w:tcPr>
          <w:p w14:paraId="1EDD03E6"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1FEB537E" w14:textId="77777777" w:rsidR="00D1633A" w:rsidRDefault="00D1633A" w:rsidP="00D1633A">
            <w:pPr>
              <w:jc w:val="center"/>
              <w:rPr>
                <w:rFonts w:ascii="Arial" w:hAnsi="Arial" w:cs="Arial"/>
                <w:sz w:val="18"/>
                <w:szCs w:val="18"/>
                <w:lang w:eastAsia="en-GB"/>
              </w:rPr>
            </w:pPr>
          </w:p>
          <w:p w14:paraId="21EEC073" w14:textId="77777777" w:rsidR="00D1633A" w:rsidRDefault="00D1633A" w:rsidP="00D1633A">
            <w:pPr>
              <w:jc w:val="center"/>
              <w:rPr>
                <w:rFonts w:ascii="Arial" w:hAnsi="Arial" w:cs="Arial"/>
                <w:sz w:val="18"/>
                <w:szCs w:val="18"/>
                <w:lang w:eastAsia="en-GB"/>
              </w:rPr>
            </w:pPr>
          </w:p>
          <w:p w14:paraId="5F59ADAE" w14:textId="77777777" w:rsidR="00D1633A" w:rsidRDefault="00D1633A" w:rsidP="00D1633A">
            <w:pPr>
              <w:jc w:val="center"/>
              <w:rPr>
                <w:rFonts w:ascii="Arial" w:hAnsi="Arial" w:cs="Arial"/>
                <w:sz w:val="18"/>
                <w:szCs w:val="18"/>
                <w:lang w:eastAsia="en-GB"/>
              </w:rPr>
            </w:pPr>
          </w:p>
          <w:p w14:paraId="0E68C501"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645A7434"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7D28DB9C"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37DDF04" w14:textId="77777777" w:rsidR="00CD0E8F" w:rsidRPr="00CD0E8F" w:rsidRDefault="00CD0E8F" w:rsidP="00CD0E8F">
            <w:pPr>
              <w:jc w:val="center"/>
              <w:rPr>
                <w:rFonts w:ascii="Arial" w:hAnsi="Arial" w:cs="Arial"/>
                <w:sz w:val="18"/>
                <w:szCs w:val="18"/>
                <w:lang w:eastAsia="en-GB"/>
              </w:rPr>
            </w:pPr>
          </w:p>
        </w:tc>
      </w:tr>
    </w:tbl>
    <w:p w14:paraId="1A10F218" w14:textId="77777777" w:rsidR="00CD4CD5" w:rsidRDefault="00CD4CD5" w:rsidP="00E1388E">
      <w:pPr>
        <w:spacing w:after="160" w:line="259" w:lineRule="auto"/>
        <w:ind w:hanging="567"/>
        <w:jc w:val="both"/>
        <w:rPr>
          <w:rFonts w:ascii="Arial" w:eastAsia="Calibri" w:hAnsi="Arial" w:cs="Arial"/>
          <w:b/>
          <w:bCs/>
          <w:sz w:val="24"/>
          <w:szCs w:val="24"/>
        </w:rPr>
      </w:pPr>
    </w:p>
    <w:p w14:paraId="17244123"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64E39AF4"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0ABC682C"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3D7583">
        <w:rPr>
          <w:rFonts w:ascii="Arial" w:hAnsi="Arial" w:cs="Arial"/>
          <w:sz w:val="24"/>
          <w:szCs w:val="24"/>
        </w:rPr>
        <w:t xml:space="preserve">Where the offered product is listed in </w:t>
      </w:r>
      <w:r w:rsidR="004E19D8" w:rsidRPr="003D7583">
        <w:rPr>
          <w:rFonts w:ascii="Arial" w:hAnsi="Arial" w:cs="Arial"/>
          <w:sz w:val="24"/>
          <w:szCs w:val="24"/>
        </w:rPr>
        <w:t xml:space="preserve">Document No. 04 </w:t>
      </w:r>
      <w:r w:rsidR="00D91F35" w:rsidRPr="003D7583">
        <w:rPr>
          <w:rFonts w:ascii="Arial" w:hAnsi="Arial" w:cs="Arial"/>
          <w:sz w:val="24"/>
          <w:szCs w:val="24"/>
        </w:rPr>
        <w:t xml:space="preserve">Appendix A - </w:t>
      </w:r>
      <w:r w:rsidR="002800A0" w:rsidRPr="003D7583">
        <w:rPr>
          <w:rFonts w:ascii="Arial" w:hAnsi="Arial" w:cs="Arial"/>
          <w:sz w:val="24"/>
          <w:szCs w:val="24"/>
        </w:rPr>
        <w:t>Stability Protocol and Additional Specification Requirements</w:t>
      </w:r>
      <w:r w:rsidRPr="003D7583">
        <w:rPr>
          <w:rFonts w:ascii="Arial" w:hAnsi="Arial" w:cs="Arial"/>
          <w:sz w:val="24"/>
          <w:szCs w:val="24"/>
        </w:rPr>
        <w:t xml:space="preserve"> as having an additional specification requirement a</w:t>
      </w:r>
      <w:r w:rsidR="00B51F10" w:rsidRPr="003D7583">
        <w:rPr>
          <w:rFonts w:ascii="Arial" w:hAnsi="Arial" w:cs="Arial"/>
          <w:sz w:val="24"/>
          <w:szCs w:val="24"/>
        </w:rPr>
        <w:t>n</w:t>
      </w:r>
      <w:r w:rsidRPr="003D7583">
        <w:rPr>
          <w:rFonts w:ascii="Arial" w:hAnsi="Arial" w:cs="Arial"/>
          <w:sz w:val="24"/>
          <w:szCs w:val="24"/>
        </w:rPr>
        <w:t xml:space="preserve"> SPC will be required by the tender closing date.</w:t>
      </w:r>
    </w:p>
    <w:p w14:paraId="78F5182D" w14:textId="77777777" w:rsidR="00AB257F" w:rsidRDefault="00AB257F" w:rsidP="00AB257F">
      <w:pPr>
        <w:spacing w:after="160" w:line="259" w:lineRule="auto"/>
        <w:contextualSpacing/>
        <w:jc w:val="both"/>
        <w:rPr>
          <w:rFonts w:ascii="Arial" w:eastAsia="Calibri" w:hAnsi="Arial" w:cs="Arial"/>
          <w:b/>
          <w:bCs/>
          <w:sz w:val="24"/>
          <w:szCs w:val="24"/>
        </w:rPr>
      </w:pPr>
    </w:p>
    <w:p w14:paraId="6DAD7F64"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33FD01B6" w14:textId="77777777" w:rsidR="00183EB4" w:rsidRPr="004A7A3A" w:rsidRDefault="00AE3AE5" w:rsidP="00E1388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0C3769A1" w14:textId="77777777" w:rsidR="004A7D16" w:rsidRPr="004A7A3A" w:rsidRDefault="004A7D16" w:rsidP="00E1388E">
      <w:pPr>
        <w:ind w:hanging="567"/>
        <w:contextualSpacing/>
        <w:jc w:val="both"/>
        <w:rPr>
          <w:rFonts w:ascii="Arial" w:eastAsia="Calibri" w:hAnsi="Arial" w:cs="Arial"/>
          <w:sz w:val="24"/>
          <w:szCs w:val="24"/>
          <w:lang w:eastAsia="en-GB"/>
        </w:rPr>
      </w:pPr>
    </w:p>
    <w:p w14:paraId="44DBF60B" w14:textId="51D2EFE6" w:rsidR="0065121D" w:rsidRPr="00B0436D" w:rsidRDefault="00AE3AE5" w:rsidP="00E3732C">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 xml:space="preserve">regardless of whether they have been identified as ‘normal’ or ‘elevated’ risk (as designated in </w:t>
      </w:r>
      <w:r w:rsidR="0007761A" w:rsidRPr="00A2714A">
        <w:rPr>
          <w:rFonts w:ascii="Arial" w:eastAsia="Calibri" w:hAnsi="Arial" w:cs="Arial"/>
          <w:sz w:val="24"/>
          <w:szCs w:val="24"/>
        </w:rPr>
        <w:t>Document No. 05</w:t>
      </w:r>
      <w:r w:rsidR="006F7C52" w:rsidRPr="00A2714A">
        <w:rPr>
          <w:rFonts w:ascii="Arial" w:eastAsia="Calibri" w:hAnsi="Arial" w:cs="Arial"/>
          <w:sz w:val="24"/>
          <w:szCs w:val="24"/>
        </w:rPr>
        <w:t>b</w:t>
      </w:r>
      <w:r w:rsidR="00183EB4" w:rsidRPr="00B0436D" w:rsidDel="00A8784C">
        <w:rPr>
          <w:rFonts w:ascii="Arial" w:eastAsia="Calibri" w:hAnsi="Arial" w:cs="Arial"/>
          <w:sz w:val="24"/>
          <w:szCs w:val="24"/>
        </w:rPr>
        <w:t xml:space="preserve"> </w:t>
      </w:r>
      <w:r w:rsidR="00183EB4" w:rsidRPr="00B0436D">
        <w:rPr>
          <w:rFonts w:ascii="Arial" w:eastAsia="Calibri" w:hAnsi="Arial" w:cs="Arial"/>
          <w:sz w:val="24"/>
          <w:szCs w:val="24"/>
        </w:rPr>
        <w:t>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457AD272" w14:textId="77777777" w:rsidR="0065121D" w:rsidRPr="00B0436D" w:rsidRDefault="0065121D" w:rsidP="00E3732C">
      <w:pPr>
        <w:ind w:left="567" w:hanging="567"/>
        <w:jc w:val="both"/>
        <w:rPr>
          <w:rFonts w:ascii="Arial" w:eastAsia="Calibri" w:hAnsi="Arial" w:cs="Arial"/>
          <w:sz w:val="24"/>
          <w:szCs w:val="24"/>
        </w:rPr>
      </w:pPr>
    </w:p>
    <w:p w14:paraId="13E84013" w14:textId="77777777" w:rsidR="007622C2" w:rsidRPr="00B0436D" w:rsidRDefault="007622C2" w:rsidP="0065121D">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w:t>
      </w:r>
      <w:proofErr w:type="gramStart"/>
      <w:r w:rsidRPr="00B0436D">
        <w:rPr>
          <w:rFonts w:ascii="Arial" w:eastAsia="Calibri" w:hAnsi="Arial" w:cs="Arial"/>
          <w:sz w:val="24"/>
          <w:szCs w:val="24"/>
        </w:rPr>
        <w:t>subsequent to</w:t>
      </w:r>
      <w:proofErr w:type="gramEnd"/>
      <w:r w:rsidRPr="00B0436D">
        <w:rPr>
          <w:rFonts w:ascii="Arial" w:eastAsia="Calibri" w:hAnsi="Arial" w:cs="Arial"/>
          <w:sz w:val="24"/>
          <w:szCs w:val="24"/>
        </w:rPr>
        <w:t xml:space="preserve">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4FEED884" w14:textId="77777777" w:rsidR="00D1633A" w:rsidRPr="00B0436D" w:rsidRDefault="00D1633A" w:rsidP="00E3732C">
      <w:pPr>
        <w:ind w:left="567" w:hanging="567"/>
        <w:jc w:val="both"/>
        <w:rPr>
          <w:rFonts w:ascii="Arial" w:eastAsia="Calibri" w:hAnsi="Arial" w:cs="Arial"/>
          <w:sz w:val="24"/>
          <w:szCs w:val="24"/>
        </w:rPr>
      </w:pPr>
    </w:p>
    <w:p w14:paraId="18F521F6" w14:textId="77777777" w:rsidR="00D1633A" w:rsidRPr="004A7A3A" w:rsidRDefault="00D1633A" w:rsidP="00E3732C">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F24A453" w14:textId="77777777" w:rsidR="00183EB4" w:rsidRPr="004A7A3A" w:rsidRDefault="00183EB4" w:rsidP="00E1388E">
      <w:pPr>
        <w:ind w:left="567" w:hanging="567"/>
        <w:jc w:val="both"/>
        <w:rPr>
          <w:rFonts w:ascii="Arial" w:eastAsia="Calibri" w:hAnsi="Arial" w:cs="Arial"/>
          <w:sz w:val="24"/>
          <w:szCs w:val="24"/>
        </w:rPr>
      </w:pPr>
    </w:p>
    <w:p w14:paraId="0BC0C259" w14:textId="77777777" w:rsidR="00183EB4" w:rsidRPr="004A7A3A" w:rsidRDefault="00AE3AE5" w:rsidP="00E1388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7CEC7AAA" w14:textId="77777777" w:rsidR="00E1388E" w:rsidRPr="004A7A3A" w:rsidRDefault="00E1388E" w:rsidP="00E1388E">
      <w:pPr>
        <w:ind w:left="567" w:hanging="567"/>
        <w:jc w:val="both"/>
        <w:rPr>
          <w:rFonts w:ascii="Arial" w:eastAsia="Calibri" w:hAnsi="Arial" w:cs="Arial"/>
          <w:sz w:val="24"/>
          <w:szCs w:val="24"/>
        </w:rPr>
      </w:pPr>
    </w:p>
    <w:p w14:paraId="172ABDA7" w14:textId="058437D9" w:rsidR="00183EB4" w:rsidRPr="00D4160B"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5C3B1F">
        <w:rPr>
          <w:rFonts w:ascii="Arial" w:eastAsia="Calibri" w:hAnsi="Arial" w:cs="Arial"/>
          <w:sz w:val="24"/>
          <w:szCs w:val="24"/>
        </w:rPr>
        <w:t>may</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5DBA66BD" w14:textId="77777777" w:rsidR="00183EB4" w:rsidRPr="00D4160B" w:rsidRDefault="00183EB4" w:rsidP="00E1388E">
      <w:pPr>
        <w:ind w:left="567" w:hanging="567"/>
        <w:contextualSpacing/>
        <w:jc w:val="both"/>
        <w:rPr>
          <w:rFonts w:ascii="Arial" w:eastAsia="Calibri" w:hAnsi="Arial" w:cs="Arial"/>
          <w:sz w:val="24"/>
          <w:szCs w:val="24"/>
        </w:rPr>
      </w:pPr>
    </w:p>
    <w:p w14:paraId="53044DE8" w14:textId="7EFAAC8A" w:rsidR="00183EB4" w:rsidRPr="004A7A3A"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A863C6">
        <w:rPr>
          <w:rFonts w:ascii="Arial" w:eastAsia="Calibri" w:hAnsi="Arial" w:cs="Arial"/>
          <w:sz w:val="24"/>
          <w:szCs w:val="24"/>
        </w:rPr>
        <w:t>may</w:t>
      </w:r>
      <w:r w:rsidR="004F6424" w:rsidRPr="004A7A3A">
        <w:rPr>
          <w:rFonts w:ascii="Arial" w:eastAsia="Calibri" w:hAnsi="Arial" w:cs="Arial"/>
          <w:sz w:val="24"/>
          <w:szCs w:val="24"/>
        </w:rPr>
        <w:t xml:space="preserve"> n</w:t>
      </w:r>
      <w:r w:rsidR="00183EB4" w:rsidRPr="004A7A3A">
        <w:rPr>
          <w:rFonts w:ascii="Arial" w:eastAsia="Calibri" w:hAnsi="Arial" w:cs="Arial"/>
          <w:sz w:val="24"/>
          <w:szCs w:val="24"/>
        </w:rPr>
        <w:t>ot be taken further in the tender.</w:t>
      </w:r>
    </w:p>
    <w:p w14:paraId="672D90AD" w14:textId="77777777" w:rsidR="00C62A4B" w:rsidRPr="004A7A3A" w:rsidRDefault="00C62A4B" w:rsidP="00E1388E">
      <w:pPr>
        <w:ind w:left="567" w:hanging="567"/>
        <w:contextualSpacing/>
        <w:jc w:val="both"/>
        <w:rPr>
          <w:rFonts w:ascii="Arial" w:eastAsia="Calibri" w:hAnsi="Arial" w:cs="Arial"/>
          <w:sz w:val="24"/>
          <w:szCs w:val="24"/>
        </w:rPr>
      </w:pPr>
    </w:p>
    <w:p w14:paraId="5A141D0E" w14:textId="77777777" w:rsidR="00C62A4B" w:rsidRDefault="00AE3AE5" w:rsidP="00E1388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t>4.5</w:t>
      </w:r>
      <w:r w:rsidR="00C62A4B" w:rsidRPr="004A7A3A">
        <w:rPr>
          <w:rFonts w:ascii="Arial" w:eastAsia="Calibri" w:hAnsi="Arial" w:cs="Arial"/>
          <w:sz w:val="24"/>
          <w:szCs w:val="24"/>
        </w:rPr>
        <w:tab/>
      </w:r>
      <w:r w:rsidR="00C62A4B" w:rsidRPr="003D7583">
        <w:rPr>
          <w:rFonts w:ascii="Arial" w:eastAsia="Calibri" w:hAnsi="Arial" w:cs="Arial"/>
          <w:sz w:val="24"/>
          <w:szCs w:val="24"/>
        </w:rPr>
        <w:t xml:space="preserve">Offered products where specific product requirements are listed in Document No. 02 - Terms of Offer and/or Document </w:t>
      </w:r>
      <w:r w:rsidR="00C62A4B" w:rsidRPr="003D7583">
        <w:rPr>
          <w:rFonts w:ascii="Arial" w:eastAsia="Calibri" w:hAnsi="Arial"/>
          <w:sz w:val="24"/>
        </w:rPr>
        <w:t>No.</w:t>
      </w:r>
      <w:r w:rsidR="004E19D8" w:rsidRPr="003D7583">
        <w:rPr>
          <w:rFonts w:ascii="Arial" w:eastAsia="Calibri" w:hAnsi="Arial"/>
          <w:sz w:val="24"/>
        </w:rPr>
        <w:t xml:space="preserve"> 0</w:t>
      </w:r>
      <w:r w:rsidR="004A7A3A" w:rsidRPr="003D7583">
        <w:rPr>
          <w:rFonts w:ascii="Arial" w:eastAsia="Calibri" w:hAnsi="Arial"/>
          <w:sz w:val="24"/>
        </w:rPr>
        <w:t>4 A</w:t>
      </w:r>
      <w:r w:rsidR="004E19D8" w:rsidRPr="003D7583">
        <w:rPr>
          <w:rFonts w:ascii="Arial" w:eastAsia="Calibri" w:hAnsi="Arial"/>
          <w:sz w:val="24"/>
        </w:rPr>
        <w:t>ppendix A -</w:t>
      </w:r>
      <w:r w:rsidR="004A7A3A" w:rsidRPr="003D7583">
        <w:rPr>
          <w:rFonts w:ascii="Arial" w:eastAsia="Calibri" w:hAnsi="Arial"/>
          <w:sz w:val="24"/>
        </w:rPr>
        <w:t xml:space="preserve"> Stability Protocol and Additional Specification Requirements</w:t>
      </w:r>
      <w:r w:rsidR="00C62A4B" w:rsidRPr="003D7583">
        <w:rPr>
          <w:rFonts w:ascii="Arial" w:eastAsia="Calibri" w:hAnsi="Arial" w:cs="Arial"/>
          <w:sz w:val="24"/>
          <w:szCs w:val="24"/>
        </w:rPr>
        <w:t xml:space="preserve"> will be checked for compatibility against those specific product requirements.</w:t>
      </w:r>
    </w:p>
    <w:p w14:paraId="50AB849E"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F0B75C4" w14:textId="77777777" w:rsidR="00817F4A" w:rsidRPr="00817F4A" w:rsidRDefault="00817F4A" w:rsidP="00817F4A">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(MHRA December 2020)</w:t>
      </w:r>
    </w:p>
    <w:p w14:paraId="55B1CE46"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Promoting safer use of injectable medicines (NPSA Alert 20, March 2007)</w:t>
      </w:r>
    </w:p>
    <w:p w14:paraId="214326C1"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lastRenderedPageBreak/>
        <w:t>Design for patient safety: A guide to the graphic design of medication</w:t>
      </w:r>
      <w:r>
        <w:rPr>
          <w:rFonts w:ascii="Arial" w:eastAsia="Calibri" w:hAnsi="Arial" w:cs="Arial"/>
          <w:sz w:val="24"/>
          <w:szCs w:val="24"/>
        </w:rPr>
        <w:t xml:space="preserve"> </w:t>
      </w:r>
      <w:r w:rsidRPr="00817F4A">
        <w:rPr>
          <w:rFonts w:ascii="Arial" w:eastAsia="Calibri" w:hAnsi="Arial" w:cs="Arial"/>
          <w:sz w:val="24"/>
          <w:szCs w:val="24"/>
        </w:rPr>
        <w:t>packaging (NPSA 0463A 2008)</w:t>
      </w:r>
    </w:p>
    <w:p w14:paraId="28326CFE"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Design for patient safety: A guide to labelling and packaging of injectable medicines (NPSA 2008) ISBN: 978-1-906624-02-6</w:t>
      </w:r>
    </w:p>
    <w:p w14:paraId="318C0C90"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64CAC44E" w14:textId="77777777" w:rsidR="00AE3AE5" w:rsidRDefault="00AE3AE5" w:rsidP="00E1388E">
      <w:pPr>
        <w:spacing w:after="160" w:line="259" w:lineRule="auto"/>
        <w:ind w:left="567" w:hanging="567"/>
        <w:jc w:val="both"/>
        <w:rPr>
          <w:rFonts w:ascii="Arial" w:eastAsia="Calibri" w:hAnsi="Arial" w:cs="Arial"/>
          <w:sz w:val="24"/>
          <w:szCs w:val="24"/>
        </w:rPr>
      </w:pPr>
    </w:p>
    <w:p w14:paraId="61D0EA01" w14:textId="77777777" w:rsidR="004E19D8" w:rsidRPr="00254D92" w:rsidRDefault="004E19D8" w:rsidP="004E19D8">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Stability Protocol and Additional Specification Requirements</w:t>
      </w:r>
    </w:p>
    <w:p w14:paraId="26AE1B9B" w14:textId="77777777" w:rsidR="004E19D8" w:rsidRPr="006B1432" w:rsidRDefault="004E19D8" w:rsidP="004E19D8">
      <w:pPr>
        <w:pStyle w:val="BodyText2"/>
        <w:jc w:val="both"/>
        <w:rPr>
          <w:rFonts w:cs="Arial"/>
          <w:b/>
          <w:color w:val="auto"/>
          <w:szCs w:val="22"/>
        </w:rPr>
      </w:pPr>
    </w:p>
    <w:p w14:paraId="0AFCAF9A" w14:textId="286E8149" w:rsidR="004E19D8" w:rsidRDefault="004E19D8" w:rsidP="004E19D8">
      <w:pPr>
        <w:pStyle w:val="BodyText2"/>
        <w:jc w:val="both"/>
        <w:rPr>
          <w:rFonts w:cs="Arial"/>
          <w:b/>
          <w:color w:val="auto"/>
          <w:sz w:val="24"/>
        </w:rPr>
      </w:pPr>
    </w:p>
    <w:p w14:paraId="1AE95EB2" w14:textId="77777777" w:rsidR="004E19D8" w:rsidRDefault="004E19D8" w:rsidP="004E19D8">
      <w:pPr>
        <w:pStyle w:val="BodyText2"/>
        <w:jc w:val="both"/>
        <w:rPr>
          <w:rFonts w:cs="Arial"/>
          <w:b/>
          <w:color w:val="auto"/>
          <w:sz w:val="24"/>
        </w:rPr>
      </w:pPr>
    </w:p>
    <w:p w14:paraId="05E28B8A" w14:textId="77777777" w:rsidR="004E19D8" w:rsidRPr="006B1432" w:rsidRDefault="004E19D8" w:rsidP="004E19D8">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5F0FDB70" w14:textId="77777777" w:rsidR="004E19D8" w:rsidRPr="006B1432" w:rsidRDefault="004E19D8" w:rsidP="004E19D8">
      <w:pPr>
        <w:pStyle w:val="BodyText2"/>
        <w:jc w:val="both"/>
        <w:rPr>
          <w:rFonts w:cs="Arial"/>
          <w:bCs/>
          <w:color w:val="auto"/>
          <w:sz w:val="24"/>
        </w:rPr>
      </w:pPr>
    </w:p>
    <w:p w14:paraId="7E623B44" w14:textId="77777777" w:rsidR="004E19D8" w:rsidRPr="006B1432" w:rsidRDefault="004E19D8" w:rsidP="004E19D8">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198888E8" w14:textId="77777777" w:rsidR="004E19D8" w:rsidRPr="006B1432" w:rsidRDefault="004E19D8" w:rsidP="004E19D8">
      <w:pPr>
        <w:pStyle w:val="BodyText2"/>
        <w:jc w:val="both"/>
        <w:rPr>
          <w:rFonts w:cs="Arial"/>
          <w:bCs/>
          <w:color w:val="auto"/>
          <w:sz w:val="24"/>
        </w:rPr>
      </w:pPr>
    </w:p>
    <w:p w14:paraId="25F8E0A8" w14:textId="77777777" w:rsidR="004E19D8" w:rsidRPr="006B1432" w:rsidRDefault="004E19D8" w:rsidP="004E19D8">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57CF6598" w14:textId="77777777" w:rsidR="004E19D8" w:rsidRPr="006B1432" w:rsidRDefault="004E19D8" w:rsidP="004E19D8">
      <w:pPr>
        <w:pStyle w:val="BodyText2"/>
        <w:ind w:left="-567"/>
        <w:jc w:val="both"/>
        <w:rPr>
          <w:rFonts w:cs="Arial"/>
          <w:bCs/>
          <w:color w:val="auto"/>
          <w:sz w:val="24"/>
        </w:rPr>
      </w:pPr>
    </w:p>
    <w:p w14:paraId="4A796CE2" w14:textId="77777777" w:rsidR="004E19D8" w:rsidRPr="006B1432" w:rsidRDefault="004E19D8" w:rsidP="004E19D8">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2F52ECD3" w14:textId="77777777" w:rsidR="004E19D8" w:rsidRPr="006B1432" w:rsidRDefault="004E19D8" w:rsidP="004E19D8">
      <w:pPr>
        <w:pStyle w:val="BodyText2"/>
        <w:ind w:left="-567"/>
        <w:jc w:val="both"/>
        <w:rPr>
          <w:rFonts w:cs="Arial"/>
          <w:bCs/>
          <w:color w:val="auto"/>
          <w:sz w:val="24"/>
        </w:rPr>
      </w:pPr>
    </w:p>
    <w:p w14:paraId="1B542283" w14:textId="77777777" w:rsidR="004E19D8" w:rsidRPr="006B1432" w:rsidRDefault="004E19D8" w:rsidP="004E19D8">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05BCB67D" w14:textId="77777777" w:rsidR="004E19D8" w:rsidRPr="006B1432" w:rsidRDefault="004E19D8" w:rsidP="004E19D8">
      <w:pPr>
        <w:pStyle w:val="BodyText2"/>
        <w:ind w:left="-567"/>
        <w:jc w:val="both"/>
        <w:rPr>
          <w:rFonts w:cs="Arial"/>
          <w:bCs/>
          <w:color w:val="auto"/>
          <w:sz w:val="24"/>
        </w:rPr>
      </w:pPr>
    </w:p>
    <w:p w14:paraId="33B1840C" w14:textId="77777777" w:rsidR="004E19D8" w:rsidRPr="0029661A" w:rsidRDefault="004E19D8" w:rsidP="004E19D8">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3C238166" w14:textId="77777777" w:rsidR="004E19D8" w:rsidRPr="0029661A" w:rsidRDefault="004E19D8" w:rsidP="000354E0">
      <w:pPr>
        <w:pStyle w:val="BodyText2"/>
        <w:jc w:val="both"/>
        <w:rPr>
          <w:rFonts w:cs="Arial"/>
          <w:bCs/>
          <w:color w:val="auto"/>
          <w:sz w:val="24"/>
        </w:rPr>
      </w:pPr>
    </w:p>
    <w:p w14:paraId="4CA25C1B" w14:textId="77777777" w:rsidR="004E19D8" w:rsidRPr="0029661A" w:rsidRDefault="004E19D8" w:rsidP="004E19D8">
      <w:pPr>
        <w:pStyle w:val="BodyText2"/>
        <w:ind w:left="-567"/>
        <w:jc w:val="both"/>
        <w:rPr>
          <w:rFonts w:cs="Arial"/>
          <w:bCs/>
          <w:color w:val="auto"/>
          <w:sz w:val="24"/>
        </w:rPr>
      </w:pPr>
    </w:p>
    <w:p w14:paraId="0BB4637C" w14:textId="6E2A52D7" w:rsidR="000354E0" w:rsidRPr="00A21EBD" w:rsidRDefault="00930FAF" w:rsidP="000354E0">
      <w:pPr>
        <w:pStyle w:val="BodyText2"/>
        <w:ind w:left="-567" w:firstLine="567"/>
        <w:jc w:val="both"/>
        <w:rPr>
          <w:rFonts w:cs="Arial"/>
          <w:bCs/>
          <w:color w:val="auto"/>
          <w:sz w:val="24"/>
        </w:rPr>
      </w:pPr>
      <w:r>
        <w:rPr>
          <w:rFonts w:cs="Arial"/>
          <w:bCs/>
          <w:color w:val="auto"/>
          <w:sz w:val="24"/>
        </w:rPr>
        <w:t>N/A</w:t>
      </w:r>
    </w:p>
    <w:p w14:paraId="22594033" w14:textId="77777777" w:rsidR="004E19D8" w:rsidRPr="00A21EBD" w:rsidRDefault="004E19D8" w:rsidP="004E19D8">
      <w:pPr>
        <w:pStyle w:val="BodyText2"/>
        <w:ind w:left="-567" w:firstLine="567"/>
        <w:jc w:val="both"/>
        <w:rPr>
          <w:rFonts w:cs="Arial"/>
          <w:bCs/>
          <w:color w:val="auto"/>
          <w:sz w:val="24"/>
        </w:rPr>
      </w:pPr>
    </w:p>
    <w:p w14:paraId="5500A830" w14:textId="77777777" w:rsidR="004E19D8" w:rsidRPr="00A21EBD" w:rsidRDefault="004E19D8" w:rsidP="004E19D8">
      <w:pPr>
        <w:pStyle w:val="BodyText2"/>
        <w:ind w:left="-567"/>
        <w:jc w:val="both"/>
        <w:rPr>
          <w:rFonts w:cs="Arial"/>
          <w:bCs/>
          <w:color w:val="auto"/>
          <w:sz w:val="24"/>
        </w:rPr>
      </w:pPr>
    </w:p>
    <w:p w14:paraId="31F17C3E" w14:textId="77777777" w:rsidR="00E41B0F" w:rsidRPr="000F453C" w:rsidRDefault="00E41B0F" w:rsidP="00E41B0F">
      <w:pPr>
        <w:pStyle w:val="BodyText2"/>
        <w:numPr>
          <w:ilvl w:val="0"/>
          <w:numId w:val="22"/>
        </w:numPr>
        <w:ind w:left="-567" w:firstLine="0"/>
        <w:jc w:val="both"/>
        <w:rPr>
          <w:rFonts w:cs="Arial"/>
          <w:b/>
          <w:color w:val="auto"/>
          <w:sz w:val="24"/>
        </w:rPr>
      </w:pPr>
      <w:r w:rsidRPr="000F453C">
        <w:rPr>
          <w:rFonts w:cs="Arial"/>
          <w:b/>
          <w:color w:val="auto"/>
          <w:sz w:val="24"/>
        </w:rPr>
        <w:t>Packaging protection from light</w:t>
      </w:r>
    </w:p>
    <w:p w14:paraId="18382700" w14:textId="77777777" w:rsidR="00E41B0F" w:rsidRPr="000F453C" w:rsidRDefault="00E41B0F" w:rsidP="00E41B0F">
      <w:pPr>
        <w:pStyle w:val="BodyText2"/>
        <w:ind w:left="-567"/>
        <w:jc w:val="both"/>
        <w:rPr>
          <w:rFonts w:cs="Arial"/>
          <w:b/>
          <w:color w:val="auto"/>
          <w:sz w:val="24"/>
        </w:rPr>
      </w:pPr>
    </w:p>
    <w:p w14:paraId="3D3CE1A0" w14:textId="77777777" w:rsidR="00E41B0F" w:rsidRPr="000F453C" w:rsidRDefault="00E41B0F" w:rsidP="00E41B0F">
      <w:pPr>
        <w:pStyle w:val="BodyText2"/>
        <w:jc w:val="both"/>
        <w:rPr>
          <w:rFonts w:cs="Arial"/>
          <w:color w:val="auto"/>
          <w:sz w:val="24"/>
        </w:rPr>
      </w:pPr>
      <w:r w:rsidRPr="000F453C">
        <w:rPr>
          <w:rFonts w:cs="Arial"/>
          <w:color w:val="auto"/>
          <w:sz w:val="24"/>
        </w:rPr>
        <w:t>The NHS requires the following products to be contained in packaging designed to protect the product from light:</w:t>
      </w:r>
    </w:p>
    <w:p w14:paraId="63A87A8F" w14:textId="77777777" w:rsidR="00E41B0F" w:rsidRPr="006F7C52" w:rsidRDefault="00E41B0F" w:rsidP="00E41B0F">
      <w:pPr>
        <w:pStyle w:val="BodyText2"/>
        <w:ind w:left="-567" w:firstLine="567"/>
        <w:jc w:val="both"/>
        <w:rPr>
          <w:rFonts w:cs="Arial"/>
          <w:color w:val="auto"/>
          <w:sz w:val="24"/>
        </w:rPr>
      </w:pPr>
      <w:r w:rsidRPr="006F7C52">
        <w:rPr>
          <w:rFonts w:cs="Arial"/>
          <w:color w:val="auto"/>
          <w:sz w:val="24"/>
        </w:rPr>
        <w:lastRenderedPageBreak/>
        <w:t>N/A</w:t>
      </w:r>
    </w:p>
    <w:p w14:paraId="5172AC12" w14:textId="77777777" w:rsidR="00E41B0F" w:rsidRPr="006F7C52" w:rsidRDefault="00E41B0F" w:rsidP="00E41B0F">
      <w:pPr>
        <w:pStyle w:val="BodyText2"/>
        <w:numPr>
          <w:ilvl w:val="0"/>
          <w:numId w:val="22"/>
        </w:numPr>
        <w:ind w:left="0" w:hanging="567"/>
        <w:jc w:val="both"/>
        <w:rPr>
          <w:rFonts w:cs="Arial"/>
          <w:b/>
          <w:color w:val="auto"/>
          <w:sz w:val="24"/>
        </w:rPr>
      </w:pPr>
      <w:r w:rsidRPr="006F7C52">
        <w:rPr>
          <w:rFonts w:cs="Arial"/>
          <w:b/>
          <w:color w:val="auto"/>
          <w:sz w:val="24"/>
        </w:rPr>
        <w:t>Cytotoxic products in blister packs/sachets or with Child Resistant Closure (CRC)</w:t>
      </w:r>
    </w:p>
    <w:p w14:paraId="37400C80" w14:textId="77777777" w:rsidR="00E41B0F" w:rsidRPr="006F7C52" w:rsidRDefault="00E41B0F" w:rsidP="00E41B0F">
      <w:pPr>
        <w:pStyle w:val="BodyText2"/>
        <w:jc w:val="both"/>
        <w:rPr>
          <w:rFonts w:cs="Arial"/>
          <w:color w:val="auto"/>
          <w:sz w:val="24"/>
        </w:rPr>
      </w:pPr>
      <w:r w:rsidRPr="006F7C52">
        <w:rPr>
          <w:rFonts w:cs="Arial"/>
          <w:color w:val="auto"/>
          <w:sz w:val="24"/>
        </w:rPr>
        <w:t>N/A</w:t>
      </w:r>
    </w:p>
    <w:p w14:paraId="2F2C5BCC" w14:textId="77777777" w:rsidR="00E41B0F" w:rsidRPr="006F7C52" w:rsidRDefault="00E41B0F" w:rsidP="00E41B0F">
      <w:pPr>
        <w:pStyle w:val="BodyText2"/>
        <w:ind w:left="-3"/>
        <w:jc w:val="both"/>
        <w:rPr>
          <w:rFonts w:cs="Arial"/>
          <w:color w:val="auto"/>
          <w:sz w:val="24"/>
        </w:rPr>
      </w:pPr>
      <w:r w:rsidRPr="006F7C52">
        <w:rPr>
          <w:rFonts w:cs="Arial"/>
          <w:color w:val="auto"/>
          <w:sz w:val="24"/>
        </w:rPr>
        <w:t>As stated in Document No. 04 Quality Assurance Process, Table 1, a SPC will be required as part of the tender submission on Pharma QC to ensure products are compliant with the presentation requirements stated above.</w:t>
      </w:r>
    </w:p>
    <w:p w14:paraId="5D716F31" w14:textId="77777777" w:rsidR="00E41B0F" w:rsidRDefault="00E41B0F" w:rsidP="00E41B0F">
      <w:pPr>
        <w:pStyle w:val="BodyText2"/>
        <w:ind w:left="-3"/>
        <w:jc w:val="both"/>
        <w:rPr>
          <w:rFonts w:cs="Arial"/>
          <w:bCs/>
          <w:sz w:val="24"/>
        </w:rPr>
      </w:pPr>
    </w:p>
    <w:p w14:paraId="1541141B" w14:textId="77777777" w:rsidR="004E19D8" w:rsidRPr="00FF3D6E" w:rsidRDefault="004E19D8" w:rsidP="004E19D8">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CACFB0A" w14:textId="77777777" w:rsidR="004E19D8" w:rsidRPr="00FF3D6E" w:rsidRDefault="004E19D8" w:rsidP="004E19D8">
      <w:pPr>
        <w:pStyle w:val="BodyText2"/>
        <w:jc w:val="both"/>
        <w:rPr>
          <w:rFonts w:cs="Arial"/>
          <w:bCs/>
          <w:color w:val="auto"/>
          <w:sz w:val="24"/>
        </w:rPr>
      </w:pPr>
    </w:p>
    <w:p w14:paraId="734E8637" w14:textId="77777777" w:rsidR="004E19D8" w:rsidRPr="00FF3D6E" w:rsidRDefault="004E19D8" w:rsidP="004E19D8">
      <w:pPr>
        <w:pStyle w:val="BodyText2"/>
        <w:ind w:left="-567" w:firstLine="567"/>
        <w:jc w:val="both"/>
        <w:rPr>
          <w:rFonts w:cs="Arial"/>
          <w:bCs/>
          <w:color w:val="auto"/>
          <w:sz w:val="24"/>
        </w:rPr>
      </w:pPr>
    </w:p>
    <w:p w14:paraId="45F2ED2A" w14:textId="5333EACD" w:rsidR="004E19D8" w:rsidRDefault="00342F38" w:rsidP="004E19D8">
      <w:pPr>
        <w:pStyle w:val="BodyText2"/>
        <w:ind w:left="-3"/>
        <w:jc w:val="both"/>
        <w:rPr>
          <w:rFonts w:cs="Arial"/>
          <w:bCs/>
          <w:color w:val="auto"/>
          <w:sz w:val="24"/>
        </w:rPr>
      </w:pPr>
      <w:r>
        <w:rPr>
          <w:rFonts w:cs="Arial"/>
          <w:bCs/>
          <w:color w:val="auto"/>
          <w:sz w:val="24"/>
        </w:rPr>
        <w:t>N/A</w:t>
      </w:r>
    </w:p>
    <w:p w14:paraId="13814C43" w14:textId="77777777" w:rsidR="004E19D8" w:rsidRPr="004B6A03" w:rsidRDefault="004E19D8" w:rsidP="004E19D8">
      <w:pPr>
        <w:pStyle w:val="BodyText2"/>
        <w:ind w:left="-567"/>
        <w:jc w:val="both"/>
        <w:rPr>
          <w:rFonts w:cs="Arial"/>
          <w:bCs/>
          <w:color w:val="auto"/>
          <w:sz w:val="24"/>
        </w:rPr>
      </w:pPr>
    </w:p>
    <w:p w14:paraId="625769C6" w14:textId="77777777" w:rsidR="004E19D8" w:rsidRDefault="004E19D8" w:rsidP="004E19D8">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E81BD0D" w14:textId="77777777" w:rsidR="004E19D8" w:rsidRPr="004B6A03" w:rsidRDefault="004E19D8" w:rsidP="004E19D8">
      <w:pPr>
        <w:pStyle w:val="BodyText2"/>
        <w:ind w:left="-567"/>
        <w:jc w:val="both"/>
        <w:rPr>
          <w:rFonts w:cs="Arial"/>
          <w:b/>
          <w:color w:val="auto"/>
          <w:sz w:val="24"/>
        </w:rPr>
      </w:pPr>
    </w:p>
    <w:p w14:paraId="623E79AE" w14:textId="77777777" w:rsidR="004E19D8" w:rsidRDefault="004E19D8" w:rsidP="004E19D8">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11CEFFE0" w14:textId="77777777" w:rsidR="004E19D8" w:rsidRDefault="004E19D8" w:rsidP="004E19D8">
      <w:pPr>
        <w:pStyle w:val="BodyText2"/>
        <w:jc w:val="both"/>
        <w:rPr>
          <w:rFonts w:cs="Arial"/>
          <w:bCs/>
          <w:color w:val="auto"/>
          <w:sz w:val="24"/>
        </w:rPr>
      </w:pPr>
    </w:p>
    <w:p w14:paraId="4D3AEAEC" w14:textId="77777777" w:rsidR="004E19D8" w:rsidRPr="00FF3D6E" w:rsidRDefault="004E19D8" w:rsidP="004E19D8">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68534290" w14:textId="77777777" w:rsidR="004E19D8" w:rsidRPr="00FF3D6E" w:rsidRDefault="004E19D8" w:rsidP="004E19D8">
      <w:pPr>
        <w:pStyle w:val="BodyText2"/>
        <w:jc w:val="both"/>
        <w:rPr>
          <w:rFonts w:cs="Arial"/>
          <w:bCs/>
          <w:color w:val="auto"/>
          <w:sz w:val="24"/>
        </w:rPr>
      </w:pPr>
    </w:p>
    <w:p w14:paraId="14629D77" w14:textId="04CE8681" w:rsidR="00283E87" w:rsidRPr="00A2714A" w:rsidRDefault="00283E87" w:rsidP="008A16C7">
      <w:pPr>
        <w:pStyle w:val="ListParagraph"/>
        <w:ind w:left="-360"/>
        <w:jc w:val="both"/>
        <w:rPr>
          <w:rFonts w:ascii="Arial" w:hAnsi="Arial" w:cs="Arial"/>
        </w:rPr>
      </w:pPr>
      <w:bookmarkStart w:id="1" w:name="_Hlk187328336"/>
      <w:r w:rsidRPr="00A2714A">
        <w:rPr>
          <w:rFonts w:ascii="Arial" w:hAnsi="Arial" w:cs="Arial"/>
        </w:rPr>
        <w:t>N/A</w:t>
      </w:r>
    </w:p>
    <w:bookmarkEnd w:id="1"/>
    <w:p w14:paraId="27B568FE" w14:textId="77777777" w:rsidR="004E19D8" w:rsidRPr="0036183C" w:rsidRDefault="004E19D8" w:rsidP="004E19D8">
      <w:pPr>
        <w:jc w:val="both"/>
        <w:rPr>
          <w:b/>
          <w:bCs/>
        </w:rPr>
      </w:pPr>
    </w:p>
    <w:p w14:paraId="758992DD" w14:textId="77777777" w:rsidR="004E19D8" w:rsidRPr="0036183C" w:rsidRDefault="004E19D8" w:rsidP="004E19D8">
      <w:pPr>
        <w:pStyle w:val="ListParagraph"/>
        <w:numPr>
          <w:ilvl w:val="0"/>
          <w:numId w:val="22"/>
        </w:numPr>
        <w:ind w:left="0" w:hanging="567"/>
        <w:jc w:val="both"/>
        <w:rPr>
          <w:rFonts w:ascii="Arial" w:hAnsi="Arial" w:cs="Arial"/>
          <w:b/>
          <w:bCs/>
        </w:rPr>
      </w:pPr>
      <w:bookmarkStart w:id="2" w:name="_Hlk148517926"/>
      <w:bookmarkStart w:id="3"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39D42A23" w14:textId="77777777" w:rsidR="004E19D8" w:rsidRDefault="004E19D8" w:rsidP="004E19D8">
      <w:pPr>
        <w:jc w:val="both"/>
        <w:rPr>
          <w:rFonts w:ascii="Arial" w:hAnsi="Arial" w:cs="Arial"/>
          <w:sz w:val="24"/>
          <w:szCs w:val="24"/>
        </w:rPr>
      </w:pPr>
    </w:p>
    <w:p w14:paraId="1B615250" w14:textId="095F42A6" w:rsidR="004E19D8" w:rsidRPr="00A2714A" w:rsidRDefault="004E19D8" w:rsidP="004E19D8">
      <w:pPr>
        <w:jc w:val="both"/>
        <w:rPr>
          <w:rFonts w:ascii="Arial" w:hAnsi="Arial" w:cs="Arial"/>
          <w:sz w:val="24"/>
          <w:szCs w:val="24"/>
        </w:rPr>
      </w:pPr>
      <w:r w:rsidRPr="00A2714A">
        <w:rPr>
          <w:rFonts w:ascii="Arial" w:hAnsi="Arial" w:cs="Arial"/>
          <w:sz w:val="24"/>
          <w:szCs w:val="24"/>
        </w:rPr>
        <w:t xml:space="preserve">The NHS requires the primary container of the following products which are used in an aseptic setting to bear an original label in English (i.e. NOT </w:t>
      </w:r>
      <w:r w:rsidR="00AE3AE5" w:rsidRPr="00A2714A">
        <w:rPr>
          <w:rFonts w:ascii="Arial" w:hAnsi="Arial" w:cs="Arial"/>
          <w:sz w:val="24"/>
          <w:szCs w:val="24"/>
        </w:rPr>
        <w:t>over labelled</w:t>
      </w:r>
      <w:r w:rsidRPr="00A2714A">
        <w:rPr>
          <w:rFonts w:ascii="Arial" w:hAnsi="Arial" w:cs="Arial"/>
          <w:sz w:val="24"/>
          <w:szCs w:val="24"/>
        </w:rPr>
        <w:t>).</w:t>
      </w:r>
    </w:p>
    <w:bookmarkEnd w:id="2"/>
    <w:bookmarkEnd w:id="3"/>
    <w:p w14:paraId="73B64E07" w14:textId="0C18EE87" w:rsidR="00591D68" w:rsidRPr="008A16C7" w:rsidRDefault="00591D68" w:rsidP="00CA4F69">
      <w:pPr>
        <w:ind w:left="567" w:hanging="567"/>
        <w:jc w:val="both"/>
        <w:rPr>
          <w:rFonts w:ascii="Arial" w:eastAsia="Calibri" w:hAnsi="Arial" w:cs="Arial"/>
          <w:sz w:val="24"/>
          <w:szCs w:val="24"/>
        </w:rPr>
      </w:pPr>
      <w:r w:rsidRPr="008A16C7">
        <w:rPr>
          <w:rFonts w:ascii="Arial" w:eastAsia="Calibri" w:hAnsi="Arial" w:cs="Arial"/>
          <w:sz w:val="24"/>
          <w:szCs w:val="24"/>
        </w:rPr>
        <w:t>N/A</w:t>
      </w:r>
    </w:p>
    <w:p w14:paraId="4E127A25" w14:textId="77777777" w:rsidR="00061F5D" w:rsidRDefault="00061F5D" w:rsidP="00CA4F69">
      <w:pPr>
        <w:ind w:left="567" w:hanging="567"/>
        <w:jc w:val="both"/>
        <w:rPr>
          <w:rFonts w:ascii="Arial" w:eastAsia="Calibri" w:hAnsi="Arial" w:cs="Arial"/>
          <w:b/>
          <w:bCs/>
          <w:sz w:val="24"/>
          <w:szCs w:val="24"/>
        </w:rPr>
      </w:pPr>
    </w:p>
    <w:p w14:paraId="310DDC8E" w14:textId="77777777" w:rsidR="00061F5D" w:rsidRPr="00061F5D" w:rsidRDefault="00061F5D" w:rsidP="00CA4F69">
      <w:pPr>
        <w:ind w:left="567" w:hanging="567"/>
        <w:jc w:val="both"/>
        <w:rPr>
          <w:rFonts w:ascii="Arial" w:eastAsia="Calibri" w:hAnsi="Arial" w:cs="Arial"/>
          <w:b/>
          <w:bCs/>
          <w:sz w:val="24"/>
          <w:szCs w:val="24"/>
        </w:rPr>
      </w:pPr>
    </w:p>
    <w:sectPr w:rsidR="00061F5D" w:rsidRPr="00061F5D" w:rsidSect="00603661">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40B4" w14:textId="77777777" w:rsidR="00C47F94" w:rsidRDefault="00C47F94">
      <w:r>
        <w:separator/>
      </w:r>
    </w:p>
  </w:endnote>
  <w:endnote w:type="continuationSeparator" w:id="0">
    <w:p w14:paraId="1420DBF0" w14:textId="77777777" w:rsidR="00C47F94" w:rsidRDefault="00C47F94">
      <w:r>
        <w:continuationSeparator/>
      </w:r>
    </w:p>
  </w:endnote>
  <w:endnote w:type="continuationNotice" w:id="1">
    <w:p w14:paraId="283AAF90" w14:textId="77777777" w:rsidR="00C47F94" w:rsidRDefault="00C47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3158"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5F05C"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151F"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2A1FFACA" w14:textId="77777777"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1104ED">
      <w:rPr>
        <w:rFonts w:ascii="Arial" w:hAnsi="Arial" w:cs="Arial"/>
      </w:rPr>
      <w:t>5</w:t>
    </w:r>
  </w:p>
  <w:p w14:paraId="27E4D786"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112CF5BE"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04DC2722"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D74"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4FE7ACB1" w14:textId="77777777" w:rsidR="001B6595" w:rsidRPr="0014311B" w:rsidRDefault="001B6595" w:rsidP="00570391">
    <w:pPr>
      <w:pStyle w:val="NoSpacing"/>
      <w:rPr>
        <w:rFonts w:ascii="Arial" w:hAnsi="Arial" w:cs="Arial"/>
        <w:b/>
        <w:sz w:val="20"/>
      </w:rPr>
    </w:pPr>
  </w:p>
  <w:p w14:paraId="05D8DE64" w14:textId="77777777"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061F5D">
      <w:rPr>
        <w:rFonts w:ascii="Arial" w:hAnsi="Arial" w:cs="Arial"/>
      </w:rPr>
      <w:t>5</w:t>
    </w:r>
  </w:p>
  <w:p w14:paraId="6BD85EDE"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66BC61DB"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D1D" w14:textId="77777777" w:rsidR="00C47F94" w:rsidRDefault="00C47F94">
      <w:r>
        <w:separator/>
      </w:r>
    </w:p>
  </w:footnote>
  <w:footnote w:type="continuationSeparator" w:id="0">
    <w:p w14:paraId="5AFB66A1" w14:textId="77777777" w:rsidR="00C47F94" w:rsidRDefault="00C47F94">
      <w:r>
        <w:continuationSeparator/>
      </w:r>
    </w:p>
  </w:footnote>
  <w:footnote w:type="continuationNotice" w:id="1">
    <w:p w14:paraId="1ABF5463" w14:textId="77777777" w:rsidR="00C47F94" w:rsidRDefault="00C47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DE1D" w14:textId="77777777" w:rsidR="001104ED" w:rsidRDefault="00110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80DD"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DAC" w14:textId="77777777" w:rsidR="0014311B" w:rsidRDefault="0014311B" w:rsidP="00E23EAE">
    <w:pPr>
      <w:pStyle w:val="Header"/>
      <w:jc w:val="center"/>
      <w:rPr>
        <w:rFonts w:ascii="Arial" w:hAnsi="Arial" w:cs="Arial"/>
        <w:sz w:val="20"/>
        <w:szCs w:val="20"/>
      </w:rPr>
    </w:pPr>
  </w:p>
  <w:p w14:paraId="5A2F7DDD"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1090717">
    <w:abstractNumId w:val="13"/>
  </w:num>
  <w:num w:numId="2" w16cid:durableId="120417214">
    <w:abstractNumId w:val="19"/>
  </w:num>
  <w:num w:numId="3" w16cid:durableId="720323845">
    <w:abstractNumId w:val="10"/>
  </w:num>
  <w:num w:numId="4" w16cid:durableId="523788370">
    <w:abstractNumId w:val="22"/>
  </w:num>
  <w:num w:numId="5" w16cid:durableId="1770806257">
    <w:abstractNumId w:val="21"/>
  </w:num>
  <w:num w:numId="6" w16cid:durableId="2053074706">
    <w:abstractNumId w:val="20"/>
  </w:num>
  <w:num w:numId="7" w16cid:durableId="1736930144">
    <w:abstractNumId w:val="36"/>
  </w:num>
  <w:num w:numId="8" w16cid:durableId="1816601675">
    <w:abstractNumId w:val="9"/>
  </w:num>
  <w:num w:numId="9" w16cid:durableId="278338799">
    <w:abstractNumId w:val="32"/>
  </w:num>
  <w:num w:numId="10" w16cid:durableId="1124038939">
    <w:abstractNumId w:val="29"/>
  </w:num>
  <w:num w:numId="11" w16cid:durableId="1469401496">
    <w:abstractNumId w:val="33"/>
  </w:num>
  <w:num w:numId="12" w16cid:durableId="240023149">
    <w:abstractNumId w:val="12"/>
  </w:num>
  <w:num w:numId="13" w16cid:durableId="407651237">
    <w:abstractNumId w:val="26"/>
  </w:num>
  <w:num w:numId="14" w16cid:durableId="1373841240">
    <w:abstractNumId w:val="35"/>
  </w:num>
  <w:num w:numId="15" w16cid:durableId="572744552">
    <w:abstractNumId w:val="23"/>
  </w:num>
  <w:num w:numId="16" w16cid:durableId="1603492313">
    <w:abstractNumId w:val="7"/>
  </w:num>
  <w:num w:numId="17" w16cid:durableId="732043482">
    <w:abstractNumId w:val="25"/>
  </w:num>
  <w:num w:numId="18" w16cid:durableId="523984337">
    <w:abstractNumId w:val="31"/>
  </w:num>
  <w:num w:numId="19" w16cid:durableId="1625504313">
    <w:abstractNumId w:val="17"/>
  </w:num>
  <w:num w:numId="20" w16cid:durableId="1764296632">
    <w:abstractNumId w:val="34"/>
  </w:num>
  <w:num w:numId="21" w16cid:durableId="1283075150">
    <w:abstractNumId w:val="0"/>
  </w:num>
  <w:num w:numId="22" w16cid:durableId="1874421622">
    <w:abstractNumId w:val="11"/>
  </w:num>
  <w:num w:numId="23" w16cid:durableId="1995713915">
    <w:abstractNumId w:val="4"/>
  </w:num>
  <w:num w:numId="24" w16cid:durableId="346757364">
    <w:abstractNumId w:val="2"/>
  </w:num>
  <w:num w:numId="25" w16cid:durableId="203835751">
    <w:abstractNumId w:val="5"/>
  </w:num>
  <w:num w:numId="26" w16cid:durableId="751852669">
    <w:abstractNumId w:val="8"/>
  </w:num>
  <w:num w:numId="27" w16cid:durableId="1933469704">
    <w:abstractNumId w:val="28"/>
  </w:num>
  <w:num w:numId="28" w16cid:durableId="985082662">
    <w:abstractNumId w:val="30"/>
  </w:num>
  <w:num w:numId="29" w16cid:durableId="437025977">
    <w:abstractNumId w:val="15"/>
  </w:num>
  <w:num w:numId="30" w16cid:durableId="676926983">
    <w:abstractNumId w:val="1"/>
  </w:num>
  <w:num w:numId="31" w16cid:durableId="1004476181">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693462377">
    <w:abstractNumId w:val="24"/>
  </w:num>
  <w:num w:numId="33" w16cid:durableId="660625342">
    <w:abstractNumId w:val="18"/>
  </w:num>
  <w:num w:numId="34" w16cid:durableId="1263958083">
    <w:abstractNumId w:val="6"/>
  </w:num>
  <w:num w:numId="35" w16cid:durableId="1839887219">
    <w:abstractNumId w:val="27"/>
  </w:num>
  <w:num w:numId="36" w16cid:durableId="1308123333">
    <w:abstractNumId w:val="14"/>
  </w:num>
  <w:num w:numId="37" w16cid:durableId="58248948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34226"/>
    <w:rsid w:val="00034F48"/>
    <w:rsid w:val="000354E0"/>
    <w:rsid w:val="00035E22"/>
    <w:rsid w:val="000410FE"/>
    <w:rsid w:val="0004206B"/>
    <w:rsid w:val="00043C05"/>
    <w:rsid w:val="00044753"/>
    <w:rsid w:val="0005425D"/>
    <w:rsid w:val="00056C84"/>
    <w:rsid w:val="000614C7"/>
    <w:rsid w:val="00061F5D"/>
    <w:rsid w:val="0006250E"/>
    <w:rsid w:val="0007761A"/>
    <w:rsid w:val="00080508"/>
    <w:rsid w:val="000823EE"/>
    <w:rsid w:val="00093BC3"/>
    <w:rsid w:val="0009493F"/>
    <w:rsid w:val="000958FC"/>
    <w:rsid w:val="000A1A16"/>
    <w:rsid w:val="000A7323"/>
    <w:rsid w:val="000B2A5F"/>
    <w:rsid w:val="000B5F29"/>
    <w:rsid w:val="000B61BA"/>
    <w:rsid w:val="000B6A93"/>
    <w:rsid w:val="000C25F2"/>
    <w:rsid w:val="000C48CA"/>
    <w:rsid w:val="000D280A"/>
    <w:rsid w:val="000D43B8"/>
    <w:rsid w:val="000D593A"/>
    <w:rsid w:val="000F0854"/>
    <w:rsid w:val="000F453C"/>
    <w:rsid w:val="000F56BE"/>
    <w:rsid w:val="000F6A5A"/>
    <w:rsid w:val="00100B9B"/>
    <w:rsid w:val="0010296F"/>
    <w:rsid w:val="001104ED"/>
    <w:rsid w:val="00124FFF"/>
    <w:rsid w:val="00130297"/>
    <w:rsid w:val="00132405"/>
    <w:rsid w:val="00137421"/>
    <w:rsid w:val="0014311B"/>
    <w:rsid w:val="00143546"/>
    <w:rsid w:val="00144B24"/>
    <w:rsid w:val="00151917"/>
    <w:rsid w:val="00162D75"/>
    <w:rsid w:val="00163871"/>
    <w:rsid w:val="0017444A"/>
    <w:rsid w:val="001749B2"/>
    <w:rsid w:val="00183EB4"/>
    <w:rsid w:val="001854DD"/>
    <w:rsid w:val="0019132C"/>
    <w:rsid w:val="00195764"/>
    <w:rsid w:val="001B0E00"/>
    <w:rsid w:val="001B2730"/>
    <w:rsid w:val="001B27EB"/>
    <w:rsid w:val="001B516F"/>
    <w:rsid w:val="001B6595"/>
    <w:rsid w:val="001C01BA"/>
    <w:rsid w:val="001C066E"/>
    <w:rsid w:val="001C2E66"/>
    <w:rsid w:val="001C3B8A"/>
    <w:rsid w:val="001C49B3"/>
    <w:rsid w:val="001C55A6"/>
    <w:rsid w:val="001C6077"/>
    <w:rsid w:val="001D4432"/>
    <w:rsid w:val="001E04B5"/>
    <w:rsid w:val="001E1350"/>
    <w:rsid w:val="001F0BC7"/>
    <w:rsid w:val="002035DF"/>
    <w:rsid w:val="002041AC"/>
    <w:rsid w:val="00205960"/>
    <w:rsid w:val="00207D26"/>
    <w:rsid w:val="00212889"/>
    <w:rsid w:val="002160AD"/>
    <w:rsid w:val="00220593"/>
    <w:rsid w:val="002222A3"/>
    <w:rsid w:val="00233834"/>
    <w:rsid w:val="0023543E"/>
    <w:rsid w:val="00236859"/>
    <w:rsid w:val="00240A13"/>
    <w:rsid w:val="00241941"/>
    <w:rsid w:val="00254D92"/>
    <w:rsid w:val="00255B60"/>
    <w:rsid w:val="0026374B"/>
    <w:rsid w:val="00264091"/>
    <w:rsid w:val="002674EF"/>
    <w:rsid w:val="0027470D"/>
    <w:rsid w:val="00274729"/>
    <w:rsid w:val="002800A0"/>
    <w:rsid w:val="00283E87"/>
    <w:rsid w:val="0028703D"/>
    <w:rsid w:val="00290F7A"/>
    <w:rsid w:val="002938B5"/>
    <w:rsid w:val="00295126"/>
    <w:rsid w:val="002A7868"/>
    <w:rsid w:val="002B40A0"/>
    <w:rsid w:val="002B703C"/>
    <w:rsid w:val="002C17C2"/>
    <w:rsid w:val="002C498B"/>
    <w:rsid w:val="002D0213"/>
    <w:rsid w:val="002D1CE1"/>
    <w:rsid w:val="002D6174"/>
    <w:rsid w:val="002D7130"/>
    <w:rsid w:val="002E00F9"/>
    <w:rsid w:val="002E0996"/>
    <w:rsid w:val="002E3362"/>
    <w:rsid w:val="002E597B"/>
    <w:rsid w:val="002E6425"/>
    <w:rsid w:val="002E6D5F"/>
    <w:rsid w:val="002F2CD1"/>
    <w:rsid w:val="002F51EE"/>
    <w:rsid w:val="002F7322"/>
    <w:rsid w:val="0030421F"/>
    <w:rsid w:val="00312A5F"/>
    <w:rsid w:val="00313FD9"/>
    <w:rsid w:val="003229B8"/>
    <w:rsid w:val="00322D31"/>
    <w:rsid w:val="00325CB2"/>
    <w:rsid w:val="0033304C"/>
    <w:rsid w:val="00335063"/>
    <w:rsid w:val="00342F38"/>
    <w:rsid w:val="00347AD2"/>
    <w:rsid w:val="0035283A"/>
    <w:rsid w:val="003649D4"/>
    <w:rsid w:val="00370218"/>
    <w:rsid w:val="00371C1D"/>
    <w:rsid w:val="00374B6F"/>
    <w:rsid w:val="00377464"/>
    <w:rsid w:val="003846C9"/>
    <w:rsid w:val="003870D3"/>
    <w:rsid w:val="003A5774"/>
    <w:rsid w:val="003B2962"/>
    <w:rsid w:val="003B5376"/>
    <w:rsid w:val="003B554C"/>
    <w:rsid w:val="003B76A3"/>
    <w:rsid w:val="003C1DD2"/>
    <w:rsid w:val="003C408C"/>
    <w:rsid w:val="003D7583"/>
    <w:rsid w:val="003D7EA4"/>
    <w:rsid w:val="003E1A3E"/>
    <w:rsid w:val="003E26F0"/>
    <w:rsid w:val="003E2704"/>
    <w:rsid w:val="003E6DD8"/>
    <w:rsid w:val="003F1669"/>
    <w:rsid w:val="003F413C"/>
    <w:rsid w:val="003F66B7"/>
    <w:rsid w:val="003F68EB"/>
    <w:rsid w:val="00401AD7"/>
    <w:rsid w:val="004033F1"/>
    <w:rsid w:val="00406425"/>
    <w:rsid w:val="00406BB2"/>
    <w:rsid w:val="00411034"/>
    <w:rsid w:val="00411C11"/>
    <w:rsid w:val="0041541C"/>
    <w:rsid w:val="004158F9"/>
    <w:rsid w:val="00424229"/>
    <w:rsid w:val="00436E24"/>
    <w:rsid w:val="004375F5"/>
    <w:rsid w:val="00445AA8"/>
    <w:rsid w:val="00446B8A"/>
    <w:rsid w:val="004505FF"/>
    <w:rsid w:val="00451645"/>
    <w:rsid w:val="00455992"/>
    <w:rsid w:val="00456E5D"/>
    <w:rsid w:val="00456EB3"/>
    <w:rsid w:val="00457244"/>
    <w:rsid w:val="0046373B"/>
    <w:rsid w:val="0048478D"/>
    <w:rsid w:val="00492B17"/>
    <w:rsid w:val="00495B13"/>
    <w:rsid w:val="004961D2"/>
    <w:rsid w:val="004A28F3"/>
    <w:rsid w:val="004A496F"/>
    <w:rsid w:val="004A4AF9"/>
    <w:rsid w:val="004A7A3A"/>
    <w:rsid w:val="004A7D16"/>
    <w:rsid w:val="004B6F44"/>
    <w:rsid w:val="004C2347"/>
    <w:rsid w:val="004C5BA7"/>
    <w:rsid w:val="004C7713"/>
    <w:rsid w:val="004D46CB"/>
    <w:rsid w:val="004E19D8"/>
    <w:rsid w:val="004E3684"/>
    <w:rsid w:val="004E5AB9"/>
    <w:rsid w:val="004F5B98"/>
    <w:rsid w:val="004F6424"/>
    <w:rsid w:val="0050002E"/>
    <w:rsid w:val="00500446"/>
    <w:rsid w:val="005075C1"/>
    <w:rsid w:val="00510535"/>
    <w:rsid w:val="005152D5"/>
    <w:rsid w:val="00520081"/>
    <w:rsid w:val="00523EC9"/>
    <w:rsid w:val="005250A4"/>
    <w:rsid w:val="005338E1"/>
    <w:rsid w:val="00534EDD"/>
    <w:rsid w:val="00535460"/>
    <w:rsid w:val="005355A9"/>
    <w:rsid w:val="00536ABF"/>
    <w:rsid w:val="00541BC9"/>
    <w:rsid w:val="005422BE"/>
    <w:rsid w:val="0055219C"/>
    <w:rsid w:val="00555F52"/>
    <w:rsid w:val="00557833"/>
    <w:rsid w:val="00557CC1"/>
    <w:rsid w:val="00570391"/>
    <w:rsid w:val="005737A7"/>
    <w:rsid w:val="00575CD6"/>
    <w:rsid w:val="0057726B"/>
    <w:rsid w:val="00580F90"/>
    <w:rsid w:val="005811B3"/>
    <w:rsid w:val="00581D67"/>
    <w:rsid w:val="00581FFF"/>
    <w:rsid w:val="005821C3"/>
    <w:rsid w:val="00583BC3"/>
    <w:rsid w:val="00591D68"/>
    <w:rsid w:val="00592FAA"/>
    <w:rsid w:val="00593770"/>
    <w:rsid w:val="00595D13"/>
    <w:rsid w:val="00597AC5"/>
    <w:rsid w:val="005C2C26"/>
    <w:rsid w:val="005C3B1F"/>
    <w:rsid w:val="005C4869"/>
    <w:rsid w:val="005C6510"/>
    <w:rsid w:val="005D1638"/>
    <w:rsid w:val="005D4ADF"/>
    <w:rsid w:val="005F001C"/>
    <w:rsid w:val="005F3D2A"/>
    <w:rsid w:val="005F55DD"/>
    <w:rsid w:val="00603661"/>
    <w:rsid w:val="006127B4"/>
    <w:rsid w:val="006148F1"/>
    <w:rsid w:val="00617EAB"/>
    <w:rsid w:val="00621F91"/>
    <w:rsid w:val="00625C0B"/>
    <w:rsid w:val="00625C3A"/>
    <w:rsid w:val="00627704"/>
    <w:rsid w:val="00644D40"/>
    <w:rsid w:val="00647290"/>
    <w:rsid w:val="0065121D"/>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C4E5E"/>
    <w:rsid w:val="006C7963"/>
    <w:rsid w:val="006D2CEE"/>
    <w:rsid w:val="006D4350"/>
    <w:rsid w:val="006D4E2E"/>
    <w:rsid w:val="006D635E"/>
    <w:rsid w:val="006D7174"/>
    <w:rsid w:val="006D768C"/>
    <w:rsid w:val="006E0401"/>
    <w:rsid w:val="006E4358"/>
    <w:rsid w:val="006E6A5C"/>
    <w:rsid w:val="006F0457"/>
    <w:rsid w:val="006F7C52"/>
    <w:rsid w:val="00702173"/>
    <w:rsid w:val="00707077"/>
    <w:rsid w:val="00713735"/>
    <w:rsid w:val="00721984"/>
    <w:rsid w:val="00722C49"/>
    <w:rsid w:val="00734EB0"/>
    <w:rsid w:val="00736CB1"/>
    <w:rsid w:val="0074118D"/>
    <w:rsid w:val="00757ACF"/>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2E70"/>
    <w:rsid w:val="00834AC5"/>
    <w:rsid w:val="008429D3"/>
    <w:rsid w:val="00843EC0"/>
    <w:rsid w:val="00846015"/>
    <w:rsid w:val="0085083F"/>
    <w:rsid w:val="0085491F"/>
    <w:rsid w:val="008554D0"/>
    <w:rsid w:val="008607B4"/>
    <w:rsid w:val="008717FF"/>
    <w:rsid w:val="008738E8"/>
    <w:rsid w:val="00875403"/>
    <w:rsid w:val="008808F4"/>
    <w:rsid w:val="008A16C7"/>
    <w:rsid w:val="008A1D59"/>
    <w:rsid w:val="008A27EC"/>
    <w:rsid w:val="008A576A"/>
    <w:rsid w:val="008B17D9"/>
    <w:rsid w:val="008B45A4"/>
    <w:rsid w:val="008B509E"/>
    <w:rsid w:val="008B7297"/>
    <w:rsid w:val="008C1651"/>
    <w:rsid w:val="008C5477"/>
    <w:rsid w:val="008D412C"/>
    <w:rsid w:val="008E0ED4"/>
    <w:rsid w:val="008E18D8"/>
    <w:rsid w:val="008E4073"/>
    <w:rsid w:val="008E4CC2"/>
    <w:rsid w:val="008F03AD"/>
    <w:rsid w:val="008F13D6"/>
    <w:rsid w:val="008F1B96"/>
    <w:rsid w:val="008F34DA"/>
    <w:rsid w:val="008F36A2"/>
    <w:rsid w:val="00915051"/>
    <w:rsid w:val="00915357"/>
    <w:rsid w:val="009265CC"/>
    <w:rsid w:val="00930FAF"/>
    <w:rsid w:val="00934652"/>
    <w:rsid w:val="00936643"/>
    <w:rsid w:val="00941922"/>
    <w:rsid w:val="00941B68"/>
    <w:rsid w:val="0094402D"/>
    <w:rsid w:val="00951E83"/>
    <w:rsid w:val="00953083"/>
    <w:rsid w:val="00954A79"/>
    <w:rsid w:val="00966573"/>
    <w:rsid w:val="00972931"/>
    <w:rsid w:val="009762B7"/>
    <w:rsid w:val="00981C68"/>
    <w:rsid w:val="00984DE2"/>
    <w:rsid w:val="009864A0"/>
    <w:rsid w:val="009901A2"/>
    <w:rsid w:val="0099136C"/>
    <w:rsid w:val="00992BE8"/>
    <w:rsid w:val="00997659"/>
    <w:rsid w:val="009976CD"/>
    <w:rsid w:val="009A5D47"/>
    <w:rsid w:val="009E07DA"/>
    <w:rsid w:val="009F576C"/>
    <w:rsid w:val="009F642A"/>
    <w:rsid w:val="00A00CE6"/>
    <w:rsid w:val="00A01964"/>
    <w:rsid w:val="00A1194F"/>
    <w:rsid w:val="00A12064"/>
    <w:rsid w:val="00A17553"/>
    <w:rsid w:val="00A17909"/>
    <w:rsid w:val="00A20607"/>
    <w:rsid w:val="00A23F93"/>
    <w:rsid w:val="00A2714A"/>
    <w:rsid w:val="00A3027C"/>
    <w:rsid w:val="00A30740"/>
    <w:rsid w:val="00A31A06"/>
    <w:rsid w:val="00A33878"/>
    <w:rsid w:val="00A416C1"/>
    <w:rsid w:val="00A61428"/>
    <w:rsid w:val="00A646BA"/>
    <w:rsid w:val="00A67C1A"/>
    <w:rsid w:val="00A84E77"/>
    <w:rsid w:val="00A863C6"/>
    <w:rsid w:val="00A87027"/>
    <w:rsid w:val="00A8784C"/>
    <w:rsid w:val="00A94457"/>
    <w:rsid w:val="00A947A5"/>
    <w:rsid w:val="00A9578B"/>
    <w:rsid w:val="00A968C1"/>
    <w:rsid w:val="00A97B5A"/>
    <w:rsid w:val="00AA44A8"/>
    <w:rsid w:val="00AB257F"/>
    <w:rsid w:val="00AB6559"/>
    <w:rsid w:val="00AB7A65"/>
    <w:rsid w:val="00AD0407"/>
    <w:rsid w:val="00AD5D08"/>
    <w:rsid w:val="00AE10AE"/>
    <w:rsid w:val="00AE3AE5"/>
    <w:rsid w:val="00AE799C"/>
    <w:rsid w:val="00AF0ED7"/>
    <w:rsid w:val="00AF17E2"/>
    <w:rsid w:val="00AF2139"/>
    <w:rsid w:val="00AF4198"/>
    <w:rsid w:val="00B022BC"/>
    <w:rsid w:val="00B0237E"/>
    <w:rsid w:val="00B0436D"/>
    <w:rsid w:val="00B04D01"/>
    <w:rsid w:val="00B05110"/>
    <w:rsid w:val="00B06029"/>
    <w:rsid w:val="00B10DA2"/>
    <w:rsid w:val="00B129AD"/>
    <w:rsid w:val="00B1541E"/>
    <w:rsid w:val="00B16514"/>
    <w:rsid w:val="00B224AC"/>
    <w:rsid w:val="00B25296"/>
    <w:rsid w:val="00B3037E"/>
    <w:rsid w:val="00B3171B"/>
    <w:rsid w:val="00B32C71"/>
    <w:rsid w:val="00B40DCC"/>
    <w:rsid w:val="00B45365"/>
    <w:rsid w:val="00B50B9D"/>
    <w:rsid w:val="00B51F10"/>
    <w:rsid w:val="00B537BA"/>
    <w:rsid w:val="00B540B8"/>
    <w:rsid w:val="00B67CA1"/>
    <w:rsid w:val="00B77ED4"/>
    <w:rsid w:val="00B8756A"/>
    <w:rsid w:val="00B921ED"/>
    <w:rsid w:val="00B94185"/>
    <w:rsid w:val="00B94585"/>
    <w:rsid w:val="00BA17C7"/>
    <w:rsid w:val="00BA1F9C"/>
    <w:rsid w:val="00BA4097"/>
    <w:rsid w:val="00BA461A"/>
    <w:rsid w:val="00BA5E5E"/>
    <w:rsid w:val="00BA5F9D"/>
    <w:rsid w:val="00BB248E"/>
    <w:rsid w:val="00BB596B"/>
    <w:rsid w:val="00BB600D"/>
    <w:rsid w:val="00BB6706"/>
    <w:rsid w:val="00BC3CF2"/>
    <w:rsid w:val="00BD7B9F"/>
    <w:rsid w:val="00BE2A08"/>
    <w:rsid w:val="00BF384F"/>
    <w:rsid w:val="00C01491"/>
    <w:rsid w:val="00C02662"/>
    <w:rsid w:val="00C11486"/>
    <w:rsid w:val="00C12DAE"/>
    <w:rsid w:val="00C163D1"/>
    <w:rsid w:val="00C16CAA"/>
    <w:rsid w:val="00C1748F"/>
    <w:rsid w:val="00C41AB4"/>
    <w:rsid w:val="00C47F94"/>
    <w:rsid w:val="00C53FCE"/>
    <w:rsid w:val="00C54367"/>
    <w:rsid w:val="00C6065B"/>
    <w:rsid w:val="00C62A4B"/>
    <w:rsid w:val="00C7600A"/>
    <w:rsid w:val="00C772E8"/>
    <w:rsid w:val="00C86DFE"/>
    <w:rsid w:val="00C92FEF"/>
    <w:rsid w:val="00C9528D"/>
    <w:rsid w:val="00CA3742"/>
    <w:rsid w:val="00CA4835"/>
    <w:rsid w:val="00CA4F69"/>
    <w:rsid w:val="00CB2DD4"/>
    <w:rsid w:val="00CB3EE2"/>
    <w:rsid w:val="00CB5D32"/>
    <w:rsid w:val="00CC5294"/>
    <w:rsid w:val="00CC67F0"/>
    <w:rsid w:val="00CD0E8F"/>
    <w:rsid w:val="00CD19F8"/>
    <w:rsid w:val="00CD4CD5"/>
    <w:rsid w:val="00CD5454"/>
    <w:rsid w:val="00CE0ED6"/>
    <w:rsid w:val="00CE190C"/>
    <w:rsid w:val="00CE3359"/>
    <w:rsid w:val="00CE4BDA"/>
    <w:rsid w:val="00CE4EE8"/>
    <w:rsid w:val="00CF1057"/>
    <w:rsid w:val="00CF7EA2"/>
    <w:rsid w:val="00D004D0"/>
    <w:rsid w:val="00D05019"/>
    <w:rsid w:val="00D142DC"/>
    <w:rsid w:val="00D15059"/>
    <w:rsid w:val="00D1560F"/>
    <w:rsid w:val="00D1633A"/>
    <w:rsid w:val="00D16870"/>
    <w:rsid w:val="00D251D2"/>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94788"/>
    <w:rsid w:val="00DA1A77"/>
    <w:rsid w:val="00DA1BA1"/>
    <w:rsid w:val="00DA1D3E"/>
    <w:rsid w:val="00DA264E"/>
    <w:rsid w:val="00DA53B1"/>
    <w:rsid w:val="00DA76B9"/>
    <w:rsid w:val="00DB3D6E"/>
    <w:rsid w:val="00DC1399"/>
    <w:rsid w:val="00DC3B12"/>
    <w:rsid w:val="00DC4C91"/>
    <w:rsid w:val="00DC7540"/>
    <w:rsid w:val="00DD52EB"/>
    <w:rsid w:val="00DD7348"/>
    <w:rsid w:val="00DE024B"/>
    <w:rsid w:val="00DE1A96"/>
    <w:rsid w:val="00DF0711"/>
    <w:rsid w:val="00DF4305"/>
    <w:rsid w:val="00DF4DF9"/>
    <w:rsid w:val="00DF64B7"/>
    <w:rsid w:val="00E0376B"/>
    <w:rsid w:val="00E04D1C"/>
    <w:rsid w:val="00E1388E"/>
    <w:rsid w:val="00E23EAE"/>
    <w:rsid w:val="00E26F7D"/>
    <w:rsid w:val="00E30A6C"/>
    <w:rsid w:val="00E31BD0"/>
    <w:rsid w:val="00E3732C"/>
    <w:rsid w:val="00E41B0F"/>
    <w:rsid w:val="00E557C4"/>
    <w:rsid w:val="00E55FB6"/>
    <w:rsid w:val="00E60E28"/>
    <w:rsid w:val="00E62E65"/>
    <w:rsid w:val="00E65AC3"/>
    <w:rsid w:val="00E728DF"/>
    <w:rsid w:val="00E820C2"/>
    <w:rsid w:val="00E83BF8"/>
    <w:rsid w:val="00E91CC3"/>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2BB1"/>
    <w:rsid w:val="00F83368"/>
    <w:rsid w:val="00F86239"/>
    <w:rsid w:val="00FA149F"/>
    <w:rsid w:val="00FA3310"/>
    <w:rsid w:val="00FA42EC"/>
    <w:rsid w:val="00FA7E1F"/>
    <w:rsid w:val="00FB3AFB"/>
    <w:rsid w:val="00FB7149"/>
    <w:rsid w:val="00FB73A3"/>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4C9C98"/>
  <w15:chartTrackingRefBased/>
  <w15:docId w15:val="{7D328AD4-8E47-4EAD-A344-84EA3B7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rsid w:val="001B27EB"/>
    <w:rPr>
      <w:sz w:val="16"/>
      <w:szCs w:val="16"/>
    </w:rPr>
  </w:style>
  <w:style w:type="paragraph" w:styleId="CommentText">
    <w:name w:val="annotation text"/>
    <w:basedOn w:val="Normal"/>
    <w:link w:val="CommentTextChar"/>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898C3-B59A-411B-B8D5-BF90BE9EDA8C}">
  <ds:schemaRefs>
    <ds:schemaRef ds:uri="http://schemas.microsoft.com/sharepoint/v3/contenttype/forms"/>
  </ds:schemaRefs>
</ds:datastoreItem>
</file>

<file path=customXml/itemProps2.xml><?xml version="1.0" encoding="utf-8"?>
<ds:datastoreItem xmlns:ds="http://schemas.openxmlformats.org/officeDocument/2006/customXml" ds:itemID="{177759B3-6715-4648-ACEB-FDE6303E888B}">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F2C6FD3C-97BB-4200-BEE7-9BD59925E885}">
  <ds:schemaRefs>
    <ds:schemaRef ds:uri="http://schemas.openxmlformats.org/officeDocument/2006/bibliography"/>
  </ds:schemaRefs>
</ds:datastoreItem>
</file>

<file path=customXml/itemProps4.xml><?xml version="1.0" encoding="utf-8"?>
<ds:datastoreItem xmlns:ds="http://schemas.openxmlformats.org/officeDocument/2006/customXml" ds:itemID="{8882B149-693C-4482-84B9-4F8629A1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12116</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GRANEY, Marie (NHS ENGLAND)</cp:lastModifiedBy>
  <cp:revision>26</cp:revision>
  <cp:lastPrinted>2022-09-14T12:41:00Z</cp:lastPrinted>
  <dcterms:created xsi:type="dcterms:W3CDTF">2025-11-14T08:49:00Z</dcterms:created>
  <dcterms:modified xsi:type="dcterms:W3CDTF">2025-12-18T15:12:00Z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A2825903</vt:lpwstr>
  </property>
  <property fmtid="{D5CDD505-2E9C-101B-9397-08002B2CF9AE}" pid="3" name="Objective-Title">
    <vt:lpwstr>Document No. 04 - Quality Assurance Process CM/PHG/24/5720</vt:lpwstr>
  </property>
  <property fmtid="{D5CDD505-2E9C-101B-9397-08002B2CF9AE}" pid="4" name="Objective-Comment">
    <vt:lpwstr/>
  </property>
  <property fmtid="{D5CDD505-2E9C-101B-9397-08002B2CF9AE}" pid="5" name="Objective-CreationStamp">
    <vt:filetime>2025-01-08T15:48:47Z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2025-01-08T16:45:27Z</vt:filetime>
  </property>
  <property fmtid="{D5CDD505-2E9C-101B-9397-08002B2CF9AE}" pid="10" name="Objective-Owner">
    <vt:lpwstr>Graney, Marie</vt:lpwstr>
  </property>
  <property fmtid="{D5CDD505-2E9C-101B-9397-08002B2CF9AE}" pid="11" name="Objective-Path">
    <vt:lpwstr>Global Folder:07 New Market Opportunities Tenders:2025:CM/PHG/24/5720 - Generics Housekeeping Products &amp; Oral Products - Commencing 01 June 2025:03 Tender:02 ITO Documents:</vt:lpwstr>
  </property>
  <property fmtid="{D5CDD505-2E9C-101B-9397-08002B2CF9AE}" pid="12" name="Objective-Parent">
    <vt:lpwstr>02 ITO Documents</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Sign-off status">
    <vt:lpwstr/>
  </property>
  <property fmtid="{D5CDD505-2E9C-101B-9397-08002B2CF9AE}" pid="21" name="ReviewDate">
    <vt:lpwstr/>
  </property>
  <property fmtid="{D5CDD505-2E9C-101B-9397-08002B2CF9AE}" pid="22" name="Owner">
    <vt:lpwstr/>
  </property>
  <property fmtid="{D5CDD505-2E9C-101B-9397-08002B2CF9AE}" pid="23" name="test">
    <vt:lpwstr/>
  </property>
  <property fmtid="{D5CDD505-2E9C-101B-9397-08002B2CF9AE}" pid="24" name="WSFooter">
    <vt:lpwstr>LEGAL\80363198\1</vt:lpwstr>
  </property>
  <property fmtid="{D5CDD505-2E9C-101B-9397-08002B2CF9AE}" pid="25" name="DocumentType">
    <vt:lpwstr>Document</vt:lpwstr>
  </property>
  <property fmtid="{D5CDD505-2E9C-101B-9397-08002B2CF9AE}" pid="26" name="ContentTypeId">
    <vt:lpwstr>0x0101006917744DF43A2E42A2A33C046558C178</vt:lpwstr>
  </property>
  <property fmtid="{D5CDD505-2E9C-101B-9397-08002B2CF9AE}" pid="27" name="MediaServiceImageTags">
    <vt:lpwstr/>
  </property>
</Properties>
</file>