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A4E09" w14:textId="48C0277B" w:rsidR="00F7102C" w:rsidRDefault="4A4430EB" w:rsidP="00F7102C">
      <w:pPr>
        <w:pStyle w:val="Title"/>
      </w:pPr>
      <w:r>
        <w:t xml:space="preserve">Appendix D: Contract Terms - </w:t>
      </w:r>
      <w:r w:rsidR="00F7102C">
        <w:t>Data Processing Agreement (DPA)</w:t>
      </w:r>
    </w:p>
    <w:p w14:paraId="0949AB0D" w14:textId="77777777" w:rsidR="00F7102C" w:rsidRDefault="00F7102C" w:rsidP="00F7102C">
      <w:pPr>
        <w:rPr>
          <w:b/>
          <w:bCs/>
        </w:rPr>
      </w:pPr>
    </w:p>
    <w:sdt>
      <w:sdtPr>
        <w:id w:val="762985653"/>
        <w:docPartObj>
          <w:docPartGallery w:val="Table of Contents"/>
          <w:docPartUnique/>
        </w:docPartObj>
      </w:sdtPr>
      <w:sdtEndPr/>
      <w:sdtContent>
        <w:p w14:paraId="598199D8" w14:textId="4545B577" w:rsidR="00F7102C" w:rsidRPr="00F7102C" w:rsidRDefault="00F7102C" w:rsidP="3244BBE4">
          <w:pPr>
            <w:pStyle w:val="TOC1"/>
            <w:tabs>
              <w:tab w:val="right" w:leader="dot" w:pos="9015"/>
            </w:tabs>
            <w:rPr>
              <w:rStyle w:val="Hyperlink"/>
            </w:rPr>
          </w:pPr>
          <w:r>
            <w:fldChar w:fldCharType="begin"/>
          </w:r>
          <w:r>
            <w:instrText>TOC \o \z \u \h</w:instrText>
          </w:r>
          <w:r>
            <w:fldChar w:fldCharType="separate"/>
          </w:r>
          <w:hyperlink w:anchor="_Toc202034755">
            <w:r w:rsidR="3244BBE4" w:rsidRPr="3244BBE4">
              <w:rPr>
                <w:rStyle w:val="Hyperlink"/>
              </w:rPr>
              <w:t>1. Parties</w:t>
            </w:r>
            <w:r>
              <w:tab/>
            </w:r>
            <w:r>
              <w:fldChar w:fldCharType="begin"/>
            </w:r>
            <w:r>
              <w:instrText>PAGEREF _Toc202034755 \h</w:instrText>
            </w:r>
            <w:r>
              <w:fldChar w:fldCharType="separate"/>
            </w:r>
            <w:r w:rsidR="3244BBE4" w:rsidRPr="3244BBE4">
              <w:rPr>
                <w:rStyle w:val="Hyperlink"/>
              </w:rPr>
              <w:t>1</w:t>
            </w:r>
            <w:r>
              <w:fldChar w:fldCharType="end"/>
            </w:r>
          </w:hyperlink>
        </w:p>
        <w:p w14:paraId="44AC4A10" w14:textId="7863D082" w:rsidR="00F7102C" w:rsidRPr="00F7102C" w:rsidRDefault="3244BBE4" w:rsidP="3244BBE4">
          <w:pPr>
            <w:pStyle w:val="TOC1"/>
            <w:tabs>
              <w:tab w:val="right" w:leader="dot" w:pos="9015"/>
            </w:tabs>
            <w:rPr>
              <w:rStyle w:val="Hyperlink"/>
            </w:rPr>
          </w:pPr>
          <w:hyperlink w:anchor="_Toc197373740">
            <w:r w:rsidRPr="3244BBE4">
              <w:rPr>
                <w:rStyle w:val="Hyperlink"/>
              </w:rPr>
              <w:t>2. Purpose and Scope</w:t>
            </w:r>
            <w:r w:rsidR="00F7102C">
              <w:tab/>
            </w:r>
            <w:r w:rsidR="00F7102C">
              <w:fldChar w:fldCharType="begin"/>
            </w:r>
            <w:r w:rsidR="00F7102C">
              <w:instrText>PAGEREF _Toc197373740 \h</w:instrText>
            </w:r>
            <w:r w:rsidR="00F7102C">
              <w:fldChar w:fldCharType="separate"/>
            </w:r>
            <w:r w:rsidRPr="3244BBE4">
              <w:rPr>
                <w:rStyle w:val="Hyperlink"/>
              </w:rPr>
              <w:t>1</w:t>
            </w:r>
            <w:r w:rsidR="00F7102C">
              <w:fldChar w:fldCharType="end"/>
            </w:r>
          </w:hyperlink>
        </w:p>
        <w:p w14:paraId="42281C0B" w14:textId="6C36E909" w:rsidR="00F7102C" w:rsidRPr="00F7102C" w:rsidRDefault="3244BBE4" w:rsidP="3244BBE4">
          <w:pPr>
            <w:pStyle w:val="TOC1"/>
            <w:tabs>
              <w:tab w:val="right" w:leader="dot" w:pos="9015"/>
            </w:tabs>
            <w:rPr>
              <w:rStyle w:val="Hyperlink"/>
            </w:rPr>
          </w:pPr>
          <w:hyperlink w:anchor="_Toc1261693180">
            <w:r w:rsidRPr="3244BBE4">
              <w:rPr>
                <w:rStyle w:val="Hyperlink"/>
              </w:rPr>
              <w:t>3. Definitions</w:t>
            </w:r>
            <w:r w:rsidR="00F7102C">
              <w:tab/>
            </w:r>
            <w:r w:rsidR="00F7102C">
              <w:fldChar w:fldCharType="begin"/>
            </w:r>
            <w:r w:rsidR="00F7102C">
              <w:instrText>PAGEREF _Toc1261693180 \h</w:instrText>
            </w:r>
            <w:r w:rsidR="00F7102C">
              <w:fldChar w:fldCharType="separate"/>
            </w:r>
            <w:r w:rsidRPr="3244BBE4">
              <w:rPr>
                <w:rStyle w:val="Hyperlink"/>
              </w:rPr>
              <w:t>1</w:t>
            </w:r>
            <w:r w:rsidR="00F7102C">
              <w:fldChar w:fldCharType="end"/>
            </w:r>
          </w:hyperlink>
        </w:p>
        <w:p w14:paraId="1DE7C696" w14:textId="06E16923" w:rsidR="00F7102C" w:rsidRPr="00F7102C" w:rsidRDefault="3244BBE4" w:rsidP="3244BBE4">
          <w:pPr>
            <w:pStyle w:val="TOC1"/>
            <w:tabs>
              <w:tab w:val="right" w:leader="dot" w:pos="9015"/>
            </w:tabs>
            <w:rPr>
              <w:rStyle w:val="Hyperlink"/>
            </w:rPr>
          </w:pPr>
          <w:hyperlink w:anchor="_Toc239894787">
            <w:r w:rsidRPr="3244BBE4">
              <w:rPr>
                <w:rStyle w:val="Hyperlink"/>
              </w:rPr>
              <w:t>4. Roles and Responsibilities</w:t>
            </w:r>
            <w:r w:rsidR="00F7102C">
              <w:tab/>
            </w:r>
            <w:r w:rsidR="00F7102C">
              <w:fldChar w:fldCharType="begin"/>
            </w:r>
            <w:r w:rsidR="00F7102C">
              <w:instrText>PAGEREF _Toc239894787 \h</w:instrText>
            </w:r>
            <w:r w:rsidR="00F7102C">
              <w:fldChar w:fldCharType="separate"/>
            </w:r>
            <w:r w:rsidRPr="3244BBE4">
              <w:rPr>
                <w:rStyle w:val="Hyperlink"/>
              </w:rPr>
              <w:t>2</w:t>
            </w:r>
            <w:r w:rsidR="00F7102C">
              <w:fldChar w:fldCharType="end"/>
            </w:r>
          </w:hyperlink>
        </w:p>
        <w:p w14:paraId="34D7CF50" w14:textId="7C9F5E55" w:rsidR="00F7102C" w:rsidRPr="00F7102C" w:rsidRDefault="3244BBE4" w:rsidP="3244BBE4">
          <w:pPr>
            <w:pStyle w:val="TOC1"/>
            <w:tabs>
              <w:tab w:val="right" w:leader="dot" w:pos="9015"/>
            </w:tabs>
            <w:rPr>
              <w:rStyle w:val="Hyperlink"/>
            </w:rPr>
          </w:pPr>
          <w:hyperlink w:anchor="_Toc1715969808">
            <w:r w:rsidRPr="3244BBE4">
              <w:rPr>
                <w:rStyle w:val="Hyperlink"/>
              </w:rPr>
              <w:t>5. Nature of Processing</w:t>
            </w:r>
            <w:r w:rsidR="00F7102C">
              <w:tab/>
            </w:r>
            <w:r w:rsidR="00F7102C">
              <w:fldChar w:fldCharType="begin"/>
            </w:r>
            <w:r w:rsidR="00F7102C">
              <w:instrText>PAGEREF _Toc1715969808 \h</w:instrText>
            </w:r>
            <w:r w:rsidR="00F7102C">
              <w:fldChar w:fldCharType="separate"/>
            </w:r>
            <w:r w:rsidRPr="3244BBE4">
              <w:rPr>
                <w:rStyle w:val="Hyperlink"/>
              </w:rPr>
              <w:t>2</w:t>
            </w:r>
            <w:r w:rsidR="00F7102C">
              <w:fldChar w:fldCharType="end"/>
            </w:r>
          </w:hyperlink>
        </w:p>
        <w:p w14:paraId="6D0ADAB9" w14:textId="4EC3936E" w:rsidR="00F7102C" w:rsidRPr="00F7102C" w:rsidRDefault="3244BBE4" w:rsidP="3244BBE4">
          <w:pPr>
            <w:pStyle w:val="TOC1"/>
            <w:tabs>
              <w:tab w:val="right" w:leader="dot" w:pos="9015"/>
            </w:tabs>
            <w:rPr>
              <w:rStyle w:val="Hyperlink"/>
            </w:rPr>
          </w:pPr>
          <w:hyperlink w:anchor="_Toc754494340">
            <w:r w:rsidRPr="3244BBE4">
              <w:rPr>
                <w:rStyle w:val="Hyperlink"/>
              </w:rPr>
              <w:t>6. Data Protection Obligations of the Processor</w:t>
            </w:r>
            <w:r w:rsidR="00F7102C">
              <w:tab/>
            </w:r>
            <w:r w:rsidR="00F7102C">
              <w:fldChar w:fldCharType="begin"/>
            </w:r>
            <w:r w:rsidR="00F7102C">
              <w:instrText>PAGEREF _Toc754494340 \h</w:instrText>
            </w:r>
            <w:r w:rsidR="00F7102C">
              <w:fldChar w:fldCharType="separate"/>
            </w:r>
            <w:r w:rsidRPr="3244BBE4">
              <w:rPr>
                <w:rStyle w:val="Hyperlink"/>
              </w:rPr>
              <w:t>4</w:t>
            </w:r>
            <w:r w:rsidR="00F7102C">
              <w:fldChar w:fldCharType="end"/>
            </w:r>
          </w:hyperlink>
        </w:p>
        <w:p w14:paraId="54B42EDC" w14:textId="1B5B788B" w:rsidR="00F7102C" w:rsidRPr="00F7102C" w:rsidRDefault="3244BBE4" w:rsidP="3244BBE4">
          <w:pPr>
            <w:pStyle w:val="TOC1"/>
            <w:tabs>
              <w:tab w:val="right" w:leader="dot" w:pos="9015"/>
            </w:tabs>
            <w:rPr>
              <w:rStyle w:val="Hyperlink"/>
            </w:rPr>
          </w:pPr>
          <w:hyperlink w:anchor="_Toc1639344945">
            <w:r w:rsidRPr="3244BBE4">
              <w:rPr>
                <w:rStyle w:val="Hyperlink"/>
              </w:rPr>
              <w:t>7. International Data Transfers</w:t>
            </w:r>
            <w:r w:rsidR="00F7102C">
              <w:tab/>
            </w:r>
            <w:r w:rsidR="00F7102C">
              <w:fldChar w:fldCharType="begin"/>
            </w:r>
            <w:r w:rsidR="00F7102C">
              <w:instrText>PAGEREF _Toc1639344945 \h</w:instrText>
            </w:r>
            <w:r w:rsidR="00F7102C">
              <w:fldChar w:fldCharType="separate"/>
            </w:r>
            <w:r w:rsidRPr="3244BBE4">
              <w:rPr>
                <w:rStyle w:val="Hyperlink"/>
              </w:rPr>
              <w:t>5</w:t>
            </w:r>
            <w:r w:rsidR="00F7102C">
              <w:fldChar w:fldCharType="end"/>
            </w:r>
          </w:hyperlink>
        </w:p>
        <w:p w14:paraId="10F5B2F9" w14:textId="4F8F4239" w:rsidR="00F7102C" w:rsidRPr="00F7102C" w:rsidRDefault="3244BBE4" w:rsidP="3244BBE4">
          <w:pPr>
            <w:pStyle w:val="TOC1"/>
            <w:tabs>
              <w:tab w:val="right" w:leader="dot" w:pos="9015"/>
            </w:tabs>
            <w:rPr>
              <w:rStyle w:val="Hyperlink"/>
            </w:rPr>
          </w:pPr>
          <w:hyperlink w:anchor="_Toc357121289">
            <w:r w:rsidRPr="3244BBE4">
              <w:rPr>
                <w:rStyle w:val="Hyperlink"/>
              </w:rPr>
              <w:t>8. Data Security and Compliance</w:t>
            </w:r>
            <w:r w:rsidR="00F7102C">
              <w:tab/>
            </w:r>
            <w:r w:rsidR="00F7102C">
              <w:fldChar w:fldCharType="begin"/>
            </w:r>
            <w:r w:rsidR="00F7102C">
              <w:instrText>PAGEREF _Toc357121289 \h</w:instrText>
            </w:r>
            <w:r w:rsidR="00F7102C">
              <w:fldChar w:fldCharType="separate"/>
            </w:r>
            <w:r w:rsidRPr="3244BBE4">
              <w:rPr>
                <w:rStyle w:val="Hyperlink"/>
              </w:rPr>
              <w:t>5</w:t>
            </w:r>
            <w:r w:rsidR="00F7102C">
              <w:fldChar w:fldCharType="end"/>
            </w:r>
          </w:hyperlink>
        </w:p>
        <w:p w14:paraId="775FE35C" w14:textId="56E951A1" w:rsidR="00F7102C" w:rsidRPr="00F7102C" w:rsidRDefault="3244BBE4" w:rsidP="3244BBE4">
          <w:pPr>
            <w:pStyle w:val="TOC1"/>
            <w:tabs>
              <w:tab w:val="right" w:leader="dot" w:pos="9015"/>
            </w:tabs>
            <w:rPr>
              <w:rStyle w:val="Hyperlink"/>
            </w:rPr>
          </w:pPr>
          <w:hyperlink w:anchor="_Toc556801990">
            <w:r w:rsidRPr="3244BBE4">
              <w:rPr>
                <w:rStyle w:val="Hyperlink"/>
              </w:rPr>
              <w:t>9. Liability and Indemnity</w:t>
            </w:r>
            <w:r w:rsidR="00F7102C">
              <w:tab/>
            </w:r>
            <w:r w:rsidR="00F7102C">
              <w:fldChar w:fldCharType="begin"/>
            </w:r>
            <w:r w:rsidR="00F7102C">
              <w:instrText>PAGEREF _Toc556801990 \h</w:instrText>
            </w:r>
            <w:r w:rsidR="00F7102C">
              <w:fldChar w:fldCharType="separate"/>
            </w:r>
            <w:r w:rsidRPr="3244BBE4">
              <w:rPr>
                <w:rStyle w:val="Hyperlink"/>
              </w:rPr>
              <w:t>5</w:t>
            </w:r>
            <w:r w:rsidR="00F7102C">
              <w:fldChar w:fldCharType="end"/>
            </w:r>
          </w:hyperlink>
        </w:p>
        <w:p w14:paraId="707FB5F4" w14:textId="2F4A229E" w:rsidR="00F7102C" w:rsidRPr="00F7102C" w:rsidRDefault="3244BBE4" w:rsidP="3244BBE4">
          <w:pPr>
            <w:pStyle w:val="TOC1"/>
            <w:tabs>
              <w:tab w:val="right" w:leader="dot" w:pos="9015"/>
            </w:tabs>
            <w:rPr>
              <w:rStyle w:val="Hyperlink"/>
            </w:rPr>
          </w:pPr>
          <w:hyperlink w:anchor="_Toc1857063422">
            <w:r w:rsidRPr="3244BBE4">
              <w:rPr>
                <w:rStyle w:val="Hyperlink"/>
              </w:rPr>
              <w:t>10. Duration and Termination</w:t>
            </w:r>
            <w:r w:rsidR="00F7102C">
              <w:tab/>
            </w:r>
            <w:r w:rsidR="00F7102C">
              <w:fldChar w:fldCharType="begin"/>
            </w:r>
            <w:r w:rsidR="00F7102C">
              <w:instrText>PAGEREF _Toc1857063422 \h</w:instrText>
            </w:r>
            <w:r w:rsidR="00F7102C">
              <w:fldChar w:fldCharType="separate"/>
            </w:r>
            <w:r w:rsidRPr="3244BBE4">
              <w:rPr>
                <w:rStyle w:val="Hyperlink"/>
              </w:rPr>
              <w:t>5</w:t>
            </w:r>
            <w:r w:rsidR="00F7102C">
              <w:fldChar w:fldCharType="end"/>
            </w:r>
          </w:hyperlink>
        </w:p>
        <w:p w14:paraId="174D02BD" w14:textId="6CF50488" w:rsidR="00F7102C" w:rsidRPr="00F7102C" w:rsidRDefault="3244BBE4" w:rsidP="3244BBE4">
          <w:pPr>
            <w:pStyle w:val="TOC1"/>
            <w:tabs>
              <w:tab w:val="right" w:leader="dot" w:pos="9015"/>
            </w:tabs>
            <w:rPr>
              <w:rStyle w:val="Hyperlink"/>
            </w:rPr>
          </w:pPr>
          <w:hyperlink w:anchor="_Toc1519071992">
            <w:r w:rsidRPr="3244BBE4">
              <w:rPr>
                <w:rStyle w:val="Hyperlink"/>
              </w:rPr>
              <w:t>11. Governing Law and Jurisdiction</w:t>
            </w:r>
            <w:r w:rsidR="00F7102C">
              <w:tab/>
            </w:r>
            <w:r w:rsidR="00F7102C">
              <w:fldChar w:fldCharType="begin"/>
            </w:r>
            <w:r w:rsidR="00F7102C">
              <w:instrText>PAGEREF _Toc1519071992 \h</w:instrText>
            </w:r>
            <w:r w:rsidR="00F7102C">
              <w:fldChar w:fldCharType="separate"/>
            </w:r>
            <w:r w:rsidRPr="3244BBE4">
              <w:rPr>
                <w:rStyle w:val="Hyperlink"/>
              </w:rPr>
              <w:t>6</w:t>
            </w:r>
            <w:r w:rsidR="00F7102C">
              <w:fldChar w:fldCharType="end"/>
            </w:r>
          </w:hyperlink>
        </w:p>
        <w:p w14:paraId="132F8276" w14:textId="6E03D5B4" w:rsidR="00F7102C" w:rsidRPr="00F7102C" w:rsidRDefault="3244BBE4" w:rsidP="3244BBE4">
          <w:pPr>
            <w:pStyle w:val="TOC1"/>
            <w:tabs>
              <w:tab w:val="right" w:leader="dot" w:pos="9015"/>
            </w:tabs>
            <w:rPr>
              <w:rStyle w:val="Hyperlink"/>
            </w:rPr>
          </w:pPr>
          <w:hyperlink w:anchor="_Toc105224292">
            <w:r w:rsidRPr="3244BBE4">
              <w:rPr>
                <w:rStyle w:val="Hyperlink"/>
              </w:rPr>
              <w:t>12. Signatures</w:t>
            </w:r>
            <w:r w:rsidR="00F7102C">
              <w:tab/>
            </w:r>
            <w:r w:rsidR="00F7102C">
              <w:fldChar w:fldCharType="begin"/>
            </w:r>
            <w:r w:rsidR="00F7102C">
              <w:instrText>PAGEREF _Toc105224292 \h</w:instrText>
            </w:r>
            <w:r w:rsidR="00F7102C">
              <w:fldChar w:fldCharType="separate"/>
            </w:r>
            <w:r w:rsidRPr="3244BBE4">
              <w:rPr>
                <w:rStyle w:val="Hyperlink"/>
              </w:rPr>
              <w:t>6</w:t>
            </w:r>
            <w:r w:rsidR="00F7102C">
              <w:fldChar w:fldCharType="end"/>
            </w:r>
          </w:hyperlink>
          <w:r w:rsidR="00F7102C">
            <w:fldChar w:fldCharType="end"/>
          </w:r>
        </w:p>
      </w:sdtContent>
    </w:sdt>
    <w:p w14:paraId="2517A5D5" w14:textId="74CE447F" w:rsidR="00F7102C" w:rsidRPr="00F7102C" w:rsidRDefault="00F7102C" w:rsidP="3244BBE4">
      <w:pPr>
        <w:rPr>
          <w:b/>
          <w:bCs/>
        </w:rPr>
      </w:pPr>
    </w:p>
    <w:p w14:paraId="0C5B1C10" w14:textId="3C4B545F" w:rsidR="00F7102C" w:rsidRPr="00F7102C" w:rsidRDefault="00F7102C" w:rsidP="3244BBE4">
      <w:pPr>
        <w:rPr>
          <w:b/>
          <w:bCs/>
        </w:rPr>
      </w:pPr>
    </w:p>
    <w:p w14:paraId="179FFE2F" w14:textId="00406A27" w:rsidR="00F7102C" w:rsidRPr="00F7102C" w:rsidRDefault="00F7102C" w:rsidP="3244BBE4">
      <w:r>
        <w:br w:type="page"/>
      </w:r>
    </w:p>
    <w:p w14:paraId="2704A8D0" w14:textId="309ABA0F" w:rsidR="00F7102C" w:rsidRPr="00F7102C" w:rsidRDefault="00F7102C" w:rsidP="00F7102C">
      <w:pPr>
        <w:pStyle w:val="Heading1"/>
      </w:pPr>
      <w:bookmarkStart w:id="0" w:name="_Toc202034755"/>
      <w:r>
        <w:lastRenderedPageBreak/>
        <w:t>1. Parties</w:t>
      </w:r>
      <w:bookmarkEnd w:id="0"/>
    </w:p>
    <w:p w14:paraId="78CCEDB4" w14:textId="77777777" w:rsidR="00F7102C" w:rsidRPr="00F7102C" w:rsidRDefault="00F7102C" w:rsidP="00F7102C">
      <w:r w:rsidRPr="00F7102C">
        <w:t>This Data Processing Agreement (“</w:t>
      </w:r>
      <w:r w:rsidRPr="00F7102C">
        <w:rPr>
          <w:b/>
          <w:bCs/>
        </w:rPr>
        <w:t>Agreement</w:t>
      </w:r>
      <w:r w:rsidRPr="00F7102C">
        <w:t>”) is entered into on [</w:t>
      </w:r>
      <w:r w:rsidRPr="00F7102C">
        <w:rPr>
          <w:highlight w:val="cyan"/>
        </w:rPr>
        <w:t>Date</w:t>
      </w:r>
      <w:r w:rsidRPr="00F7102C">
        <w:t>] between:</w:t>
      </w:r>
    </w:p>
    <w:p w14:paraId="68C810CB" w14:textId="77777777" w:rsidR="00F7102C" w:rsidRPr="00F7102C" w:rsidRDefault="00F7102C" w:rsidP="00F7102C">
      <w:r w:rsidRPr="00F7102C">
        <w:rPr>
          <w:b/>
          <w:bCs/>
        </w:rPr>
        <w:t>(1)</w:t>
      </w:r>
      <w:r w:rsidRPr="00F7102C">
        <w:t xml:space="preserve"> </w:t>
      </w:r>
      <w:r w:rsidRPr="00F7102C">
        <w:rPr>
          <w:b/>
          <w:bCs/>
        </w:rPr>
        <w:t>[</w:t>
      </w:r>
      <w:r w:rsidRPr="00F7102C">
        <w:rPr>
          <w:b/>
          <w:bCs/>
          <w:highlight w:val="cyan"/>
        </w:rPr>
        <w:t>Controller Name</w:t>
      </w:r>
      <w:r w:rsidRPr="00F7102C">
        <w:rPr>
          <w:b/>
          <w:bCs/>
        </w:rPr>
        <w:t>]</w:t>
      </w:r>
      <w:r w:rsidRPr="00F7102C">
        <w:t>, a company incorporated in [</w:t>
      </w:r>
      <w:r w:rsidRPr="00F7102C">
        <w:rPr>
          <w:highlight w:val="cyan"/>
        </w:rPr>
        <w:t>Jurisdiction</w:t>
      </w:r>
      <w:r w:rsidRPr="00F7102C">
        <w:t>] with its registered office at [Address] (“</w:t>
      </w:r>
      <w:r w:rsidRPr="00F7102C">
        <w:rPr>
          <w:b/>
          <w:bCs/>
        </w:rPr>
        <w:t>Controller</w:t>
      </w:r>
      <w:r w:rsidRPr="00F7102C">
        <w:t>”); and</w:t>
      </w:r>
    </w:p>
    <w:p w14:paraId="5E392611" w14:textId="77777777" w:rsidR="00F7102C" w:rsidRPr="00F7102C" w:rsidRDefault="00F7102C" w:rsidP="00F7102C">
      <w:r w:rsidRPr="00F7102C">
        <w:rPr>
          <w:b/>
          <w:bCs/>
        </w:rPr>
        <w:t>(2)</w:t>
      </w:r>
      <w:r w:rsidRPr="00F7102C">
        <w:t xml:space="preserve"> </w:t>
      </w:r>
      <w:r w:rsidRPr="00F7102C">
        <w:rPr>
          <w:b/>
          <w:bCs/>
        </w:rPr>
        <w:t>[</w:t>
      </w:r>
      <w:r w:rsidRPr="00F7102C">
        <w:rPr>
          <w:b/>
          <w:bCs/>
          <w:highlight w:val="cyan"/>
        </w:rPr>
        <w:t>Processor Name</w:t>
      </w:r>
      <w:r w:rsidRPr="00F7102C">
        <w:rPr>
          <w:b/>
          <w:bCs/>
        </w:rPr>
        <w:t>]</w:t>
      </w:r>
      <w:r w:rsidRPr="00F7102C">
        <w:t>, a company incorporated in [</w:t>
      </w:r>
      <w:r w:rsidRPr="00F7102C">
        <w:rPr>
          <w:highlight w:val="cyan"/>
        </w:rPr>
        <w:t>Jurisdiction</w:t>
      </w:r>
      <w:r w:rsidRPr="00F7102C">
        <w:t>] with its registered office at [Address] (“</w:t>
      </w:r>
      <w:r w:rsidRPr="00F7102C">
        <w:rPr>
          <w:b/>
          <w:bCs/>
        </w:rPr>
        <w:t>Processor</w:t>
      </w:r>
      <w:r w:rsidRPr="00F7102C">
        <w:t>”).</w:t>
      </w:r>
    </w:p>
    <w:p w14:paraId="43033D98" w14:textId="3EBF157E" w:rsidR="00F7102C" w:rsidRPr="00F7102C" w:rsidRDefault="00F7102C" w:rsidP="00F7102C">
      <w:r w:rsidRPr="00F7102C">
        <w:t>The Controller and the Processor are each a “</w:t>
      </w:r>
      <w:r w:rsidRPr="00F7102C">
        <w:rPr>
          <w:b/>
          <w:bCs/>
        </w:rPr>
        <w:t>Party</w:t>
      </w:r>
      <w:r w:rsidRPr="00F7102C">
        <w:t>” and together the “</w:t>
      </w:r>
      <w:r w:rsidRPr="00F7102C">
        <w:rPr>
          <w:b/>
          <w:bCs/>
        </w:rPr>
        <w:t>Parties</w:t>
      </w:r>
      <w:r w:rsidRPr="00F7102C">
        <w:t>”.</w:t>
      </w:r>
    </w:p>
    <w:p w14:paraId="6E5EC423" w14:textId="77777777" w:rsidR="00F7102C" w:rsidRPr="00F7102C" w:rsidRDefault="00F7102C" w:rsidP="00F7102C">
      <w:pPr>
        <w:pStyle w:val="Heading1"/>
      </w:pPr>
      <w:bookmarkStart w:id="1" w:name="_Toc197373740"/>
      <w:r>
        <w:t>2. Purpose and Scope</w:t>
      </w:r>
      <w:bookmarkEnd w:id="1"/>
    </w:p>
    <w:p w14:paraId="44975D56" w14:textId="77777777" w:rsidR="00F7102C" w:rsidRPr="00F7102C" w:rsidRDefault="00F7102C" w:rsidP="00F7102C">
      <w:r w:rsidRPr="00F7102C">
        <w:t xml:space="preserve">2.1 This Agreement sets out the terms on which the Processor shall process Personal Data on behalf of the Controller in connection with the provision of the </w:t>
      </w:r>
      <w:r w:rsidRPr="00F7102C">
        <w:rPr>
          <w:b/>
          <w:bCs/>
        </w:rPr>
        <w:t>HR and Payroll Software Solution</w:t>
      </w:r>
      <w:r w:rsidRPr="00F7102C">
        <w:t xml:space="preserve"> (the “</w:t>
      </w:r>
      <w:r w:rsidRPr="00F7102C">
        <w:rPr>
          <w:b/>
          <w:bCs/>
        </w:rPr>
        <w:t>Services</w:t>
      </w:r>
      <w:r w:rsidRPr="00F7102C">
        <w:t>”).</w:t>
      </w:r>
    </w:p>
    <w:p w14:paraId="7DE4985C" w14:textId="77777777" w:rsidR="00F7102C" w:rsidRPr="00F7102C" w:rsidRDefault="00F7102C" w:rsidP="00F7102C">
      <w:r w:rsidRPr="00F7102C">
        <w:t>2.2 The purpose of the Processing is to enable HR, payroll, and related employment management functions, including:</w:t>
      </w:r>
    </w:p>
    <w:p w14:paraId="45B605BF" w14:textId="77777777" w:rsidR="00F7102C" w:rsidRPr="00F7102C" w:rsidRDefault="00F7102C" w:rsidP="00F7102C">
      <w:pPr>
        <w:pStyle w:val="ListParagraph"/>
        <w:numPr>
          <w:ilvl w:val="0"/>
          <w:numId w:val="5"/>
        </w:numPr>
      </w:pPr>
      <w:r w:rsidRPr="00F7102C">
        <w:t xml:space="preserve">Employee record </w:t>
      </w:r>
      <w:proofErr w:type="gramStart"/>
      <w:r w:rsidRPr="00F7102C">
        <w:t>management;</w:t>
      </w:r>
      <w:proofErr w:type="gramEnd"/>
    </w:p>
    <w:p w14:paraId="730741D5" w14:textId="77777777" w:rsidR="00F7102C" w:rsidRPr="00F7102C" w:rsidRDefault="00F7102C" w:rsidP="00F7102C">
      <w:pPr>
        <w:pStyle w:val="ListParagraph"/>
        <w:numPr>
          <w:ilvl w:val="0"/>
          <w:numId w:val="5"/>
        </w:numPr>
      </w:pPr>
      <w:r w:rsidRPr="00F7102C">
        <w:t xml:space="preserve">Payroll processing and statutory </w:t>
      </w:r>
      <w:proofErr w:type="gramStart"/>
      <w:r w:rsidRPr="00F7102C">
        <w:t>submissions;</w:t>
      </w:r>
      <w:proofErr w:type="gramEnd"/>
    </w:p>
    <w:p w14:paraId="78757339" w14:textId="77777777" w:rsidR="00F7102C" w:rsidRPr="00F7102C" w:rsidRDefault="00F7102C" w:rsidP="00F7102C">
      <w:pPr>
        <w:pStyle w:val="ListParagraph"/>
        <w:numPr>
          <w:ilvl w:val="0"/>
          <w:numId w:val="5"/>
        </w:numPr>
      </w:pPr>
      <w:r w:rsidRPr="00F7102C">
        <w:t xml:space="preserve">Time, attendance, and leave </w:t>
      </w:r>
      <w:proofErr w:type="gramStart"/>
      <w:r w:rsidRPr="00F7102C">
        <w:t>tracking;</w:t>
      </w:r>
      <w:proofErr w:type="gramEnd"/>
    </w:p>
    <w:p w14:paraId="4CD252CF" w14:textId="77777777" w:rsidR="00F7102C" w:rsidRPr="00F7102C" w:rsidRDefault="00F7102C" w:rsidP="00F7102C">
      <w:pPr>
        <w:pStyle w:val="ListParagraph"/>
        <w:numPr>
          <w:ilvl w:val="0"/>
          <w:numId w:val="5"/>
        </w:numPr>
      </w:pPr>
      <w:r w:rsidRPr="00F7102C">
        <w:t>Pensions and benefits administration; and</w:t>
      </w:r>
    </w:p>
    <w:p w14:paraId="4296B860" w14:textId="1215A43B" w:rsidR="00F7102C" w:rsidRPr="00F7102C" w:rsidRDefault="00F7102C" w:rsidP="00F7102C">
      <w:pPr>
        <w:pStyle w:val="ListParagraph"/>
        <w:numPr>
          <w:ilvl w:val="0"/>
          <w:numId w:val="5"/>
        </w:numPr>
      </w:pPr>
      <w:r w:rsidRPr="00F7102C">
        <w:t>Compliance reporting and analytics.</w:t>
      </w:r>
    </w:p>
    <w:p w14:paraId="2B2C097A" w14:textId="77777777" w:rsidR="00F7102C" w:rsidRPr="00F7102C" w:rsidRDefault="00F7102C" w:rsidP="00F7102C">
      <w:pPr>
        <w:pStyle w:val="Heading1"/>
      </w:pPr>
      <w:bookmarkStart w:id="2" w:name="_Toc1261693180"/>
      <w:r>
        <w:t>3. Definitions</w:t>
      </w:r>
      <w:bookmarkEnd w:id="2"/>
    </w:p>
    <w:p w14:paraId="5374558D" w14:textId="77777777" w:rsidR="00F7102C" w:rsidRPr="00F7102C" w:rsidRDefault="00F7102C" w:rsidP="00F7102C">
      <w:r w:rsidRPr="00F7102C">
        <w:t>For the purposes of this Agreement:</w:t>
      </w:r>
    </w:p>
    <w:p w14:paraId="3102DFF6" w14:textId="77777777" w:rsidR="00F7102C" w:rsidRPr="00F7102C" w:rsidRDefault="00F7102C" w:rsidP="00F7102C">
      <w:r w:rsidRPr="00F7102C">
        <w:rPr>
          <w:b/>
          <w:bCs/>
        </w:rPr>
        <w:t>“Data Protection Legislation”</w:t>
      </w:r>
      <w:r w:rsidRPr="00F7102C">
        <w:t xml:space="preserve"> means all applicable data protection and privacy laws in the United Kingdom, including the </w:t>
      </w:r>
      <w:r w:rsidRPr="00F7102C">
        <w:rPr>
          <w:b/>
          <w:bCs/>
        </w:rPr>
        <w:t>UK General Data Protection Regulation (UK GDPR)</w:t>
      </w:r>
      <w:r w:rsidRPr="00F7102C">
        <w:t xml:space="preserve">, the </w:t>
      </w:r>
      <w:r w:rsidRPr="00F7102C">
        <w:rPr>
          <w:b/>
          <w:bCs/>
        </w:rPr>
        <w:t>Data Protection Act 2018</w:t>
      </w:r>
      <w:r w:rsidRPr="00F7102C">
        <w:t>, and any other applicable legislation or regulatory guidance.</w:t>
      </w:r>
    </w:p>
    <w:p w14:paraId="56569CC2" w14:textId="77777777" w:rsidR="00F7102C" w:rsidRPr="00F7102C" w:rsidRDefault="00F7102C" w:rsidP="00F7102C">
      <w:r w:rsidRPr="00F7102C">
        <w:rPr>
          <w:b/>
          <w:bCs/>
        </w:rPr>
        <w:t>“Personal Data”</w:t>
      </w:r>
      <w:r w:rsidRPr="00F7102C">
        <w:t xml:space="preserve"> means any information relating to an identified or identifiable natural person.</w:t>
      </w:r>
    </w:p>
    <w:p w14:paraId="53C8A7C0" w14:textId="77777777" w:rsidR="00F7102C" w:rsidRPr="00F7102C" w:rsidRDefault="00F7102C" w:rsidP="00F7102C">
      <w:r w:rsidRPr="00F7102C">
        <w:rPr>
          <w:b/>
          <w:bCs/>
        </w:rPr>
        <w:t>“Data Subject”</w:t>
      </w:r>
      <w:r w:rsidRPr="00F7102C">
        <w:t xml:space="preserve"> means an individual to whom Personal Data relates.</w:t>
      </w:r>
    </w:p>
    <w:p w14:paraId="53D85275" w14:textId="77777777" w:rsidR="00F7102C" w:rsidRPr="00F7102C" w:rsidRDefault="00F7102C" w:rsidP="00F7102C">
      <w:pPr>
        <w:numPr>
          <w:ilvl w:val="0"/>
          <w:numId w:val="7"/>
        </w:numPr>
      </w:pPr>
      <w:r w:rsidRPr="00F7102C">
        <w:rPr>
          <w:b/>
          <w:bCs/>
        </w:rPr>
        <w:t>“Processing”</w:t>
      </w:r>
      <w:r w:rsidRPr="00F7102C">
        <w:t xml:space="preserve">, </w:t>
      </w:r>
      <w:r w:rsidRPr="00F7102C">
        <w:rPr>
          <w:b/>
          <w:bCs/>
        </w:rPr>
        <w:t>“Processor”</w:t>
      </w:r>
      <w:r w:rsidRPr="00F7102C">
        <w:t xml:space="preserve">, </w:t>
      </w:r>
      <w:r w:rsidRPr="00F7102C">
        <w:rPr>
          <w:b/>
          <w:bCs/>
        </w:rPr>
        <w:t>“Controller”</w:t>
      </w:r>
      <w:r w:rsidRPr="00F7102C">
        <w:t xml:space="preserve">, and </w:t>
      </w:r>
      <w:r w:rsidRPr="00F7102C">
        <w:rPr>
          <w:b/>
          <w:bCs/>
        </w:rPr>
        <w:t>“Personal Data Breach”</w:t>
      </w:r>
      <w:r w:rsidRPr="00F7102C">
        <w:t xml:space="preserve"> have the meanings set out in the UK GDPR.</w:t>
      </w:r>
    </w:p>
    <w:p w14:paraId="2CE026F3" w14:textId="77777777" w:rsidR="00F7102C" w:rsidRPr="00F7102C" w:rsidRDefault="00F7102C" w:rsidP="00F7102C">
      <w:r w:rsidRPr="00F7102C">
        <w:rPr>
          <w:b/>
          <w:bCs/>
        </w:rPr>
        <w:t>“Sub-Processor”</w:t>
      </w:r>
      <w:r w:rsidRPr="00F7102C">
        <w:t xml:space="preserve"> means any third party appointed by the Processor to process Personal Data on behalf of the Controller.</w:t>
      </w:r>
    </w:p>
    <w:p w14:paraId="2E4306F4" w14:textId="14E6851F" w:rsidR="00F7102C" w:rsidRPr="00F7102C" w:rsidRDefault="00F7102C" w:rsidP="00F7102C"/>
    <w:p w14:paraId="5C6E8DD7" w14:textId="5ADC84C8" w:rsidR="00F7102C" w:rsidRPr="00F7102C" w:rsidRDefault="00F7102C" w:rsidP="00F7102C">
      <w:pPr>
        <w:pStyle w:val="Heading1"/>
      </w:pPr>
      <w:bookmarkStart w:id="3" w:name="_Toc239894787"/>
      <w:r>
        <w:lastRenderedPageBreak/>
        <w:t>4. Roles and Responsibilities</w:t>
      </w:r>
      <w:bookmarkEnd w:id="3"/>
    </w:p>
    <w:p w14:paraId="18444AB9" w14:textId="77777777" w:rsidR="00F7102C" w:rsidRPr="00F7102C" w:rsidRDefault="00F7102C" w:rsidP="00F7102C">
      <w:r w:rsidRPr="00F7102C">
        <w:t>4.1 The Controller is responsible for determining the purposes and means of Processing Personal Data.</w:t>
      </w:r>
    </w:p>
    <w:p w14:paraId="61673885" w14:textId="147F0F88" w:rsidR="005264A4" w:rsidRDefault="00F7102C" w:rsidP="00F7102C">
      <w:r w:rsidRPr="00F7102C">
        <w:t>4.2 The Processor shall process Personal Data only on documented instructions from the Controller, including with regard to transfers of Personal Data to a third country or international organisation, unless required to do so by law.</w:t>
      </w:r>
    </w:p>
    <w:p w14:paraId="78F798A1" w14:textId="65E9C438" w:rsidR="005264A4" w:rsidRDefault="008D1D4F" w:rsidP="00F7102C">
      <w:r>
        <w:t xml:space="preserve">4.3 The Processor must ensure that people processing the data are subject to a duty of confidence.  </w:t>
      </w:r>
    </w:p>
    <w:p w14:paraId="29C6DDA3" w14:textId="1FA0747B" w:rsidR="008D1D4F" w:rsidRDefault="00EA49BE" w:rsidP="00F7102C">
      <w:r>
        <w:t>4.4 The Processor must take appropriate measures to ensure the security of processing</w:t>
      </w:r>
      <w:r w:rsidR="00CA6713">
        <w:t>.</w:t>
      </w:r>
    </w:p>
    <w:p w14:paraId="6B2D0324" w14:textId="4A4AE094" w:rsidR="00CA6713" w:rsidRDefault="00CA6713" w:rsidP="00F7102C">
      <w:r>
        <w:t xml:space="preserve">4.5 The Processor must only engage a sub-processor with the Controllers </w:t>
      </w:r>
      <w:r w:rsidR="00AF3CD4">
        <w:t xml:space="preserve">prior authorisation and under a written contract. </w:t>
      </w:r>
    </w:p>
    <w:p w14:paraId="65E3790C" w14:textId="1ADA50CB" w:rsidR="00AF3CD4" w:rsidRDefault="00AF3CD4" w:rsidP="00F7102C">
      <w:r>
        <w:t xml:space="preserve">4.6 The Processor </w:t>
      </w:r>
      <w:r w:rsidR="000A3A48">
        <w:t xml:space="preserve">must take appropriate measures to help the Controller </w:t>
      </w:r>
      <w:r w:rsidR="00777078">
        <w:t xml:space="preserve">respond to requests from individuals to exercise their rights. </w:t>
      </w:r>
    </w:p>
    <w:p w14:paraId="52D82F1F" w14:textId="13FB2B81" w:rsidR="00777078" w:rsidRDefault="00777078" w:rsidP="00F7102C">
      <w:r>
        <w:t xml:space="preserve">4.7 </w:t>
      </w:r>
      <w:proofErr w:type="gramStart"/>
      <w:r w:rsidR="00336C15" w:rsidRPr="00336C15">
        <w:t>taking into account</w:t>
      </w:r>
      <w:proofErr w:type="gramEnd"/>
      <w:r w:rsidR="00336C15" w:rsidRPr="00336C15">
        <w:t xml:space="preserve"> the nature of processing and the information available, the </w:t>
      </w:r>
      <w:r w:rsidR="00336C15">
        <w:t>P</w:t>
      </w:r>
      <w:r w:rsidR="00336C15" w:rsidRPr="00336C15">
        <w:t xml:space="preserve">rocessor must assist the </w:t>
      </w:r>
      <w:r w:rsidR="00336C15">
        <w:t>C</w:t>
      </w:r>
      <w:r w:rsidR="00336C15" w:rsidRPr="00336C15">
        <w:t>ontroller in meeting its UK GDPR obligations in relation to the security of processing, the notification of personal data breaches and data protection impact assessments</w:t>
      </w:r>
      <w:r w:rsidR="00336C15">
        <w:t>.</w:t>
      </w:r>
    </w:p>
    <w:p w14:paraId="6D19ACAB" w14:textId="2FA5C7B1" w:rsidR="00336C15" w:rsidRDefault="00336C15" w:rsidP="00F7102C">
      <w:r>
        <w:t xml:space="preserve">4.8 </w:t>
      </w:r>
      <w:r w:rsidR="0063675B" w:rsidRPr="0063675B">
        <w:t xml:space="preserve">the </w:t>
      </w:r>
      <w:r w:rsidR="0063675B">
        <w:t>P</w:t>
      </w:r>
      <w:r w:rsidR="0063675B" w:rsidRPr="0063675B">
        <w:t xml:space="preserve">rocessor must delete or return all personal data to the </w:t>
      </w:r>
      <w:r w:rsidR="0063675B">
        <w:t>C</w:t>
      </w:r>
      <w:r w:rsidR="0063675B" w:rsidRPr="0063675B">
        <w:t xml:space="preserve">ontroller (at the controller’s choice) at the end of the contract, and the </w:t>
      </w:r>
      <w:r w:rsidR="0063675B">
        <w:t>P</w:t>
      </w:r>
      <w:r w:rsidR="0063675B" w:rsidRPr="0063675B">
        <w:t>rocessor must also delete existing personal data unless the law requires its storage; and</w:t>
      </w:r>
    </w:p>
    <w:p w14:paraId="099F3A71" w14:textId="5D673B69" w:rsidR="0063675B" w:rsidRPr="0063675B" w:rsidRDefault="0063675B" w:rsidP="00F7102C">
      <w:r>
        <w:t xml:space="preserve">4.9 </w:t>
      </w:r>
      <w:r w:rsidRPr="0063675B">
        <w:t xml:space="preserve">the </w:t>
      </w:r>
      <w:r>
        <w:t>P</w:t>
      </w:r>
      <w:r w:rsidRPr="0063675B">
        <w:t xml:space="preserve">rocessor must submit to audits and inspections. The </w:t>
      </w:r>
      <w:r>
        <w:t>P</w:t>
      </w:r>
      <w:r w:rsidRPr="0063675B">
        <w:t xml:space="preserve">rocessor must also give the </w:t>
      </w:r>
      <w:r>
        <w:t>C</w:t>
      </w:r>
      <w:r w:rsidRPr="0063675B">
        <w:t>ontroller whatever information it needs to ensure they are both meeting their Article 28 obligations.</w:t>
      </w:r>
    </w:p>
    <w:p w14:paraId="5D9A5629" w14:textId="77777777" w:rsidR="00F7102C" w:rsidRDefault="00F7102C" w:rsidP="00F7102C">
      <w:pPr>
        <w:pStyle w:val="Heading1"/>
      </w:pPr>
      <w:bookmarkStart w:id="4" w:name="_Toc1715969808"/>
      <w:r>
        <w:t>5. Nature of Processing</w:t>
      </w:r>
      <w:bookmarkEnd w:id="4"/>
    </w:p>
    <w:p w14:paraId="5AA1CC55" w14:textId="77777777" w:rsidR="00C72F53" w:rsidRPr="00C72F53" w:rsidRDefault="00C72F53" w:rsidP="00C72F53"/>
    <w:tbl>
      <w:tblPr>
        <w:tblStyle w:val="TableGrid"/>
        <w:tblW w:w="0" w:type="auto"/>
        <w:tblLook w:val="04A0" w:firstRow="1" w:lastRow="0" w:firstColumn="1" w:lastColumn="0" w:noHBand="0" w:noVBand="1"/>
      </w:tblPr>
      <w:tblGrid>
        <w:gridCol w:w="2122"/>
        <w:gridCol w:w="6894"/>
      </w:tblGrid>
      <w:tr w:rsidR="00F7102C" w14:paraId="28CC54BB" w14:textId="77777777" w:rsidTr="681CDBF0">
        <w:tc>
          <w:tcPr>
            <w:tcW w:w="2122" w:type="dxa"/>
          </w:tcPr>
          <w:p w14:paraId="2B4484EB" w14:textId="75DFFA4C" w:rsidR="00F7102C" w:rsidRDefault="00F7102C" w:rsidP="00F7102C">
            <w:r w:rsidRPr="00F7102C">
              <w:t>Category</w:t>
            </w:r>
          </w:p>
        </w:tc>
        <w:tc>
          <w:tcPr>
            <w:tcW w:w="6894" w:type="dxa"/>
          </w:tcPr>
          <w:p w14:paraId="7EAC086E" w14:textId="0B569231" w:rsidR="00F7102C" w:rsidRDefault="00F7102C" w:rsidP="00F7102C">
            <w:r w:rsidRPr="00F7102C">
              <w:t>Description</w:t>
            </w:r>
          </w:p>
        </w:tc>
      </w:tr>
      <w:tr w:rsidR="00F7102C" w14:paraId="1DE7E08B" w14:textId="77777777" w:rsidTr="681CDBF0">
        <w:tc>
          <w:tcPr>
            <w:tcW w:w="2122" w:type="dxa"/>
          </w:tcPr>
          <w:p w14:paraId="41DB4BA5" w14:textId="2FFA6A11" w:rsidR="00F7102C" w:rsidRDefault="00F7102C" w:rsidP="00F7102C">
            <w:r w:rsidRPr="00F7102C">
              <w:t>Subject Matter</w:t>
            </w:r>
          </w:p>
        </w:tc>
        <w:tc>
          <w:tcPr>
            <w:tcW w:w="6894" w:type="dxa"/>
          </w:tcPr>
          <w:p w14:paraId="14F1DE3F" w14:textId="42358447" w:rsidR="00F7102C" w:rsidRDefault="00F7102C" w:rsidP="00F7102C">
            <w:r w:rsidRPr="00F7102C">
              <w:t>HR and Payroll processing for Controller’s employees, contractors, and workers.</w:t>
            </w:r>
          </w:p>
        </w:tc>
      </w:tr>
      <w:tr w:rsidR="00F7102C" w14:paraId="78B0936F" w14:textId="77777777" w:rsidTr="681CDBF0">
        <w:tc>
          <w:tcPr>
            <w:tcW w:w="2122" w:type="dxa"/>
          </w:tcPr>
          <w:p w14:paraId="639DFD2D" w14:textId="594F97DF" w:rsidR="00F7102C" w:rsidRDefault="00F7102C" w:rsidP="00F7102C">
            <w:r w:rsidRPr="00F7102C">
              <w:t>Duration</w:t>
            </w:r>
            <w:r w:rsidR="00DE24B7">
              <w:t xml:space="preserve"> of the Processing </w:t>
            </w:r>
          </w:p>
        </w:tc>
        <w:tc>
          <w:tcPr>
            <w:tcW w:w="6894" w:type="dxa"/>
          </w:tcPr>
          <w:p w14:paraId="3F068888" w14:textId="73FCCC45" w:rsidR="00F7102C" w:rsidRDefault="00F7102C" w:rsidP="00F7102C">
            <w:r w:rsidRPr="00F7102C">
              <w:t>For the duration of the Services and until deletion or return of data as instructed.</w:t>
            </w:r>
          </w:p>
        </w:tc>
      </w:tr>
      <w:tr w:rsidR="00DE24B7" w14:paraId="0C815376" w14:textId="77777777" w:rsidTr="681CDBF0">
        <w:tc>
          <w:tcPr>
            <w:tcW w:w="2122" w:type="dxa"/>
          </w:tcPr>
          <w:p w14:paraId="6123DF03" w14:textId="0E528F9B" w:rsidR="00DE24B7" w:rsidRPr="00F7102C" w:rsidRDefault="00DE24B7" w:rsidP="00F7102C">
            <w:r>
              <w:t xml:space="preserve">Nature and Purpose of the processing </w:t>
            </w:r>
          </w:p>
        </w:tc>
        <w:tc>
          <w:tcPr>
            <w:tcW w:w="6894" w:type="dxa"/>
          </w:tcPr>
          <w:p w14:paraId="382F5FF7" w14:textId="28246DF6" w:rsidR="00DE24B7" w:rsidRPr="00F7102C" w:rsidRDefault="00DE24B7" w:rsidP="00F7102C">
            <w:r w:rsidRPr="00DE24B7">
              <w:t>To enable HR, payroll, benefits, and employment management processes in compliance with UK law.</w:t>
            </w:r>
          </w:p>
        </w:tc>
      </w:tr>
      <w:tr w:rsidR="00F7102C" w14:paraId="7A3368EA" w14:textId="77777777" w:rsidTr="681CDBF0">
        <w:tc>
          <w:tcPr>
            <w:tcW w:w="2122" w:type="dxa"/>
          </w:tcPr>
          <w:p w14:paraId="2914F4D9" w14:textId="2AFC1845" w:rsidR="00F7102C" w:rsidRDefault="00F7102C" w:rsidP="00F7102C">
            <w:r w:rsidRPr="00F7102C">
              <w:t>Type of Personal Data</w:t>
            </w:r>
            <w:r w:rsidR="0011705B">
              <w:t xml:space="preserve"> Involved</w:t>
            </w:r>
          </w:p>
        </w:tc>
        <w:tc>
          <w:tcPr>
            <w:tcW w:w="6894" w:type="dxa"/>
          </w:tcPr>
          <w:p w14:paraId="6B5C1C21" w14:textId="77777777" w:rsidR="00F7102C" w:rsidRDefault="00F7102C" w:rsidP="00F7102C">
            <w:r>
              <w:t>Identification details (e.g. name, address, NI number, contact details), employment information, payroll data, bank details, tax and pension information, attendance records, performance data, and other HR-related records.</w:t>
            </w:r>
          </w:p>
          <w:p w14:paraId="1317F90D" w14:textId="705ADD33" w:rsidR="417DB784" w:rsidRDefault="417DB784">
            <w:r>
              <w:t>Personal identification documents e.g. passport/driving licences</w:t>
            </w:r>
          </w:p>
          <w:p w14:paraId="1DF9FE4E" w14:textId="3B931824" w:rsidR="681CDBF0" w:rsidRDefault="681CDBF0"/>
          <w:p w14:paraId="2401F57C" w14:textId="64089B2C" w:rsidR="00D15373" w:rsidRDefault="00AF4655" w:rsidP="00F7102C">
            <w:r>
              <w:t>Sens</w:t>
            </w:r>
            <w:r w:rsidR="00406E80">
              <w:t>i</w:t>
            </w:r>
            <w:r w:rsidR="00232585">
              <w:t xml:space="preserve">tive </w:t>
            </w:r>
            <w:r w:rsidR="00E5430F">
              <w:t xml:space="preserve">personal </w:t>
            </w:r>
            <w:r w:rsidR="00AF5795">
              <w:t>info</w:t>
            </w:r>
            <w:r w:rsidR="00E730E5">
              <w:t>rma</w:t>
            </w:r>
            <w:r w:rsidR="00D40D19">
              <w:t>tion</w:t>
            </w:r>
          </w:p>
        </w:tc>
      </w:tr>
      <w:tr w:rsidR="00F7102C" w14:paraId="11FA800D" w14:textId="77777777" w:rsidTr="681CDBF0">
        <w:tc>
          <w:tcPr>
            <w:tcW w:w="2122" w:type="dxa"/>
          </w:tcPr>
          <w:p w14:paraId="214CD52B" w14:textId="588B53D1" w:rsidR="00F7102C" w:rsidRDefault="00F7102C" w:rsidP="00F7102C">
            <w:r w:rsidRPr="00F7102C">
              <w:lastRenderedPageBreak/>
              <w:t>Categories of Data Subjects</w:t>
            </w:r>
          </w:p>
        </w:tc>
        <w:tc>
          <w:tcPr>
            <w:tcW w:w="6894" w:type="dxa"/>
          </w:tcPr>
          <w:p w14:paraId="1B9A855A" w14:textId="2A919BB9" w:rsidR="00F7102C" w:rsidRDefault="00F7102C" w:rsidP="00F7102C">
            <w:r w:rsidRPr="00F7102C">
              <w:t>Employees, contractors, workers, and former staff of the Controller.</w:t>
            </w:r>
          </w:p>
        </w:tc>
      </w:tr>
      <w:tr w:rsidR="00DE24B7" w14:paraId="2BF8455A" w14:textId="77777777" w:rsidTr="681CDBF0">
        <w:tc>
          <w:tcPr>
            <w:tcW w:w="2122" w:type="dxa"/>
          </w:tcPr>
          <w:p w14:paraId="37017444" w14:textId="0ABBEE5B" w:rsidR="00DE24B7" w:rsidRPr="00702E77" w:rsidRDefault="00DE24B7" w:rsidP="681CDBF0">
            <w:r>
              <w:t xml:space="preserve">Controller’s obligations and rights. </w:t>
            </w:r>
          </w:p>
        </w:tc>
        <w:tc>
          <w:tcPr>
            <w:tcW w:w="6894" w:type="dxa"/>
          </w:tcPr>
          <w:p w14:paraId="4DD62939" w14:textId="09BCC38F" w:rsidR="00DE24B7" w:rsidRPr="00702E77" w:rsidRDefault="21B2931F" w:rsidP="681CDBF0">
            <w:r>
              <w:t>To protect the data through restriction of access and secure management and audit of access</w:t>
            </w:r>
          </w:p>
        </w:tc>
      </w:tr>
    </w:tbl>
    <w:p w14:paraId="2B05659D" w14:textId="33107AAA" w:rsidR="00F7102C" w:rsidRDefault="00F7102C" w:rsidP="00F7102C"/>
    <w:p w14:paraId="21C5D4D2" w14:textId="11229626" w:rsidR="00FE15C4" w:rsidRDefault="00152A72" w:rsidP="00FE15C4">
      <w:r>
        <w:t>S</w:t>
      </w:r>
      <w:r w:rsidRPr="00152A72">
        <w:t>pecial category data or criminal offence data under the UK GDPR, or sensitive processing within the meaning of Part 3 of the DPA 2018</w:t>
      </w:r>
      <w:r>
        <w:t xml:space="preserve"> - </w:t>
      </w:r>
      <w:r w:rsidRPr="00152A72">
        <w:t>document the relevant conditions for processing, as appropriate under the UK GDPR or the DPA 2018</w:t>
      </w:r>
      <w:r>
        <w:t xml:space="preserve"> here: </w:t>
      </w:r>
    </w:p>
    <w:tbl>
      <w:tblPr>
        <w:tblStyle w:val="PlainTable1"/>
        <w:tblW w:w="0" w:type="auto"/>
        <w:tblLook w:val="0420" w:firstRow="1" w:lastRow="0" w:firstColumn="0" w:lastColumn="0" w:noHBand="0" w:noVBand="1"/>
      </w:tblPr>
      <w:tblGrid>
        <w:gridCol w:w="2134"/>
        <w:gridCol w:w="3785"/>
        <w:gridCol w:w="3097"/>
      </w:tblGrid>
      <w:tr w:rsidR="00F11102" w:rsidRPr="00FE15C4" w14:paraId="5423E7AC" w14:textId="6A93F10C" w:rsidTr="681CDBF0">
        <w:trPr>
          <w:cnfStyle w:val="100000000000" w:firstRow="1" w:lastRow="0" w:firstColumn="0" w:lastColumn="0" w:oddVBand="0" w:evenVBand="0" w:oddHBand="0" w:evenHBand="0" w:firstRowFirstColumn="0" w:firstRowLastColumn="0" w:lastRowFirstColumn="0" w:lastRowLastColumn="0"/>
        </w:trPr>
        <w:tc>
          <w:tcPr>
            <w:tcW w:w="2134" w:type="dxa"/>
          </w:tcPr>
          <w:p w14:paraId="62176804" w14:textId="007B9EF5" w:rsidR="00F11102" w:rsidRPr="00FE15C4" w:rsidRDefault="00F11102" w:rsidP="00FE15C4">
            <w:r>
              <w:t>Special Category</w:t>
            </w:r>
          </w:p>
        </w:tc>
        <w:tc>
          <w:tcPr>
            <w:tcW w:w="3785" w:type="dxa"/>
          </w:tcPr>
          <w:p w14:paraId="36FE482E" w14:textId="218DDEF1" w:rsidR="00F11102" w:rsidRPr="00FE15C4" w:rsidRDefault="00F11102" w:rsidP="00FE15C4">
            <w:r>
              <w:t>Description</w:t>
            </w:r>
          </w:p>
        </w:tc>
        <w:tc>
          <w:tcPr>
            <w:tcW w:w="3097" w:type="dxa"/>
          </w:tcPr>
          <w:p w14:paraId="489343D5" w14:textId="2BABA2AF" w:rsidR="00F11102" w:rsidRDefault="00917AB6" w:rsidP="00FE15C4">
            <w:r>
              <w:t>Conditions for processing?</w:t>
            </w:r>
          </w:p>
        </w:tc>
      </w:tr>
      <w:tr w:rsidR="00F11102" w:rsidRPr="00FE15C4" w14:paraId="1F46B04E" w14:textId="3443A09D" w:rsidTr="681CDBF0">
        <w:trPr>
          <w:cnfStyle w:val="000000100000" w:firstRow="0" w:lastRow="0" w:firstColumn="0" w:lastColumn="0" w:oddVBand="0" w:evenVBand="0" w:oddHBand="1" w:evenHBand="0" w:firstRowFirstColumn="0" w:firstRowLastColumn="0" w:lastRowFirstColumn="0" w:lastRowLastColumn="0"/>
        </w:trPr>
        <w:tc>
          <w:tcPr>
            <w:tcW w:w="2134" w:type="dxa"/>
          </w:tcPr>
          <w:p w14:paraId="71BB6F0C" w14:textId="75E65AED" w:rsidR="00F11102" w:rsidRDefault="00F11102" w:rsidP="00FE15C4">
            <w:r>
              <w:t>Racial or ethnic origin</w:t>
            </w:r>
          </w:p>
        </w:tc>
        <w:tc>
          <w:tcPr>
            <w:tcW w:w="3785" w:type="dxa"/>
          </w:tcPr>
          <w:p w14:paraId="3EA01B5E" w14:textId="61115373" w:rsidR="00F11102" w:rsidRDefault="00F11102" w:rsidP="00FE15C4">
            <w:r>
              <w:t>Information collected for equality and diversity monitoring, reporting, and support</w:t>
            </w:r>
          </w:p>
        </w:tc>
        <w:tc>
          <w:tcPr>
            <w:tcW w:w="3097" w:type="dxa"/>
          </w:tcPr>
          <w:p w14:paraId="21756441" w14:textId="0D7D955C" w:rsidR="00F11102" w:rsidRDefault="457EFE01" w:rsidP="681CDBF0">
            <w:pPr>
              <w:rPr>
                <w:highlight w:val="magenta"/>
              </w:rPr>
            </w:pPr>
            <w:r w:rsidRPr="681CDBF0">
              <w:rPr>
                <w:highlight w:val="magenta"/>
              </w:rPr>
              <w:t>ICO website guidance</w:t>
            </w:r>
          </w:p>
        </w:tc>
      </w:tr>
      <w:tr w:rsidR="00F11102" w:rsidRPr="00FE15C4" w14:paraId="3014A867" w14:textId="16E81285" w:rsidTr="681CDBF0">
        <w:tc>
          <w:tcPr>
            <w:tcW w:w="2134" w:type="dxa"/>
          </w:tcPr>
          <w:p w14:paraId="189BA9F6" w14:textId="238D5707" w:rsidR="00F11102" w:rsidRDefault="00F11102" w:rsidP="00FE15C4">
            <w:r>
              <w:t>Health data</w:t>
            </w:r>
          </w:p>
        </w:tc>
        <w:tc>
          <w:tcPr>
            <w:tcW w:w="3785" w:type="dxa"/>
          </w:tcPr>
          <w:p w14:paraId="26D40D72" w14:textId="429173B9" w:rsidR="00F11102" w:rsidRDefault="00F11102" w:rsidP="00FE15C4">
            <w:r>
              <w:t>Details about physical or mental health and occupational health, disabilities, absence records, medical certificates, or adjustments for staff</w:t>
            </w:r>
          </w:p>
        </w:tc>
        <w:tc>
          <w:tcPr>
            <w:tcW w:w="3097" w:type="dxa"/>
          </w:tcPr>
          <w:p w14:paraId="601B469D" w14:textId="77777777" w:rsidR="00F11102" w:rsidRDefault="00F11102" w:rsidP="00FE15C4"/>
        </w:tc>
      </w:tr>
      <w:tr w:rsidR="00F11102" w:rsidRPr="00FE15C4" w14:paraId="143E11AA" w14:textId="29F4D728" w:rsidTr="681CDBF0">
        <w:trPr>
          <w:cnfStyle w:val="000000100000" w:firstRow="0" w:lastRow="0" w:firstColumn="0" w:lastColumn="0" w:oddVBand="0" w:evenVBand="0" w:oddHBand="1" w:evenHBand="0" w:firstRowFirstColumn="0" w:firstRowLastColumn="0" w:lastRowFirstColumn="0" w:lastRowLastColumn="0"/>
        </w:trPr>
        <w:tc>
          <w:tcPr>
            <w:tcW w:w="2134" w:type="dxa"/>
          </w:tcPr>
          <w:p w14:paraId="2A5C3153" w14:textId="2C387549" w:rsidR="00F11102" w:rsidRDefault="00F11102" w:rsidP="00FE15C4">
            <w:r>
              <w:t>Religious or philosophical beliefs</w:t>
            </w:r>
          </w:p>
        </w:tc>
        <w:tc>
          <w:tcPr>
            <w:tcW w:w="3785" w:type="dxa"/>
          </w:tcPr>
          <w:p w14:paraId="2DDD0CBA" w14:textId="6C7E4106" w:rsidR="00F11102" w:rsidRDefault="00F11102" w:rsidP="00FE15C4">
            <w:r>
              <w:t>Information provided for equality monitoring</w:t>
            </w:r>
          </w:p>
        </w:tc>
        <w:tc>
          <w:tcPr>
            <w:tcW w:w="3097" w:type="dxa"/>
          </w:tcPr>
          <w:p w14:paraId="30EEEA88" w14:textId="77777777" w:rsidR="00F11102" w:rsidRDefault="00F11102" w:rsidP="00FE15C4"/>
        </w:tc>
      </w:tr>
      <w:tr w:rsidR="00F11102" w:rsidRPr="00FE15C4" w14:paraId="10CB0012" w14:textId="7F1A3C87" w:rsidTr="681CDBF0">
        <w:tc>
          <w:tcPr>
            <w:tcW w:w="2134" w:type="dxa"/>
          </w:tcPr>
          <w:p w14:paraId="7F19AA1C" w14:textId="56CE7839" w:rsidR="00F11102" w:rsidRDefault="00F11102" w:rsidP="00FE15C4">
            <w:r>
              <w:t>Trade union membership</w:t>
            </w:r>
          </w:p>
        </w:tc>
        <w:tc>
          <w:tcPr>
            <w:tcW w:w="3785" w:type="dxa"/>
          </w:tcPr>
          <w:p w14:paraId="169FF01B" w14:textId="6719765A" w:rsidR="00F11102" w:rsidRDefault="00F11102" w:rsidP="00FE15C4">
            <w:r>
              <w:t>Used for payroll deductions or employment relations purposes</w:t>
            </w:r>
          </w:p>
        </w:tc>
        <w:tc>
          <w:tcPr>
            <w:tcW w:w="3097" w:type="dxa"/>
          </w:tcPr>
          <w:p w14:paraId="2C90F2B7" w14:textId="77777777" w:rsidR="00F11102" w:rsidRDefault="00F11102" w:rsidP="00FE15C4"/>
        </w:tc>
      </w:tr>
      <w:tr w:rsidR="00F11102" w:rsidRPr="00FE15C4" w14:paraId="394DEE23" w14:textId="56312A2A" w:rsidTr="681CDBF0">
        <w:trPr>
          <w:cnfStyle w:val="000000100000" w:firstRow="0" w:lastRow="0" w:firstColumn="0" w:lastColumn="0" w:oddVBand="0" w:evenVBand="0" w:oddHBand="1" w:evenHBand="0" w:firstRowFirstColumn="0" w:firstRowLastColumn="0" w:lastRowFirstColumn="0" w:lastRowLastColumn="0"/>
        </w:trPr>
        <w:tc>
          <w:tcPr>
            <w:tcW w:w="2134" w:type="dxa"/>
          </w:tcPr>
          <w:p w14:paraId="0A8F9AE7" w14:textId="7DB58376" w:rsidR="00F11102" w:rsidRDefault="00F11102" w:rsidP="00FE15C4">
            <w:r>
              <w:t>Sex life or sexual orientation</w:t>
            </w:r>
          </w:p>
        </w:tc>
        <w:tc>
          <w:tcPr>
            <w:tcW w:w="3785" w:type="dxa"/>
          </w:tcPr>
          <w:p w14:paraId="42365454" w14:textId="51580240" w:rsidR="00F11102" w:rsidRDefault="00F11102" w:rsidP="00FE15C4">
            <w:r>
              <w:t>May be collected for safeguarding, equality monitoring, or support services</w:t>
            </w:r>
          </w:p>
        </w:tc>
        <w:tc>
          <w:tcPr>
            <w:tcW w:w="3097" w:type="dxa"/>
          </w:tcPr>
          <w:p w14:paraId="372B5F3C" w14:textId="77777777" w:rsidR="00F11102" w:rsidRDefault="00F11102" w:rsidP="00FE15C4"/>
        </w:tc>
      </w:tr>
      <w:tr w:rsidR="00F11102" w:rsidRPr="00FE15C4" w14:paraId="032402E2" w14:textId="5C50DE3B" w:rsidTr="681CDBF0">
        <w:tc>
          <w:tcPr>
            <w:tcW w:w="2134" w:type="dxa"/>
          </w:tcPr>
          <w:p w14:paraId="507FB86A" w14:textId="178F44FD" w:rsidR="00F11102" w:rsidRDefault="00F11102" w:rsidP="00FE15C4">
            <w:r>
              <w:t>Biometric data</w:t>
            </w:r>
          </w:p>
        </w:tc>
        <w:tc>
          <w:tcPr>
            <w:tcW w:w="3785" w:type="dxa"/>
          </w:tcPr>
          <w:p w14:paraId="4ED2AC2C" w14:textId="6E5649D1" w:rsidR="00F11102" w:rsidRDefault="00F11102" w:rsidP="00FE15C4">
            <w:r>
              <w:t>Used for identification or access control systems (e.g., fingerprint or facial recognition).</w:t>
            </w:r>
          </w:p>
        </w:tc>
        <w:tc>
          <w:tcPr>
            <w:tcW w:w="3097" w:type="dxa"/>
          </w:tcPr>
          <w:p w14:paraId="256A619D" w14:textId="77777777" w:rsidR="00F11102" w:rsidRDefault="00F11102" w:rsidP="00FE15C4"/>
        </w:tc>
      </w:tr>
      <w:tr w:rsidR="00F11102" w:rsidRPr="00FE15C4" w14:paraId="47F69811" w14:textId="2344DC07" w:rsidTr="681CDBF0">
        <w:trPr>
          <w:cnfStyle w:val="000000100000" w:firstRow="0" w:lastRow="0" w:firstColumn="0" w:lastColumn="0" w:oddVBand="0" w:evenVBand="0" w:oddHBand="1" w:evenHBand="0" w:firstRowFirstColumn="0" w:firstRowLastColumn="0" w:lastRowFirstColumn="0" w:lastRowLastColumn="0"/>
        </w:trPr>
        <w:tc>
          <w:tcPr>
            <w:tcW w:w="2134" w:type="dxa"/>
          </w:tcPr>
          <w:p w14:paraId="3F299115" w14:textId="5A34928D" w:rsidR="00F11102" w:rsidRDefault="00F11102" w:rsidP="00FE15C4">
            <w:r>
              <w:t>Criminal offence data</w:t>
            </w:r>
          </w:p>
        </w:tc>
        <w:tc>
          <w:tcPr>
            <w:tcW w:w="3785" w:type="dxa"/>
          </w:tcPr>
          <w:p w14:paraId="38AFB66F" w14:textId="2DE704EA" w:rsidR="00F11102" w:rsidRDefault="00F11102" w:rsidP="00FE15C4">
            <w:r>
              <w:t>Information related to DBS checks for safeguarding, or disclosures under employment law or safeguarding duties.</w:t>
            </w:r>
          </w:p>
        </w:tc>
        <w:tc>
          <w:tcPr>
            <w:tcW w:w="3097" w:type="dxa"/>
          </w:tcPr>
          <w:p w14:paraId="23B9B1A4" w14:textId="77777777" w:rsidR="00F11102" w:rsidRDefault="00F11102" w:rsidP="00FE15C4"/>
        </w:tc>
      </w:tr>
    </w:tbl>
    <w:p w14:paraId="1FE0DCE1" w14:textId="77777777" w:rsidR="00876733" w:rsidRDefault="00876733" w:rsidP="00FE15C4"/>
    <w:p w14:paraId="10E7AED3" w14:textId="385B4132" w:rsidR="00D57B6C" w:rsidRDefault="00FE15C4" w:rsidP="00FE15C4">
      <w:r w:rsidRPr="00FE15C4">
        <w:t xml:space="preserve">When processing these categories, you must document and apply the relevant conditions for processing under Article 9 (special category data) or Article 10 (criminal offence data) of the UK GDPR, and </w:t>
      </w:r>
      <w:r w:rsidRPr="00F11102">
        <w:rPr>
          <w:highlight w:val="magenta"/>
        </w:rPr>
        <w:t>Part 3 of the DPA 2018</w:t>
      </w:r>
      <w:r w:rsidRPr="00FE15C4">
        <w:t xml:space="preserve"> where appropriate. These conditions typically include explicit consent, employment and social security law obligations, or safeguarding of children and individuals at risk.</w:t>
      </w:r>
    </w:p>
    <w:p w14:paraId="5B87A7F7" w14:textId="0ACC0927" w:rsidR="00152A72" w:rsidRPr="00F7102C" w:rsidRDefault="00152A72" w:rsidP="00F7102C"/>
    <w:p w14:paraId="0917FF4C" w14:textId="77777777" w:rsidR="00F7102C" w:rsidRPr="00F7102C" w:rsidRDefault="00F7102C" w:rsidP="00F7102C">
      <w:pPr>
        <w:pStyle w:val="Heading1"/>
      </w:pPr>
      <w:bookmarkStart w:id="5" w:name="_Toc754494340"/>
      <w:r>
        <w:lastRenderedPageBreak/>
        <w:t>6. Data Protection Obligations of the Processor</w:t>
      </w:r>
      <w:bookmarkEnd w:id="5"/>
    </w:p>
    <w:p w14:paraId="78A9B01E" w14:textId="77777777" w:rsidR="00F7102C" w:rsidRPr="00F7102C" w:rsidRDefault="00F7102C" w:rsidP="00F7102C">
      <w:r w:rsidRPr="00F7102C">
        <w:t>The Processor shall:</w:t>
      </w:r>
    </w:p>
    <w:p w14:paraId="20D660DE" w14:textId="77777777" w:rsidR="00F7102C" w:rsidRPr="00F7102C" w:rsidRDefault="00F7102C" w:rsidP="00F7102C">
      <w:r w:rsidRPr="00F7102C">
        <w:t xml:space="preserve">6.1 </w:t>
      </w:r>
      <w:r w:rsidRPr="00F7102C">
        <w:rPr>
          <w:b/>
          <w:bCs/>
        </w:rPr>
        <w:t>Process only on instructions</w:t>
      </w:r>
      <w:r w:rsidRPr="00F7102C">
        <w:t xml:space="preserve"> – Process Personal Data only on documented instructions from the Controller.</w:t>
      </w:r>
    </w:p>
    <w:p w14:paraId="5B4EE2C3" w14:textId="77777777" w:rsidR="00F7102C" w:rsidRPr="00F7102C" w:rsidRDefault="00F7102C" w:rsidP="00F7102C">
      <w:r w:rsidRPr="00F7102C">
        <w:t xml:space="preserve">6.2 </w:t>
      </w:r>
      <w:r w:rsidRPr="00F7102C">
        <w:rPr>
          <w:b/>
          <w:bCs/>
        </w:rPr>
        <w:t>Confidentiality</w:t>
      </w:r>
      <w:r w:rsidRPr="00F7102C">
        <w:t xml:space="preserve"> – Ensure that persons authorised to process Personal Data are bound by confidentiality obligations.</w:t>
      </w:r>
    </w:p>
    <w:p w14:paraId="7C5E42EE" w14:textId="77777777" w:rsidR="00F7102C" w:rsidRPr="00F7102C" w:rsidRDefault="00F7102C" w:rsidP="00F7102C">
      <w:r w:rsidRPr="00F7102C">
        <w:t xml:space="preserve">6.3 </w:t>
      </w:r>
      <w:r w:rsidRPr="00F7102C">
        <w:rPr>
          <w:b/>
          <w:bCs/>
        </w:rPr>
        <w:t>Security</w:t>
      </w:r>
      <w:r w:rsidRPr="00F7102C">
        <w:t xml:space="preserve"> – Implement appropriate technical and organisational measures to ensure a level of security appropriate to the risk, including (where applicable):</w:t>
      </w:r>
    </w:p>
    <w:p w14:paraId="473A9A79" w14:textId="77777777" w:rsidR="00F7102C" w:rsidRPr="00F7102C" w:rsidRDefault="00F7102C" w:rsidP="000A501F">
      <w:pPr>
        <w:pStyle w:val="ListParagraph"/>
        <w:numPr>
          <w:ilvl w:val="0"/>
          <w:numId w:val="1"/>
        </w:numPr>
      </w:pPr>
      <w:r w:rsidRPr="00F7102C">
        <w:t xml:space="preserve">Encryption of data in transit and at </w:t>
      </w:r>
      <w:proofErr w:type="gramStart"/>
      <w:r w:rsidRPr="00F7102C">
        <w:t>rest;</w:t>
      </w:r>
      <w:proofErr w:type="gramEnd"/>
    </w:p>
    <w:p w14:paraId="2E44F118" w14:textId="77777777" w:rsidR="00F7102C" w:rsidRPr="00F7102C" w:rsidRDefault="00F7102C" w:rsidP="000A501F">
      <w:pPr>
        <w:pStyle w:val="ListParagraph"/>
        <w:numPr>
          <w:ilvl w:val="0"/>
          <w:numId w:val="1"/>
        </w:numPr>
      </w:pPr>
      <w:r w:rsidRPr="00F7102C">
        <w:t xml:space="preserve">Regular access control and </w:t>
      </w:r>
      <w:proofErr w:type="gramStart"/>
      <w:r w:rsidRPr="00F7102C">
        <w:t>authentication;</w:t>
      </w:r>
      <w:proofErr w:type="gramEnd"/>
    </w:p>
    <w:p w14:paraId="25E1F718" w14:textId="77777777" w:rsidR="00F7102C" w:rsidRPr="00F7102C" w:rsidRDefault="00F7102C" w:rsidP="000A501F">
      <w:pPr>
        <w:pStyle w:val="ListParagraph"/>
        <w:numPr>
          <w:ilvl w:val="0"/>
          <w:numId w:val="1"/>
        </w:numPr>
      </w:pPr>
      <w:r w:rsidRPr="00F7102C">
        <w:t xml:space="preserve">Backup and disaster recovery </w:t>
      </w:r>
      <w:proofErr w:type="gramStart"/>
      <w:r w:rsidRPr="00F7102C">
        <w:t>processes;</w:t>
      </w:r>
      <w:proofErr w:type="gramEnd"/>
    </w:p>
    <w:p w14:paraId="68D1113C" w14:textId="77777777" w:rsidR="00F7102C" w:rsidRPr="00F7102C" w:rsidRDefault="00F7102C" w:rsidP="000A501F">
      <w:pPr>
        <w:pStyle w:val="ListParagraph"/>
        <w:numPr>
          <w:ilvl w:val="0"/>
          <w:numId w:val="1"/>
        </w:numPr>
      </w:pPr>
      <w:r w:rsidRPr="00F7102C">
        <w:t>Regular security testing and patch management; and</w:t>
      </w:r>
    </w:p>
    <w:p w14:paraId="378F0982" w14:textId="77777777" w:rsidR="00F7102C" w:rsidRPr="00F7102C" w:rsidRDefault="00F7102C" w:rsidP="000A501F">
      <w:pPr>
        <w:pStyle w:val="ListParagraph"/>
        <w:numPr>
          <w:ilvl w:val="0"/>
          <w:numId w:val="1"/>
        </w:numPr>
      </w:pPr>
      <w:r w:rsidRPr="00F7102C">
        <w:t>Audit logging and monitoring.</w:t>
      </w:r>
    </w:p>
    <w:p w14:paraId="056C8A7C" w14:textId="77777777" w:rsidR="00F7102C" w:rsidRPr="00F7102C" w:rsidRDefault="00F7102C" w:rsidP="00F7102C">
      <w:r w:rsidRPr="00F7102C">
        <w:t xml:space="preserve">6.4 </w:t>
      </w:r>
      <w:r w:rsidRPr="00F7102C">
        <w:rPr>
          <w:b/>
          <w:bCs/>
        </w:rPr>
        <w:t>Sub-Processing</w:t>
      </w:r>
      <w:r w:rsidRPr="00F7102C">
        <w:t xml:space="preserve"> –</w:t>
      </w:r>
    </w:p>
    <w:p w14:paraId="30096AC0" w14:textId="77777777" w:rsidR="00F7102C" w:rsidRPr="00F7102C" w:rsidRDefault="00F7102C" w:rsidP="00F7102C">
      <w:r w:rsidRPr="00F7102C">
        <w:t>The Processor shall not engage another processor without the Controller’s prior written authorisation.</w:t>
      </w:r>
    </w:p>
    <w:p w14:paraId="745107F6" w14:textId="77777777" w:rsidR="00F7102C" w:rsidRPr="00F7102C" w:rsidRDefault="00F7102C" w:rsidP="00F7102C">
      <w:r w:rsidRPr="00F7102C">
        <w:t>Where authorised, the Processor shall ensure that a written contract is in place with the Sub-Processor that imposes the same data protection obligations as those set out in this Agreement.</w:t>
      </w:r>
    </w:p>
    <w:p w14:paraId="63AB5BC1" w14:textId="77777777" w:rsidR="00F7102C" w:rsidRPr="00F7102C" w:rsidRDefault="00F7102C" w:rsidP="00F7102C">
      <w:r w:rsidRPr="00F7102C">
        <w:t>The Processor remains fully liable for any Sub-Processor’s acts or omissions.</w:t>
      </w:r>
    </w:p>
    <w:p w14:paraId="3FEBF0D3" w14:textId="77777777" w:rsidR="00F7102C" w:rsidRPr="00F7102C" w:rsidRDefault="00F7102C" w:rsidP="00F7102C">
      <w:r w:rsidRPr="00F7102C">
        <w:t xml:space="preserve">6.5 </w:t>
      </w:r>
      <w:r w:rsidRPr="00F7102C">
        <w:rPr>
          <w:b/>
          <w:bCs/>
        </w:rPr>
        <w:t>Data Subject Rights</w:t>
      </w:r>
      <w:r w:rsidRPr="00F7102C">
        <w:t xml:space="preserve"> –</w:t>
      </w:r>
      <w:r w:rsidRPr="00F7102C">
        <w:br/>
        <w:t>Assist the Controller in fulfilling its obligations to respond to Data Subject requests under the UK GDPR, including rights of access, rectification, erasure, restriction, data portability, and objection.</w:t>
      </w:r>
    </w:p>
    <w:p w14:paraId="5982B634" w14:textId="77777777" w:rsidR="00F7102C" w:rsidRPr="00F7102C" w:rsidRDefault="00F7102C" w:rsidP="00F7102C">
      <w:r w:rsidRPr="00F7102C">
        <w:t xml:space="preserve">6.6 </w:t>
      </w:r>
      <w:r w:rsidRPr="00F7102C">
        <w:rPr>
          <w:b/>
          <w:bCs/>
        </w:rPr>
        <w:t>Personal Data Breaches</w:t>
      </w:r>
      <w:r w:rsidRPr="00F7102C">
        <w:t xml:space="preserve"> –</w:t>
      </w:r>
      <w:r w:rsidRPr="00F7102C">
        <w:br/>
        <w:t>Notify the Controller without undue delay (and within 24 hours where feasible) after becoming aware of a Personal Data Breach. The notification shall include, to the extent possible:</w:t>
      </w:r>
    </w:p>
    <w:p w14:paraId="0694C3C8" w14:textId="77777777" w:rsidR="00F7102C" w:rsidRPr="00F7102C" w:rsidRDefault="00F7102C" w:rsidP="000A501F">
      <w:pPr>
        <w:pStyle w:val="ListParagraph"/>
        <w:numPr>
          <w:ilvl w:val="0"/>
          <w:numId w:val="4"/>
        </w:numPr>
      </w:pPr>
      <w:r w:rsidRPr="00F7102C">
        <w:t xml:space="preserve">The nature of the </w:t>
      </w:r>
      <w:proofErr w:type="gramStart"/>
      <w:r w:rsidRPr="00F7102C">
        <w:t>breach;</w:t>
      </w:r>
      <w:proofErr w:type="gramEnd"/>
    </w:p>
    <w:p w14:paraId="14278FCC" w14:textId="77777777" w:rsidR="00F7102C" w:rsidRPr="00F7102C" w:rsidRDefault="00F7102C" w:rsidP="000A501F">
      <w:pPr>
        <w:pStyle w:val="ListParagraph"/>
        <w:numPr>
          <w:ilvl w:val="0"/>
          <w:numId w:val="4"/>
        </w:numPr>
      </w:pPr>
      <w:r w:rsidRPr="00F7102C">
        <w:t xml:space="preserve">Categories and approximate number of Data Subjects </w:t>
      </w:r>
      <w:proofErr w:type="gramStart"/>
      <w:r w:rsidRPr="00F7102C">
        <w:t>concerned;</w:t>
      </w:r>
      <w:proofErr w:type="gramEnd"/>
    </w:p>
    <w:p w14:paraId="4CC44B2B" w14:textId="77777777" w:rsidR="00F7102C" w:rsidRPr="00F7102C" w:rsidRDefault="00F7102C" w:rsidP="000A501F">
      <w:pPr>
        <w:pStyle w:val="ListParagraph"/>
        <w:numPr>
          <w:ilvl w:val="0"/>
          <w:numId w:val="4"/>
        </w:numPr>
      </w:pPr>
      <w:r w:rsidRPr="00F7102C">
        <w:t>Likely consequences; and</w:t>
      </w:r>
    </w:p>
    <w:p w14:paraId="21848418" w14:textId="77777777" w:rsidR="00F7102C" w:rsidRPr="00F7102C" w:rsidRDefault="00F7102C" w:rsidP="000A501F">
      <w:pPr>
        <w:pStyle w:val="ListParagraph"/>
        <w:numPr>
          <w:ilvl w:val="0"/>
          <w:numId w:val="4"/>
        </w:numPr>
      </w:pPr>
      <w:r w:rsidRPr="00F7102C">
        <w:t>Measures taken or proposed to address the breach.</w:t>
      </w:r>
    </w:p>
    <w:p w14:paraId="73CC4D87" w14:textId="77777777" w:rsidR="00F7102C" w:rsidRPr="00F7102C" w:rsidRDefault="00F7102C" w:rsidP="00F7102C">
      <w:r w:rsidRPr="00F7102C">
        <w:t xml:space="preserve">6.7 </w:t>
      </w:r>
      <w:r w:rsidRPr="00F7102C">
        <w:rPr>
          <w:b/>
          <w:bCs/>
        </w:rPr>
        <w:t>Data Protection Impact Assessments (DPIAs)</w:t>
      </w:r>
      <w:r w:rsidRPr="00F7102C">
        <w:t xml:space="preserve"> –</w:t>
      </w:r>
      <w:r w:rsidRPr="00F7102C">
        <w:br/>
      </w:r>
      <w:proofErr w:type="gramStart"/>
      <w:r w:rsidRPr="00F7102C">
        <w:t>Provide assistance</w:t>
      </w:r>
      <w:proofErr w:type="gramEnd"/>
      <w:r w:rsidRPr="00F7102C">
        <w:t xml:space="preserve"> and information necessary for the Controller to carry out DPIAs and prior consultations with the ICO when required.</w:t>
      </w:r>
    </w:p>
    <w:p w14:paraId="7FC738D0" w14:textId="77777777" w:rsidR="00F7102C" w:rsidRPr="00F7102C" w:rsidRDefault="00F7102C" w:rsidP="00F7102C">
      <w:r w:rsidRPr="00F7102C">
        <w:lastRenderedPageBreak/>
        <w:t xml:space="preserve">6.8 </w:t>
      </w:r>
      <w:r w:rsidRPr="00F7102C">
        <w:rPr>
          <w:b/>
          <w:bCs/>
        </w:rPr>
        <w:t>Return or Deletion</w:t>
      </w:r>
      <w:r w:rsidRPr="00F7102C">
        <w:t xml:space="preserve"> –</w:t>
      </w:r>
      <w:r w:rsidRPr="00F7102C">
        <w:br/>
        <w:t>At the end of the provision of Services, the Processor shall, at the Controller’s choice, delete or return all Personal Data and certify that no copies have been retained, unless retention is required by law.</w:t>
      </w:r>
    </w:p>
    <w:p w14:paraId="379750BF" w14:textId="566A1546" w:rsidR="00F7102C" w:rsidRPr="00F7102C" w:rsidRDefault="00F7102C" w:rsidP="00F7102C">
      <w:r w:rsidRPr="00F7102C">
        <w:t xml:space="preserve">6.9 </w:t>
      </w:r>
      <w:r w:rsidRPr="00F7102C">
        <w:rPr>
          <w:b/>
          <w:bCs/>
        </w:rPr>
        <w:t>Audit and Inspection</w:t>
      </w:r>
      <w:r w:rsidRPr="00F7102C">
        <w:t xml:space="preserve"> –</w:t>
      </w:r>
      <w:r w:rsidRPr="00F7102C">
        <w:br/>
        <w:t>Make available all information necessary to demonstrate compliance and allow audits or inspections by the Controller or an independent auditor mandated by the Controller (subject to reasonable notice and confidentiality).</w:t>
      </w:r>
    </w:p>
    <w:p w14:paraId="43017512" w14:textId="77777777" w:rsidR="00F7102C" w:rsidRPr="00F7102C" w:rsidRDefault="00F7102C" w:rsidP="00F7102C">
      <w:pPr>
        <w:pStyle w:val="Heading1"/>
      </w:pPr>
      <w:bookmarkStart w:id="6" w:name="_Toc1639344945"/>
      <w:r>
        <w:t>7. International Data Transfers</w:t>
      </w:r>
      <w:bookmarkEnd w:id="6"/>
    </w:p>
    <w:p w14:paraId="29F50A88" w14:textId="77777777" w:rsidR="00F7102C" w:rsidRPr="00F7102C" w:rsidRDefault="00F7102C" w:rsidP="00F7102C">
      <w:r w:rsidRPr="00F7102C">
        <w:t>7.1 The Processor shall not transfer Personal Data outside the UK (or to any non-adequate country) without the Controller’s prior written authorisation.</w:t>
      </w:r>
    </w:p>
    <w:p w14:paraId="3407F331" w14:textId="2C01144B" w:rsidR="00F7102C" w:rsidRPr="00F7102C" w:rsidRDefault="00F7102C" w:rsidP="00F7102C">
      <w:r w:rsidRPr="00F7102C">
        <w:t xml:space="preserve">7.2 Where transfers occur, the Processor shall ensure that appropriate safeguards are implemented in accordance with Chapter V of the UK GDPR, such as </w:t>
      </w:r>
      <w:r w:rsidRPr="00F7102C">
        <w:rPr>
          <w:b/>
          <w:bCs/>
        </w:rPr>
        <w:t>International Data Transfer Agreements (IDTAs)</w:t>
      </w:r>
      <w:r w:rsidRPr="00F7102C">
        <w:t xml:space="preserve"> or </w:t>
      </w:r>
      <w:r w:rsidRPr="00F7102C">
        <w:rPr>
          <w:b/>
          <w:bCs/>
        </w:rPr>
        <w:t>Addenda to EU SCCs</w:t>
      </w:r>
      <w:r w:rsidRPr="00F7102C">
        <w:t xml:space="preserve"> issued by the UK ICO.</w:t>
      </w:r>
    </w:p>
    <w:p w14:paraId="30095ECA" w14:textId="77777777" w:rsidR="00F7102C" w:rsidRPr="00F7102C" w:rsidRDefault="00F7102C" w:rsidP="00F7102C">
      <w:pPr>
        <w:pStyle w:val="Heading1"/>
      </w:pPr>
      <w:bookmarkStart w:id="7" w:name="_Toc357121289"/>
      <w:r>
        <w:t>8. Data Security and Compliance</w:t>
      </w:r>
      <w:bookmarkEnd w:id="7"/>
    </w:p>
    <w:p w14:paraId="728649DD" w14:textId="30B7A8ED" w:rsidR="00F7102C" w:rsidRPr="00F7102C" w:rsidRDefault="00F7102C" w:rsidP="00F7102C">
      <w:r w:rsidRPr="00F7102C">
        <w:t xml:space="preserve">8.1 The Processor shall maintain an up-to-date </w:t>
      </w:r>
      <w:r w:rsidRPr="000A501F">
        <w:t xml:space="preserve">Information Security Management </w:t>
      </w:r>
      <w:proofErr w:type="gramStart"/>
      <w:r w:rsidRPr="000A501F">
        <w:t>System  aligned</w:t>
      </w:r>
      <w:proofErr w:type="gramEnd"/>
      <w:r w:rsidRPr="000A501F">
        <w:t xml:space="preserve"> to recognised standards such as ISO 27001</w:t>
      </w:r>
      <w:r w:rsidR="000A501F" w:rsidRPr="000A501F">
        <w:t xml:space="preserve"> 2022</w:t>
      </w:r>
      <w:r w:rsidRPr="000A501F">
        <w:t>.</w:t>
      </w:r>
    </w:p>
    <w:p w14:paraId="24CCA55D" w14:textId="425C0574" w:rsidR="00F7102C" w:rsidRPr="00F7102C" w:rsidRDefault="00F7102C" w:rsidP="00F7102C">
      <w:r w:rsidRPr="00F7102C">
        <w:t xml:space="preserve">8.2 The Processor shall conduct regular internal audits and staff training on data protection and </w:t>
      </w:r>
      <w:r w:rsidR="000A501F">
        <w:t xml:space="preserve">hold a current </w:t>
      </w:r>
      <w:r w:rsidRPr="00F7102C">
        <w:t>cyber</w:t>
      </w:r>
      <w:r w:rsidR="000A501F">
        <w:t xml:space="preserve"> </w:t>
      </w:r>
      <w:r w:rsidRPr="00F7102C">
        <w:t>security</w:t>
      </w:r>
      <w:r w:rsidR="000A501F">
        <w:t xml:space="preserve"> plus certificate</w:t>
      </w:r>
      <w:r w:rsidRPr="00F7102C">
        <w:t>.</w:t>
      </w:r>
    </w:p>
    <w:p w14:paraId="7F578A48" w14:textId="10D8560E" w:rsidR="00F7102C" w:rsidRPr="00F7102C" w:rsidRDefault="00F7102C" w:rsidP="00F7102C">
      <w:r w:rsidRPr="00F7102C">
        <w:t>8.3 The Processor shall assist the Controller in demonstrating compliance with the accountability principle under Article 5(2) of the UK GDPR.</w:t>
      </w:r>
    </w:p>
    <w:p w14:paraId="5C60EA1C" w14:textId="77777777" w:rsidR="00F7102C" w:rsidRPr="00F7102C" w:rsidRDefault="00F7102C" w:rsidP="00F7102C">
      <w:pPr>
        <w:pStyle w:val="Heading1"/>
      </w:pPr>
      <w:bookmarkStart w:id="8" w:name="_Toc556801990"/>
      <w:r>
        <w:t>9. Liability and Indemnity</w:t>
      </w:r>
      <w:bookmarkEnd w:id="8"/>
    </w:p>
    <w:p w14:paraId="0D021B0D" w14:textId="77777777" w:rsidR="00F7102C" w:rsidRPr="00F7102C" w:rsidRDefault="00F7102C" w:rsidP="00F7102C">
      <w:r w:rsidRPr="00F7102C">
        <w:t>9.1 Each Party’s liability shall be governed by the underlying Services Agreement, subject to the limitations set out therein.</w:t>
      </w:r>
    </w:p>
    <w:p w14:paraId="07E2BD35" w14:textId="5F4A0509" w:rsidR="00F7102C" w:rsidRPr="00F7102C" w:rsidRDefault="00F7102C" w:rsidP="00F7102C">
      <w:r w:rsidRPr="00F7102C">
        <w:t>9.2 The Processor shall indemnify the Controller for any losses, damages, or fines arising from the Processor’s breach of this Agreement or of Data Protection Legislation.</w:t>
      </w:r>
    </w:p>
    <w:p w14:paraId="20815CF1" w14:textId="77777777" w:rsidR="00F7102C" w:rsidRPr="00F7102C" w:rsidRDefault="00F7102C" w:rsidP="00F7102C">
      <w:pPr>
        <w:pStyle w:val="Heading1"/>
      </w:pPr>
      <w:bookmarkStart w:id="9" w:name="_Toc1857063422"/>
      <w:r>
        <w:t>10. Duration and Termination</w:t>
      </w:r>
      <w:bookmarkEnd w:id="9"/>
    </w:p>
    <w:p w14:paraId="1DD7565B" w14:textId="77777777" w:rsidR="00F7102C" w:rsidRPr="00F7102C" w:rsidRDefault="00F7102C" w:rsidP="00F7102C">
      <w:r w:rsidRPr="00F7102C">
        <w:t>10.1 This Agreement shall remain in effect for the duration of the Services.</w:t>
      </w:r>
    </w:p>
    <w:p w14:paraId="70127169" w14:textId="35B01891" w:rsidR="00F7102C" w:rsidRPr="00F7102C" w:rsidRDefault="00F7102C" w:rsidP="00F7102C">
      <w:r w:rsidRPr="00F7102C">
        <w:t>10.2 Upon termination, all Personal Data shall be securely returned or deleted in accordance with clause 6.8.</w:t>
      </w:r>
    </w:p>
    <w:p w14:paraId="0E95C946" w14:textId="77777777" w:rsidR="00F7102C" w:rsidRPr="00F7102C" w:rsidRDefault="00F7102C" w:rsidP="00F7102C">
      <w:pPr>
        <w:pStyle w:val="Heading1"/>
      </w:pPr>
      <w:bookmarkStart w:id="10" w:name="_Toc1519071992"/>
      <w:r>
        <w:lastRenderedPageBreak/>
        <w:t>11. Governing Law and Jurisdiction</w:t>
      </w:r>
      <w:bookmarkEnd w:id="10"/>
    </w:p>
    <w:p w14:paraId="673CAE9A" w14:textId="3FAB348A" w:rsidR="00F7102C" w:rsidRPr="00F7102C" w:rsidRDefault="00F7102C" w:rsidP="00F7102C">
      <w:r w:rsidRPr="00F7102C">
        <w:t xml:space="preserve">This Agreement and any dispute or claim arising from or in connection with it shall be governed by and construed in accordance with the laws of </w:t>
      </w:r>
      <w:r w:rsidRPr="00F7102C">
        <w:rPr>
          <w:b/>
          <w:bCs/>
        </w:rPr>
        <w:t>England and Wales</w:t>
      </w:r>
      <w:r w:rsidRPr="00F7102C">
        <w:t>, and the Parties submit to the exclusive jurisdiction of the English courts.</w:t>
      </w:r>
    </w:p>
    <w:p w14:paraId="1E0335EB" w14:textId="77777777" w:rsidR="00F7102C" w:rsidRPr="00F7102C" w:rsidRDefault="00F7102C" w:rsidP="00F7102C">
      <w:pPr>
        <w:pStyle w:val="Heading1"/>
      </w:pPr>
      <w:bookmarkStart w:id="11" w:name="_Toc105224292"/>
      <w:r>
        <w:t>12. Signatures</w:t>
      </w:r>
      <w:bookmarkEnd w:id="11"/>
    </w:p>
    <w:p w14:paraId="7C384864" w14:textId="77777777" w:rsidR="00F7102C" w:rsidRPr="00F7102C" w:rsidRDefault="00F7102C" w:rsidP="00F7102C">
      <w:r w:rsidRPr="00F7102C">
        <w:t xml:space="preserve">Signed for and on behalf of the </w:t>
      </w:r>
      <w:r w:rsidRPr="00F7102C">
        <w:rPr>
          <w:b/>
          <w:bCs/>
        </w:rPr>
        <w:t>Controller</w:t>
      </w:r>
      <w:r w:rsidRPr="00F7102C">
        <w:t>:</w:t>
      </w:r>
      <w:r w:rsidRPr="00F7102C">
        <w:br/>
        <w:t>Name: ________________________</w:t>
      </w:r>
      <w:r w:rsidRPr="00F7102C">
        <w:br/>
        <w:t>Title: _________________________</w:t>
      </w:r>
      <w:r w:rsidRPr="00F7102C">
        <w:br/>
        <w:t>Date: _________________________</w:t>
      </w:r>
      <w:r w:rsidRPr="00F7102C">
        <w:br/>
        <w:t>Signature: ____________________</w:t>
      </w:r>
    </w:p>
    <w:p w14:paraId="163E243C" w14:textId="77777777" w:rsidR="00F7102C" w:rsidRPr="00F7102C" w:rsidRDefault="00F7102C" w:rsidP="00F7102C">
      <w:r w:rsidRPr="00F7102C">
        <w:t xml:space="preserve">Signed for and on behalf of the </w:t>
      </w:r>
      <w:r w:rsidRPr="00F7102C">
        <w:rPr>
          <w:b/>
          <w:bCs/>
        </w:rPr>
        <w:t>Processor</w:t>
      </w:r>
      <w:r w:rsidRPr="00F7102C">
        <w:t>:</w:t>
      </w:r>
      <w:r w:rsidRPr="00F7102C">
        <w:br/>
        <w:t>Name: ________________________</w:t>
      </w:r>
      <w:r w:rsidRPr="00F7102C">
        <w:br/>
        <w:t>Title: _________________________</w:t>
      </w:r>
      <w:r w:rsidRPr="00F7102C">
        <w:br/>
        <w:t>Date: _________________________</w:t>
      </w:r>
      <w:r w:rsidRPr="00F7102C">
        <w:br/>
        <w:t>Signature: ____________________</w:t>
      </w:r>
    </w:p>
    <w:p w14:paraId="6900C7AB" w14:textId="69D878D8" w:rsidR="00F7102C" w:rsidRPr="00F7102C" w:rsidRDefault="00F7102C" w:rsidP="00F7102C"/>
    <w:p w14:paraId="5DF8DBF6" w14:textId="77777777" w:rsidR="00F7102C" w:rsidRPr="00F7102C" w:rsidRDefault="00F7102C" w:rsidP="00F7102C">
      <w:r w:rsidRPr="00F7102C">
        <w:t>Schedule 1 – Sub-Processors (if applicable)</w:t>
      </w:r>
    </w:p>
    <w:p w14:paraId="2F1B5B56" w14:textId="77777777" w:rsidR="00F7102C" w:rsidRPr="00F7102C" w:rsidRDefault="00F7102C" w:rsidP="07CEC691">
      <w:pPr>
        <w:rPr>
          <w:highlight w:val="cyan"/>
        </w:rPr>
      </w:pPr>
      <w:r w:rsidRPr="07CEC691">
        <w:rPr>
          <w:highlight w:val="cyan"/>
        </w:rPr>
        <w:t>[List approved Sub-Processors, purpose, location, and safeguards.]</w:t>
      </w:r>
    </w:p>
    <w:p w14:paraId="478BCC75" w14:textId="77777777" w:rsidR="00F7102C" w:rsidRPr="00F7102C" w:rsidRDefault="00F7102C" w:rsidP="00F7102C">
      <w:r w:rsidRPr="00F7102C">
        <w:t>Schedule 2 – Security Measures</w:t>
      </w:r>
    </w:p>
    <w:p w14:paraId="592F72A7" w14:textId="77777777" w:rsidR="00F7102C" w:rsidRPr="00F7102C" w:rsidRDefault="00F7102C" w:rsidP="07CEC691">
      <w:pPr>
        <w:rPr>
          <w:highlight w:val="cyan"/>
        </w:rPr>
      </w:pPr>
      <w:r w:rsidRPr="07CEC691">
        <w:rPr>
          <w:highlight w:val="cyan"/>
        </w:rPr>
        <w:t>[Detail encryption, access control, monitoring, disaster recovery, and backup procedures.]</w:t>
      </w:r>
    </w:p>
    <w:p w14:paraId="625D677E" w14:textId="77777777" w:rsidR="001F59FA" w:rsidRDefault="001F59FA"/>
    <w:sectPr w:rsidR="001F59F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7682C7" w14:textId="77777777" w:rsidR="002A779D" w:rsidRDefault="002A779D">
      <w:pPr>
        <w:spacing w:after="0" w:line="240" w:lineRule="auto"/>
      </w:pPr>
      <w:r>
        <w:separator/>
      </w:r>
    </w:p>
  </w:endnote>
  <w:endnote w:type="continuationSeparator" w:id="0">
    <w:p w14:paraId="57F93EF2" w14:textId="77777777" w:rsidR="002A779D" w:rsidRDefault="002A7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244BBE4" w14:paraId="5199BA48" w14:textId="77777777" w:rsidTr="3244BBE4">
      <w:trPr>
        <w:trHeight w:val="300"/>
      </w:trPr>
      <w:tc>
        <w:tcPr>
          <w:tcW w:w="3005" w:type="dxa"/>
        </w:tcPr>
        <w:p w14:paraId="4E2D639D" w14:textId="0F5F7928" w:rsidR="3244BBE4" w:rsidRDefault="3244BBE4" w:rsidP="3244BBE4">
          <w:pPr>
            <w:pStyle w:val="Header"/>
            <w:ind w:left="-115"/>
          </w:pPr>
          <w:r>
            <w:t>South Staffordshire College</w:t>
          </w:r>
        </w:p>
        <w:p w14:paraId="28DDC5F9" w14:textId="58800FE2" w:rsidR="3244BBE4" w:rsidRDefault="3244BBE4" w:rsidP="3244BBE4">
          <w:pPr>
            <w:pStyle w:val="Header"/>
            <w:ind w:left="-115"/>
          </w:pPr>
          <w:r>
            <w:t>Ref:</w:t>
          </w:r>
          <w:r w:rsidR="0050755D">
            <w:t xml:space="preserve"> </w:t>
          </w:r>
          <w:r>
            <w:t>SSC</w:t>
          </w:r>
          <w:r w:rsidR="0050755D">
            <w:t>25-</w:t>
          </w:r>
          <w:r>
            <w:t>01</w:t>
          </w:r>
        </w:p>
      </w:tc>
      <w:tc>
        <w:tcPr>
          <w:tcW w:w="3005" w:type="dxa"/>
        </w:tcPr>
        <w:p w14:paraId="4C1725B0" w14:textId="21BA76F7" w:rsidR="3244BBE4" w:rsidRDefault="3244BBE4" w:rsidP="3244BBE4">
          <w:pPr>
            <w:pStyle w:val="Header"/>
            <w:jc w:val="center"/>
          </w:pPr>
          <w:r>
            <w:t>HR &amp; Payroll Solution</w:t>
          </w:r>
        </w:p>
      </w:tc>
      <w:tc>
        <w:tcPr>
          <w:tcW w:w="3005" w:type="dxa"/>
        </w:tcPr>
        <w:p w14:paraId="6498191A" w14:textId="06426DED" w:rsidR="3244BBE4" w:rsidRDefault="3244BBE4" w:rsidP="3244BBE4">
          <w:pPr>
            <w:pStyle w:val="Header"/>
            <w:ind w:right="-115"/>
            <w:jc w:val="right"/>
          </w:pPr>
          <w:r>
            <w:fldChar w:fldCharType="begin"/>
          </w:r>
          <w:r>
            <w:instrText>PAGE</w:instrText>
          </w:r>
          <w:r>
            <w:fldChar w:fldCharType="separate"/>
          </w:r>
          <w:r w:rsidR="002A779D">
            <w:rPr>
              <w:noProof/>
            </w:rPr>
            <w:t>1</w:t>
          </w:r>
          <w:r>
            <w:fldChar w:fldCharType="end"/>
          </w:r>
        </w:p>
      </w:tc>
    </w:tr>
  </w:tbl>
  <w:p w14:paraId="34AF34B8" w14:textId="7293F15D" w:rsidR="3244BBE4" w:rsidRDefault="3244BBE4" w:rsidP="3244B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AC84A" w14:textId="77777777" w:rsidR="002A779D" w:rsidRDefault="002A779D">
      <w:pPr>
        <w:spacing w:after="0" w:line="240" w:lineRule="auto"/>
      </w:pPr>
      <w:r>
        <w:separator/>
      </w:r>
    </w:p>
  </w:footnote>
  <w:footnote w:type="continuationSeparator" w:id="0">
    <w:p w14:paraId="1953A7D7" w14:textId="77777777" w:rsidR="002A779D" w:rsidRDefault="002A7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3244BBE4" w14:paraId="04CDA384" w14:textId="77777777" w:rsidTr="3244BBE4">
      <w:trPr>
        <w:trHeight w:val="300"/>
      </w:trPr>
      <w:tc>
        <w:tcPr>
          <w:tcW w:w="3005" w:type="dxa"/>
        </w:tcPr>
        <w:p w14:paraId="3020D4E4" w14:textId="38E79F10" w:rsidR="3244BBE4" w:rsidRDefault="3244BBE4" w:rsidP="3244BBE4">
          <w:pPr>
            <w:pStyle w:val="Header"/>
            <w:ind w:left="-115"/>
          </w:pPr>
          <w:r>
            <w:rPr>
              <w:noProof/>
            </w:rPr>
            <w:drawing>
              <wp:inline distT="0" distB="0" distL="0" distR="0" wp14:anchorId="5308D856" wp14:editId="62CD381C">
                <wp:extent cx="1325356" cy="933450"/>
                <wp:effectExtent l="0" t="0" r="0" b="0"/>
                <wp:docPr id="5278312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83120" name="Picture 52783120"/>
                        <pic:cNvPicPr/>
                      </pic:nvPicPr>
                      <pic:blipFill>
                        <a:blip r:embed="rId1">
                          <a:extLst>
                            <a:ext uri="{28A0092B-C50C-407E-A947-70E740481C1C}">
                              <a14:useLocalDpi xmlns:a14="http://schemas.microsoft.com/office/drawing/2010/main"/>
                            </a:ext>
                          </a:extLst>
                        </a:blip>
                        <a:stretch>
                          <a:fillRect/>
                        </a:stretch>
                      </pic:blipFill>
                      <pic:spPr>
                        <a:xfrm>
                          <a:off x="0" y="0"/>
                          <a:ext cx="1325356" cy="933450"/>
                        </a:xfrm>
                        <a:prstGeom prst="rect">
                          <a:avLst/>
                        </a:prstGeom>
                      </pic:spPr>
                    </pic:pic>
                  </a:graphicData>
                </a:graphic>
              </wp:inline>
            </w:drawing>
          </w:r>
        </w:p>
      </w:tc>
      <w:tc>
        <w:tcPr>
          <w:tcW w:w="3005" w:type="dxa"/>
        </w:tcPr>
        <w:p w14:paraId="0CE8D30D" w14:textId="4828BFDE" w:rsidR="3244BBE4" w:rsidRDefault="3244BBE4" w:rsidP="3244BBE4">
          <w:pPr>
            <w:pStyle w:val="Header"/>
            <w:jc w:val="center"/>
          </w:pPr>
        </w:p>
      </w:tc>
      <w:tc>
        <w:tcPr>
          <w:tcW w:w="3005" w:type="dxa"/>
        </w:tcPr>
        <w:p w14:paraId="5A08D4E3" w14:textId="500EE4D3" w:rsidR="3244BBE4" w:rsidRDefault="3244BBE4" w:rsidP="3244BBE4">
          <w:pPr>
            <w:pStyle w:val="Header"/>
            <w:ind w:right="-115"/>
            <w:jc w:val="right"/>
          </w:pPr>
        </w:p>
      </w:tc>
    </w:tr>
  </w:tbl>
  <w:p w14:paraId="593F667F" w14:textId="77AF7C30" w:rsidR="3244BBE4" w:rsidRDefault="3244BBE4" w:rsidP="3244B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E65AB"/>
    <w:multiLevelType w:val="hybridMultilevel"/>
    <w:tmpl w:val="2F7E5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410CE3"/>
    <w:multiLevelType w:val="multilevel"/>
    <w:tmpl w:val="265AA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A74ED5"/>
    <w:multiLevelType w:val="multilevel"/>
    <w:tmpl w:val="33E2B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263CDA"/>
    <w:multiLevelType w:val="hybridMultilevel"/>
    <w:tmpl w:val="88DE4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F4388B"/>
    <w:multiLevelType w:val="multilevel"/>
    <w:tmpl w:val="CD1C3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B3264A9"/>
    <w:multiLevelType w:val="multilevel"/>
    <w:tmpl w:val="04CC7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DAE0A40"/>
    <w:multiLevelType w:val="hybridMultilevel"/>
    <w:tmpl w:val="E2C8CB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4F1F9C"/>
    <w:multiLevelType w:val="multilevel"/>
    <w:tmpl w:val="C79A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1713161">
    <w:abstractNumId w:val="0"/>
  </w:num>
  <w:num w:numId="2" w16cid:durableId="243731638">
    <w:abstractNumId w:val="7"/>
  </w:num>
  <w:num w:numId="3" w16cid:durableId="349794810">
    <w:abstractNumId w:val="5"/>
  </w:num>
  <w:num w:numId="4" w16cid:durableId="418453988">
    <w:abstractNumId w:val="6"/>
  </w:num>
  <w:num w:numId="5" w16cid:durableId="467208373">
    <w:abstractNumId w:val="3"/>
  </w:num>
  <w:num w:numId="6" w16cid:durableId="535433432">
    <w:abstractNumId w:val="1"/>
  </w:num>
  <w:num w:numId="7" w16cid:durableId="585386742">
    <w:abstractNumId w:val="4"/>
  </w:num>
  <w:num w:numId="8" w16cid:durableId="7491550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02C"/>
    <w:rsid w:val="000372D6"/>
    <w:rsid w:val="000A3A48"/>
    <w:rsid w:val="000A501F"/>
    <w:rsid w:val="000C6DDF"/>
    <w:rsid w:val="0010205D"/>
    <w:rsid w:val="0011705B"/>
    <w:rsid w:val="00135AE1"/>
    <w:rsid w:val="00152A72"/>
    <w:rsid w:val="00155C69"/>
    <w:rsid w:val="00173C95"/>
    <w:rsid w:val="001935EA"/>
    <w:rsid w:val="00196E22"/>
    <w:rsid w:val="001F59FA"/>
    <w:rsid w:val="00232585"/>
    <w:rsid w:val="002577B8"/>
    <w:rsid w:val="0027172D"/>
    <w:rsid w:val="002A6948"/>
    <w:rsid w:val="002A779D"/>
    <w:rsid w:val="00336C15"/>
    <w:rsid w:val="0035599D"/>
    <w:rsid w:val="00356396"/>
    <w:rsid w:val="0037008A"/>
    <w:rsid w:val="003F2FE1"/>
    <w:rsid w:val="00406E80"/>
    <w:rsid w:val="004D5FD5"/>
    <w:rsid w:val="004F4D5F"/>
    <w:rsid w:val="0050755D"/>
    <w:rsid w:val="005264A4"/>
    <w:rsid w:val="00612CEB"/>
    <w:rsid w:val="0063675B"/>
    <w:rsid w:val="00637A58"/>
    <w:rsid w:val="0066733C"/>
    <w:rsid w:val="00702E77"/>
    <w:rsid w:val="0077191F"/>
    <w:rsid w:val="00777078"/>
    <w:rsid w:val="007B766A"/>
    <w:rsid w:val="007F528A"/>
    <w:rsid w:val="00876733"/>
    <w:rsid w:val="008D1D4F"/>
    <w:rsid w:val="00917AB6"/>
    <w:rsid w:val="00976EA0"/>
    <w:rsid w:val="00AF3CD4"/>
    <w:rsid w:val="00AF4655"/>
    <w:rsid w:val="00AF5795"/>
    <w:rsid w:val="00B47EB1"/>
    <w:rsid w:val="00B86A6C"/>
    <w:rsid w:val="00C72F53"/>
    <w:rsid w:val="00C81BBA"/>
    <w:rsid w:val="00CA6713"/>
    <w:rsid w:val="00CD347A"/>
    <w:rsid w:val="00D15373"/>
    <w:rsid w:val="00D16FCE"/>
    <w:rsid w:val="00D40D19"/>
    <w:rsid w:val="00D57B6C"/>
    <w:rsid w:val="00DE24B7"/>
    <w:rsid w:val="00DE7D8A"/>
    <w:rsid w:val="00E2178C"/>
    <w:rsid w:val="00E5430F"/>
    <w:rsid w:val="00E730E5"/>
    <w:rsid w:val="00EA49BE"/>
    <w:rsid w:val="00EC28E1"/>
    <w:rsid w:val="00EC45E7"/>
    <w:rsid w:val="00F11102"/>
    <w:rsid w:val="00F302B2"/>
    <w:rsid w:val="00F45F25"/>
    <w:rsid w:val="00F7102C"/>
    <w:rsid w:val="00F776F6"/>
    <w:rsid w:val="00FE15C4"/>
    <w:rsid w:val="07CEC691"/>
    <w:rsid w:val="087B38D6"/>
    <w:rsid w:val="0F11FB75"/>
    <w:rsid w:val="21B2931F"/>
    <w:rsid w:val="21C1B8FC"/>
    <w:rsid w:val="3244BBE4"/>
    <w:rsid w:val="32ACECC2"/>
    <w:rsid w:val="3F6A3347"/>
    <w:rsid w:val="417DB784"/>
    <w:rsid w:val="457EFE01"/>
    <w:rsid w:val="4A4430EB"/>
    <w:rsid w:val="51390156"/>
    <w:rsid w:val="517C5EB6"/>
    <w:rsid w:val="5E14E06E"/>
    <w:rsid w:val="6021D6F9"/>
    <w:rsid w:val="67459210"/>
    <w:rsid w:val="681CDBF0"/>
    <w:rsid w:val="683A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35BC8"/>
  <w15:chartTrackingRefBased/>
  <w15:docId w15:val="{AE7AF376-1F35-463A-9BB3-B34B1786B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02C"/>
    <w:rPr>
      <w:rFonts w:ascii="Arial" w:hAnsi="Arial"/>
      <w:sz w:val="22"/>
    </w:rPr>
  </w:style>
  <w:style w:type="paragraph" w:styleId="Heading1">
    <w:name w:val="heading 1"/>
    <w:basedOn w:val="Normal"/>
    <w:next w:val="Normal"/>
    <w:link w:val="Heading1Char"/>
    <w:uiPriority w:val="9"/>
    <w:qFormat/>
    <w:rsid w:val="00F7102C"/>
    <w:pPr>
      <w:keepNext/>
      <w:keepLines/>
      <w:spacing w:before="360" w:after="80"/>
      <w:outlineLvl w:val="0"/>
    </w:pPr>
    <w:rPr>
      <w:rFonts w:eastAsiaTheme="majorEastAsia" w:cstheme="majorBidi"/>
      <w:b/>
      <w:sz w:val="32"/>
      <w:szCs w:val="40"/>
    </w:rPr>
  </w:style>
  <w:style w:type="paragraph" w:styleId="Heading2">
    <w:name w:val="heading 2"/>
    <w:basedOn w:val="Normal"/>
    <w:next w:val="Normal"/>
    <w:link w:val="Heading2Char"/>
    <w:uiPriority w:val="9"/>
    <w:semiHidden/>
    <w:unhideWhenUsed/>
    <w:qFormat/>
    <w:rsid w:val="00F71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71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71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71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71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71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71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71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102C"/>
    <w:rPr>
      <w:rFonts w:ascii="Arial" w:eastAsiaTheme="majorEastAsia" w:hAnsi="Arial" w:cstheme="majorBidi"/>
      <w:b/>
      <w:sz w:val="32"/>
      <w:szCs w:val="40"/>
    </w:rPr>
  </w:style>
  <w:style w:type="character" w:customStyle="1" w:styleId="Heading2Char">
    <w:name w:val="Heading 2 Char"/>
    <w:basedOn w:val="DefaultParagraphFont"/>
    <w:link w:val="Heading2"/>
    <w:uiPriority w:val="9"/>
    <w:semiHidden/>
    <w:rsid w:val="00F71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71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71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71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71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1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1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102C"/>
    <w:rPr>
      <w:rFonts w:eastAsiaTheme="majorEastAsia" w:cstheme="majorBidi"/>
      <w:color w:val="272727" w:themeColor="text1" w:themeTint="D8"/>
    </w:rPr>
  </w:style>
  <w:style w:type="paragraph" w:styleId="Title">
    <w:name w:val="Title"/>
    <w:basedOn w:val="Normal"/>
    <w:next w:val="Normal"/>
    <w:link w:val="TitleChar"/>
    <w:uiPriority w:val="10"/>
    <w:qFormat/>
    <w:rsid w:val="00F7102C"/>
    <w:pPr>
      <w:spacing w:after="80" w:line="240" w:lineRule="auto"/>
      <w:contextualSpacing/>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F7102C"/>
    <w:rPr>
      <w:rFonts w:ascii="Arial" w:eastAsiaTheme="majorEastAsia" w:hAnsi="Arial" w:cstheme="majorBidi"/>
      <w:b/>
      <w:spacing w:val="-10"/>
      <w:kern w:val="28"/>
      <w:sz w:val="40"/>
      <w:szCs w:val="56"/>
    </w:rPr>
  </w:style>
  <w:style w:type="paragraph" w:styleId="Subtitle">
    <w:name w:val="Subtitle"/>
    <w:basedOn w:val="Normal"/>
    <w:next w:val="Normal"/>
    <w:link w:val="SubtitleChar"/>
    <w:uiPriority w:val="11"/>
    <w:qFormat/>
    <w:rsid w:val="00F71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71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102C"/>
    <w:pPr>
      <w:spacing w:before="160"/>
      <w:jc w:val="center"/>
    </w:pPr>
    <w:rPr>
      <w:i/>
      <w:iCs/>
      <w:color w:val="404040" w:themeColor="text1" w:themeTint="BF"/>
    </w:rPr>
  </w:style>
  <w:style w:type="character" w:customStyle="1" w:styleId="QuoteChar">
    <w:name w:val="Quote Char"/>
    <w:basedOn w:val="DefaultParagraphFont"/>
    <w:link w:val="Quote"/>
    <w:uiPriority w:val="29"/>
    <w:rsid w:val="00F7102C"/>
    <w:rPr>
      <w:i/>
      <w:iCs/>
      <w:color w:val="404040" w:themeColor="text1" w:themeTint="BF"/>
    </w:rPr>
  </w:style>
  <w:style w:type="paragraph" w:styleId="ListParagraph">
    <w:name w:val="List Paragraph"/>
    <w:basedOn w:val="Normal"/>
    <w:uiPriority w:val="34"/>
    <w:qFormat/>
    <w:rsid w:val="00F7102C"/>
    <w:pPr>
      <w:ind w:left="720"/>
      <w:contextualSpacing/>
    </w:pPr>
  </w:style>
  <w:style w:type="character" w:styleId="IntenseEmphasis">
    <w:name w:val="Intense Emphasis"/>
    <w:basedOn w:val="DefaultParagraphFont"/>
    <w:uiPriority w:val="21"/>
    <w:qFormat/>
    <w:rsid w:val="00F7102C"/>
    <w:rPr>
      <w:i/>
      <w:iCs/>
      <w:color w:val="0F4761" w:themeColor="accent1" w:themeShade="BF"/>
    </w:rPr>
  </w:style>
  <w:style w:type="paragraph" w:styleId="IntenseQuote">
    <w:name w:val="Intense Quote"/>
    <w:basedOn w:val="Normal"/>
    <w:next w:val="Normal"/>
    <w:link w:val="IntenseQuoteChar"/>
    <w:uiPriority w:val="30"/>
    <w:qFormat/>
    <w:rsid w:val="00F71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7102C"/>
    <w:rPr>
      <w:i/>
      <w:iCs/>
      <w:color w:val="0F4761" w:themeColor="accent1" w:themeShade="BF"/>
    </w:rPr>
  </w:style>
  <w:style w:type="character" w:styleId="IntenseReference">
    <w:name w:val="Intense Reference"/>
    <w:basedOn w:val="DefaultParagraphFont"/>
    <w:uiPriority w:val="32"/>
    <w:qFormat/>
    <w:rsid w:val="00F7102C"/>
    <w:rPr>
      <w:b/>
      <w:bCs/>
      <w:smallCaps/>
      <w:color w:val="0F4761" w:themeColor="accent1" w:themeShade="BF"/>
      <w:spacing w:val="5"/>
    </w:rPr>
  </w:style>
  <w:style w:type="table" w:styleId="TableGrid">
    <w:name w:val="Table Grid"/>
    <w:basedOn w:val="TableNormal"/>
    <w:uiPriority w:val="39"/>
    <w:rsid w:val="00F710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FE15C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uiPriority w:val="99"/>
    <w:unhideWhenUsed/>
    <w:rsid w:val="3244BBE4"/>
    <w:pPr>
      <w:tabs>
        <w:tab w:val="center" w:pos="4680"/>
        <w:tab w:val="right" w:pos="9360"/>
      </w:tabs>
      <w:spacing w:after="0" w:line="240" w:lineRule="auto"/>
    </w:pPr>
  </w:style>
  <w:style w:type="paragraph" w:styleId="Footer">
    <w:name w:val="footer"/>
    <w:basedOn w:val="Normal"/>
    <w:uiPriority w:val="99"/>
    <w:unhideWhenUsed/>
    <w:rsid w:val="3244BBE4"/>
    <w:pPr>
      <w:tabs>
        <w:tab w:val="center" w:pos="4680"/>
        <w:tab w:val="right" w:pos="9360"/>
      </w:tabs>
      <w:spacing w:after="0" w:line="240" w:lineRule="auto"/>
    </w:pPr>
  </w:style>
  <w:style w:type="paragraph" w:styleId="TOC1">
    <w:name w:val="toc 1"/>
    <w:basedOn w:val="Normal"/>
    <w:next w:val="Normal"/>
    <w:uiPriority w:val="39"/>
    <w:unhideWhenUsed/>
    <w:rsid w:val="3244BBE4"/>
    <w:pPr>
      <w:spacing w:after="100"/>
    </w:pPr>
  </w:style>
  <w:style w:type="character" w:styleId="Hyperlink">
    <w:name w:val="Hyperlink"/>
    <w:basedOn w:val="DefaultParagraphFont"/>
    <w:uiPriority w:val="99"/>
    <w:unhideWhenUsed/>
    <w:rsid w:val="3244BBE4"/>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8547BCDEFE44190D2CAC353844139" ma:contentTypeVersion="11" ma:contentTypeDescription="Create a new document." ma:contentTypeScope="" ma:versionID="2953fed9fb5c82890f0a2b93f5509d12">
  <xsd:schema xmlns:xsd="http://www.w3.org/2001/XMLSchema" xmlns:xs="http://www.w3.org/2001/XMLSchema" xmlns:p="http://schemas.microsoft.com/office/2006/metadata/properties" xmlns:ns2="019bccf8-2f82-496c-8a05-810872044e9f" xmlns:ns3="f6a22800-f60c-42fe-9c5b-1ead03f28126" targetNamespace="http://schemas.microsoft.com/office/2006/metadata/properties" ma:root="true" ma:fieldsID="ff92eb4727260a22c33f9dbac9b13ce6" ns2:_="" ns3:_="">
    <xsd:import namespace="019bccf8-2f82-496c-8a05-810872044e9f"/>
    <xsd:import namespace="f6a22800-f60c-42fe-9c5b-1ead03f2812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9bccf8-2f82-496c-8a05-810872044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ccb10-84cb-4b9d-ada9-813a970182b5"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a22800-f60c-42fe-9c5b-1ead03f2812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caec7aa-7032-497c-980e-d699207fdc0a}" ma:internalName="TaxCatchAll" ma:showField="CatchAllData" ma:web="f6a22800-f60c-42fe-9c5b-1ead03f281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19bccf8-2f82-496c-8a05-810872044e9f">
      <Terms xmlns="http://schemas.microsoft.com/office/infopath/2007/PartnerControls"/>
    </lcf76f155ced4ddcb4097134ff3c332f>
    <TaxCatchAll xmlns="f6a22800-f60c-42fe-9c5b-1ead03f28126" xsi:nil="true"/>
  </documentManagement>
</p:properties>
</file>

<file path=customXml/itemProps1.xml><?xml version="1.0" encoding="utf-8"?>
<ds:datastoreItem xmlns:ds="http://schemas.openxmlformats.org/officeDocument/2006/customXml" ds:itemID="{90DCDC4A-2D94-4DA5-8883-406C4C783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9bccf8-2f82-496c-8a05-810872044e9f"/>
    <ds:schemaRef ds:uri="f6a22800-f60c-42fe-9c5b-1ead03f281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D913F0-10FA-4B90-80F2-EFC20FB851F0}">
  <ds:schemaRefs>
    <ds:schemaRef ds:uri="http://schemas.microsoft.com/sharepoint/v3/contenttype/forms"/>
  </ds:schemaRefs>
</ds:datastoreItem>
</file>

<file path=customXml/itemProps3.xml><?xml version="1.0" encoding="utf-8"?>
<ds:datastoreItem xmlns:ds="http://schemas.openxmlformats.org/officeDocument/2006/customXml" ds:itemID="{671BC28C-70C2-4151-B4F5-5A185C529AFB}">
  <ds:schemaRefs>
    <ds:schemaRef ds:uri="http://schemas.microsoft.com/office/2006/metadata/properties"/>
    <ds:schemaRef ds:uri="http://schemas.microsoft.com/office/infopath/2007/PartnerControls"/>
    <ds:schemaRef ds:uri="102dc0ba-1b72-4709-a670-17ed4f58dc31"/>
    <ds:schemaRef ds:uri="a8922941-3025-4612-96b0-12fb5b99b2b7"/>
    <ds:schemaRef ds:uri="http://schemas.microsoft.com/sharepoint/v3"/>
    <ds:schemaRef ds:uri="019bccf8-2f82-496c-8a05-810872044e9f"/>
    <ds:schemaRef ds:uri="f6a22800-f60c-42fe-9c5b-1ead03f2812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1534</Words>
  <Characters>9118</Characters>
  <Application>Microsoft Office Word</Application>
  <DocSecurity>0</DocSecurity>
  <Lines>246</Lines>
  <Paragraphs>125</Paragraphs>
  <ScaleCrop>false</ScaleCrop>
  <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Hughes</dc:creator>
  <cp:keywords/>
  <dc:description/>
  <cp:lastModifiedBy>Naomi Hughes</cp:lastModifiedBy>
  <cp:revision>2</cp:revision>
  <dcterms:created xsi:type="dcterms:W3CDTF">2025-12-09T16:29:00Z</dcterms:created>
  <dcterms:modified xsi:type="dcterms:W3CDTF">2025-12-09T16:29:00Z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0x010100BAF8547BCDEFE44190D2CAC353844139</vt:lpwstr>
  </property>
  <property fmtid="{D5CDD505-2E9C-101B-9397-08002B2CF9AE}" pid="3" name="docLang">
    <vt:lpwstr>en</vt:lpwstr>
  </property>
  <property fmtid="{D5CDD505-2E9C-101B-9397-08002B2CF9AE}" pid="4" name="MediaServiceImageTags">
    <vt:lpwstr/>
  </property>
</Properties>
</file>