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5697" w14:textId="0B6E43E0" w:rsidR="00EC66F1" w:rsidRPr="00CB7E46" w:rsidRDefault="004E6C59" w:rsidP="00EC66F1">
      <w:pPr>
        <w:pStyle w:val="BodyText"/>
        <w:spacing w:after="240"/>
        <w:rPr>
          <w:rFonts w:asciiTheme="majorHAnsi" w:hAnsiTheme="majorHAnsi" w:cstheme="majorHAnsi"/>
          <w:sz w:val="32"/>
          <w:szCs w:val="32"/>
        </w:rPr>
      </w:pPr>
      <w:bookmarkStart w:id="0" w:name="_Toc205471491"/>
      <w:bookmarkStart w:id="1" w:name="_Toc205544570"/>
      <w:r w:rsidRPr="00CB7E46">
        <w:rPr>
          <w:rFonts w:asciiTheme="majorHAnsi" w:hAnsiTheme="majorHAnsi" w:cstheme="majorHAnsi"/>
          <w:sz w:val="32"/>
          <w:szCs w:val="32"/>
        </w:rPr>
        <w:t>C</w:t>
      </w:r>
      <w:r w:rsidR="00324E5E" w:rsidRPr="00CB7E46">
        <w:rPr>
          <w:rFonts w:asciiTheme="majorHAnsi" w:hAnsiTheme="majorHAnsi" w:cstheme="majorHAnsi"/>
          <w:sz w:val="32"/>
          <w:szCs w:val="32"/>
        </w:rPr>
        <w:t xml:space="preserve">lient </w:t>
      </w:r>
      <w:r w:rsidRPr="00CB7E46">
        <w:rPr>
          <w:rFonts w:asciiTheme="majorHAnsi" w:hAnsiTheme="majorHAnsi" w:cstheme="majorHAnsi"/>
          <w:sz w:val="32"/>
          <w:szCs w:val="32"/>
        </w:rPr>
        <w:t>C</w:t>
      </w:r>
      <w:r w:rsidR="00324E5E" w:rsidRPr="00CB7E46">
        <w:rPr>
          <w:rFonts w:asciiTheme="majorHAnsi" w:hAnsiTheme="majorHAnsi" w:cstheme="majorHAnsi"/>
          <w:sz w:val="32"/>
          <w:szCs w:val="32"/>
        </w:rPr>
        <w:t xml:space="preserve">ommon </w:t>
      </w:r>
      <w:r w:rsidRPr="00CB7E46">
        <w:rPr>
          <w:rFonts w:asciiTheme="majorHAnsi" w:hAnsiTheme="majorHAnsi" w:cstheme="majorHAnsi"/>
          <w:sz w:val="32"/>
          <w:szCs w:val="32"/>
        </w:rPr>
        <w:t>D</w:t>
      </w:r>
      <w:r w:rsidR="00324E5E" w:rsidRPr="00CB7E46">
        <w:rPr>
          <w:rFonts w:asciiTheme="majorHAnsi" w:hAnsiTheme="majorHAnsi" w:cstheme="majorHAnsi"/>
          <w:sz w:val="32"/>
          <w:szCs w:val="32"/>
        </w:rPr>
        <w:t xml:space="preserve">ata </w:t>
      </w:r>
      <w:r w:rsidRPr="00CB7E46">
        <w:rPr>
          <w:rFonts w:asciiTheme="majorHAnsi" w:hAnsiTheme="majorHAnsi" w:cstheme="majorHAnsi"/>
          <w:sz w:val="32"/>
          <w:szCs w:val="32"/>
        </w:rPr>
        <w:t>E</w:t>
      </w:r>
      <w:r w:rsidR="00324E5E" w:rsidRPr="00CB7E46">
        <w:rPr>
          <w:rFonts w:asciiTheme="majorHAnsi" w:hAnsiTheme="majorHAnsi" w:cstheme="majorHAnsi"/>
          <w:sz w:val="32"/>
          <w:szCs w:val="32"/>
        </w:rPr>
        <w:t>nvironment (CCDE)</w:t>
      </w:r>
      <w:r w:rsidRPr="00CB7E46">
        <w:rPr>
          <w:rFonts w:asciiTheme="majorHAnsi" w:hAnsiTheme="majorHAnsi" w:cstheme="majorHAnsi"/>
          <w:sz w:val="32"/>
          <w:szCs w:val="32"/>
        </w:rPr>
        <w:t xml:space="preserve"> Specification</w:t>
      </w:r>
    </w:p>
    <w:bookmarkEnd w:id="0"/>
    <w:bookmarkEnd w:id="1"/>
    <w:p w14:paraId="36BBF86E" w14:textId="03D6F39D" w:rsidR="00F74982" w:rsidRPr="00CB7E46" w:rsidRDefault="006D7B63" w:rsidP="00885ECD">
      <w:pPr>
        <w:pStyle w:val="Heading1"/>
        <w:keepNext w:val="0"/>
        <w:keepLines w:val="0"/>
      </w:pPr>
      <w:r w:rsidRPr="00CB7E46">
        <w:t>Purpose and Scope</w:t>
      </w:r>
    </w:p>
    <w:p w14:paraId="31F1F7D7" w14:textId="77777777" w:rsidR="00CC06D0" w:rsidRPr="00CB7E46" w:rsidRDefault="00014A79" w:rsidP="00885ECD">
      <w:pPr>
        <w:pStyle w:val="Heading2"/>
        <w:keepNext w:val="0"/>
        <w:keepLines w:val="0"/>
      </w:pPr>
      <w:r w:rsidRPr="00CB7E46">
        <w:t xml:space="preserve">Leighton Hospital and the NHP is underpinned by an ambition with three primary drivers: deliver better, deliver faster, and </w:t>
      </w:r>
      <w:r w:rsidR="00CC06D0" w:rsidRPr="00CB7E46">
        <w:t xml:space="preserve">leave a sustainable legacy. BIM is one of the capabilities identified as vital to achieving the Trust and NHP’s ambition, digital vision and outcomes. </w:t>
      </w:r>
    </w:p>
    <w:p w14:paraId="4BEB58EF" w14:textId="5FA4021D" w:rsidR="00E70708" w:rsidRPr="00CB7E46" w:rsidRDefault="00E70708" w:rsidP="00885ECD">
      <w:pPr>
        <w:pStyle w:val="Heading2"/>
        <w:keepNext w:val="0"/>
        <w:keepLines w:val="0"/>
      </w:pPr>
      <w:r w:rsidRPr="00CB7E46">
        <w:t>T</w:t>
      </w:r>
      <w:r w:rsidR="00D0699F" w:rsidRPr="00CB7E46">
        <w:t>his document sets out the technical and functional</w:t>
      </w:r>
      <w:r w:rsidR="00324E5E" w:rsidRPr="00CB7E46">
        <w:t xml:space="preserve"> requirements for the CCDE to</w:t>
      </w:r>
      <w:r w:rsidR="005C00CD" w:rsidRPr="00CB7E46">
        <w:t xml:space="preserve"> be implemented for the Leighton Hospital programme. It defines the features, standards and support services required from </w:t>
      </w:r>
      <w:r w:rsidR="0082704B" w:rsidRPr="00CB7E46">
        <w:t>suppliers</w:t>
      </w:r>
      <w:r w:rsidR="005C00CD" w:rsidRPr="00CB7E46">
        <w:t xml:space="preserve"> to</w:t>
      </w:r>
      <w:r w:rsidR="002E186F" w:rsidRPr="00CB7E46">
        <w:t xml:space="preserve"> enable the Trust to manage, store and maintain </w:t>
      </w:r>
      <w:r w:rsidR="00C8602A" w:rsidRPr="00CB7E46">
        <w:t>verified</w:t>
      </w:r>
      <w:r w:rsidR="002E186F" w:rsidRPr="00CB7E46">
        <w:t xml:space="preserve"> project and asset information through the life of the building.</w:t>
      </w:r>
    </w:p>
    <w:p w14:paraId="5EF2B8D9" w14:textId="77777777" w:rsidR="00156014" w:rsidRPr="00CB7E46" w:rsidRDefault="00C8602A" w:rsidP="00885ECD">
      <w:pPr>
        <w:pStyle w:val="Heading2"/>
        <w:keepNext w:val="0"/>
        <w:keepLines w:val="0"/>
      </w:pPr>
      <w:r w:rsidRPr="00CB7E46">
        <w:t>The CCDE will form a key part of the Trust’s</w:t>
      </w:r>
      <w:r w:rsidR="00426796" w:rsidRPr="00CB7E46">
        <w:t xml:space="preserve"> wider digital estate and will act as the</w:t>
      </w:r>
      <w:r w:rsidR="00AE1360" w:rsidRPr="00CB7E46">
        <w:t xml:space="preserve"> centralised digital repository used to collect, manage, and share all project related data and information and forms a key part of the BIM process.</w:t>
      </w:r>
      <w:r w:rsidR="00426796" w:rsidRPr="00CB7E46">
        <w:t xml:space="preserve"> It will receive verified data from project delivery systems, support operational access for Estates and Facilities teams and ensure that information is available and compliant with the </w:t>
      </w:r>
      <w:r w:rsidR="003776AE" w:rsidRPr="00CB7E46">
        <w:t>Trust’s</w:t>
      </w:r>
      <w:r w:rsidR="00426796" w:rsidRPr="00CB7E46">
        <w:t xml:space="preserve"> governance procedures</w:t>
      </w:r>
      <w:r w:rsidR="004643F9" w:rsidRPr="00CB7E46">
        <w:t xml:space="preserve"> – </w:t>
      </w:r>
      <w:r w:rsidR="00D71290" w:rsidRPr="00CB7E46">
        <w:t xml:space="preserve">the </w:t>
      </w:r>
      <w:r w:rsidR="004643F9" w:rsidRPr="00CB7E46">
        <w:t xml:space="preserve">exact </w:t>
      </w:r>
      <w:r w:rsidR="007A65FC" w:rsidRPr="00CB7E46">
        <w:t xml:space="preserve">volume of information </w:t>
      </w:r>
      <w:r w:rsidR="00985537" w:rsidRPr="00CB7E46">
        <w:t xml:space="preserve">that will be exchanged is not yet confirmed and will develop as project information </w:t>
      </w:r>
      <w:r w:rsidR="007F2F81" w:rsidRPr="00CB7E46">
        <w:t>progresses</w:t>
      </w:r>
      <w:r w:rsidR="004643F9" w:rsidRPr="00CB7E46">
        <w:t>.</w:t>
      </w:r>
      <w:r w:rsidR="00CD4B4A" w:rsidRPr="00CB7E46">
        <w:t xml:space="preserve"> </w:t>
      </w:r>
    </w:p>
    <w:p w14:paraId="530485B3" w14:textId="269C8DA5" w:rsidR="00425159" w:rsidRPr="00CB7E46" w:rsidRDefault="00CD4B4A" w:rsidP="00885ECD">
      <w:pPr>
        <w:pStyle w:val="Heading2"/>
        <w:keepNext w:val="0"/>
        <w:keepLines w:val="0"/>
      </w:pPr>
      <w:r w:rsidRPr="00CB7E46">
        <w:t xml:space="preserve">The CCDE will </w:t>
      </w:r>
      <w:r w:rsidR="00A14850" w:rsidRPr="00CB7E46">
        <w:t>be used to manage workflows</w:t>
      </w:r>
      <w:r w:rsidR="00882837" w:rsidRPr="00CB7E46">
        <w:t xml:space="preserve"> to support governance, programme and contract management and reporting, but will </w:t>
      </w:r>
      <w:r w:rsidRPr="00CB7E46">
        <w:t xml:space="preserve">not be used for live design or construction coordination activities. It will act as the Trust’s </w:t>
      </w:r>
      <w:r w:rsidR="00882837" w:rsidRPr="00CB7E46">
        <w:t>long-term</w:t>
      </w:r>
      <w:r w:rsidRPr="00CB7E46">
        <w:t xml:space="preserve"> </w:t>
      </w:r>
      <w:r w:rsidR="0060546B" w:rsidRPr="00CB7E46">
        <w:t>repository for verified information handed over from project delivery teams.</w:t>
      </w:r>
    </w:p>
    <w:p w14:paraId="019CC66F" w14:textId="61156C27" w:rsidR="007F19C8" w:rsidRPr="00CB7E46" w:rsidRDefault="000040D3" w:rsidP="00885ECD">
      <w:pPr>
        <w:pStyle w:val="Heading2"/>
        <w:keepNext w:val="0"/>
        <w:keepLines w:val="0"/>
      </w:pPr>
      <w:r w:rsidRPr="00CB7E46">
        <w:t>The purpose of the CCDE</w:t>
      </w:r>
      <w:r w:rsidR="00A2164B" w:rsidRPr="00CB7E46">
        <w:t xml:space="preserve"> within the remit of this tender exercise</w:t>
      </w:r>
      <w:r w:rsidRPr="00CB7E46">
        <w:t xml:space="preserve"> is to store</w:t>
      </w:r>
      <w:r w:rsidR="00D61C21" w:rsidRPr="00CB7E46">
        <w:t xml:space="preserve"> and maintain design and construction information, including the structured asset data that will later support smart buildings systems, the asset information model, and the golden thread. </w:t>
      </w:r>
      <w:r w:rsidR="007214F0" w:rsidRPr="00CB7E46">
        <w:t>This includes supporting the structured receipt, validation, and acceptance of information at key stages</w:t>
      </w:r>
      <w:r w:rsidR="00660A7E" w:rsidRPr="00CB7E46">
        <w:t xml:space="preserve"> throughout the project</w:t>
      </w:r>
      <w:r w:rsidR="00D34DFE" w:rsidRPr="00CB7E46">
        <w:t>.</w:t>
      </w:r>
      <w:r w:rsidR="007214F0" w:rsidRPr="00CB7E46">
        <w:t xml:space="preserve"> </w:t>
      </w:r>
    </w:p>
    <w:p w14:paraId="64DA6229" w14:textId="4D520B85" w:rsidR="002E7DEE" w:rsidRPr="00CB7E46" w:rsidRDefault="00885ECD" w:rsidP="00885ECD">
      <w:pPr>
        <w:pStyle w:val="Heading2"/>
        <w:keepNext w:val="0"/>
        <w:keepLines w:val="0"/>
      </w:pPr>
      <w:r w:rsidRPr="00CB7E46">
        <w:t xml:space="preserve">In line with the NHP Smart Buildings Implementation Plan Guidance, after the project is completed, key project information will be retained, maintained and used to support the introduction of technologies such as Digital Twins. </w:t>
      </w:r>
      <w:r w:rsidR="00F52B17" w:rsidRPr="00CB7E46">
        <w:t xml:space="preserve">The extent of integration with operational systems </w:t>
      </w:r>
      <w:r w:rsidR="00E93739" w:rsidRPr="00CB7E46">
        <w:t xml:space="preserve">will </w:t>
      </w:r>
      <w:r w:rsidR="00D377EE" w:rsidRPr="00CB7E46">
        <w:t xml:space="preserve">be considered </w:t>
      </w:r>
      <w:r w:rsidR="00C66FFE" w:rsidRPr="00CB7E46">
        <w:t xml:space="preserve">within the </w:t>
      </w:r>
      <w:r w:rsidR="0098204C" w:rsidRPr="00CB7E46">
        <w:t xml:space="preserve">context of the </w:t>
      </w:r>
      <w:r w:rsidR="007F19C8" w:rsidRPr="00CB7E46">
        <w:t>levels of implementation set out in</w:t>
      </w:r>
      <w:r w:rsidR="00C66FFE" w:rsidRPr="00CB7E46">
        <w:t xml:space="preserve"> </w:t>
      </w:r>
      <w:r w:rsidR="002E7DEE" w:rsidRPr="00CB7E46">
        <w:t>NHP guidance (Smart Building Solutions and Technologies: Considerations Overview)</w:t>
      </w:r>
      <w:r w:rsidR="007F19C8" w:rsidRPr="00CB7E46">
        <w:t xml:space="preserve">. However, </w:t>
      </w:r>
      <w:r w:rsidR="00474CB7" w:rsidRPr="00CB7E46">
        <w:t xml:space="preserve">the priority for the Trust will be </w:t>
      </w:r>
      <w:r w:rsidR="0098204C" w:rsidRPr="00CB7E46">
        <w:t xml:space="preserve">sourcing an appropriate solution in accordance with the requirements set out in </w:t>
      </w:r>
      <w:r w:rsidR="0098204C" w:rsidRPr="00CB7E46">
        <w:fldChar w:fldCharType="begin"/>
      </w:r>
      <w:r w:rsidR="0098204C" w:rsidRPr="00CB7E46">
        <w:instrText xml:space="preserve"> REF _Ref215739579 \h  \* MERGEFORMAT </w:instrText>
      </w:r>
      <w:r w:rsidR="0098204C" w:rsidRPr="00CB7E46">
        <w:fldChar w:fldCharType="separate"/>
      </w:r>
      <w:r w:rsidR="0098204C" w:rsidRPr="00CB7E46">
        <w:t>Table 3</w:t>
      </w:r>
      <w:r w:rsidR="0098204C" w:rsidRPr="00CB7E46">
        <w:fldChar w:fldCharType="end"/>
      </w:r>
      <w:r w:rsidR="0098204C" w:rsidRPr="00CB7E46">
        <w:t>.</w:t>
      </w:r>
    </w:p>
    <w:p w14:paraId="35ABF890" w14:textId="609EACFB" w:rsidR="00B70DB2" w:rsidRPr="00CB7E46" w:rsidRDefault="00B70DB2" w:rsidP="00885ECD">
      <w:pPr>
        <w:pStyle w:val="Heading2"/>
        <w:keepNext w:val="0"/>
        <w:keepLines w:val="0"/>
      </w:pPr>
      <w:bookmarkStart w:id="2" w:name="_Ref214631666"/>
      <w:r w:rsidRPr="00CB7E46">
        <w:t>The CCDE will need to interact with the project CDEs</w:t>
      </w:r>
      <w:r w:rsidR="00702262" w:rsidRPr="00CB7E46">
        <w:t xml:space="preserve"> through information exchanges at defined points. This will include </w:t>
      </w:r>
      <w:r w:rsidR="003A4510" w:rsidRPr="00CB7E46">
        <w:t xml:space="preserve">as the Architecture-Led Design Team’s </w:t>
      </w:r>
      <w:r w:rsidR="00702262" w:rsidRPr="00CB7E46">
        <w:t>use of Autodesk Construction Cloud, the CDE to be used by the main con</w:t>
      </w:r>
      <w:r w:rsidR="00BE668A" w:rsidRPr="00CB7E46">
        <w:t xml:space="preserve">tractor once appointed, and the NHP’s use of Aconex as the programme </w:t>
      </w:r>
      <w:r w:rsidR="00620841" w:rsidRPr="00CB7E46">
        <w:t>document repository.</w:t>
      </w:r>
      <w:bookmarkEnd w:id="2"/>
      <w:r w:rsidR="00620841" w:rsidRPr="00CB7E46">
        <w:t xml:space="preserve"> </w:t>
      </w:r>
    </w:p>
    <w:p w14:paraId="4BB5A1D7" w14:textId="3CACFA21" w:rsidR="00700584" w:rsidRPr="00CB7E46" w:rsidRDefault="00700584" w:rsidP="00885ECD">
      <w:pPr>
        <w:pStyle w:val="Heading2"/>
        <w:keepNext w:val="0"/>
        <w:keepLines w:val="0"/>
      </w:pPr>
      <w:r w:rsidRPr="00CB7E46">
        <w:lastRenderedPageBreak/>
        <w:t>Main components of a CDE:</w:t>
      </w:r>
    </w:p>
    <w:p w14:paraId="1E14B111" w14:textId="7DEB3101" w:rsidR="00700584" w:rsidRPr="00CB7E46" w:rsidRDefault="00700584" w:rsidP="00630E9E">
      <w:pPr>
        <w:pStyle w:val="BodyText"/>
        <w:numPr>
          <w:ilvl w:val="0"/>
          <w:numId w:val="11"/>
        </w:numPr>
      </w:pPr>
      <w:r w:rsidRPr="00CB7E46">
        <w:rPr>
          <w:b/>
          <w:bCs/>
        </w:rPr>
        <w:t xml:space="preserve">Data </w:t>
      </w:r>
      <w:r w:rsidR="00E00667" w:rsidRPr="00CB7E46">
        <w:rPr>
          <w:b/>
          <w:bCs/>
        </w:rPr>
        <w:t>Repository:</w:t>
      </w:r>
      <w:r w:rsidR="00E00667" w:rsidRPr="00CB7E46">
        <w:t xml:space="preserve"> A centralised location for storing all project related data, including documents, models, drawings, specifications and reports</w:t>
      </w:r>
    </w:p>
    <w:p w14:paraId="6F3937E4" w14:textId="74876FB3" w:rsidR="00E00667" w:rsidRPr="00CB7E46" w:rsidRDefault="00E00667" w:rsidP="00630E9E">
      <w:pPr>
        <w:pStyle w:val="BodyText"/>
        <w:numPr>
          <w:ilvl w:val="0"/>
          <w:numId w:val="11"/>
        </w:numPr>
      </w:pPr>
      <w:r w:rsidRPr="00CB7E46">
        <w:rPr>
          <w:b/>
          <w:bCs/>
        </w:rPr>
        <w:t>Access Controls and Permissions</w:t>
      </w:r>
      <w:r w:rsidRPr="00CB7E46">
        <w:t>: Mechanisms to ensure that only authorised users can access specific data, enhancing security and data integrity</w:t>
      </w:r>
    </w:p>
    <w:p w14:paraId="4130A634" w14:textId="7400603E" w:rsidR="00E00667" w:rsidRPr="00CB7E46" w:rsidRDefault="00020914" w:rsidP="00630E9E">
      <w:pPr>
        <w:pStyle w:val="BodyText"/>
        <w:numPr>
          <w:ilvl w:val="0"/>
          <w:numId w:val="11"/>
        </w:numPr>
      </w:pPr>
      <w:r w:rsidRPr="00CB7E46">
        <w:rPr>
          <w:b/>
          <w:bCs/>
        </w:rPr>
        <w:t>Audit Trails and Logging:</w:t>
      </w:r>
      <w:r w:rsidRPr="00CB7E46">
        <w:t xml:space="preserve"> Tracking of changes and maintenance of history of versions to prevent confusion and errors</w:t>
      </w:r>
    </w:p>
    <w:p w14:paraId="3BC51AC4" w14:textId="12828E2D" w:rsidR="00020914" w:rsidRPr="00CB7E46" w:rsidRDefault="00020914" w:rsidP="00630E9E">
      <w:pPr>
        <w:pStyle w:val="BodyText"/>
        <w:numPr>
          <w:ilvl w:val="0"/>
          <w:numId w:val="11"/>
        </w:numPr>
      </w:pPr>
      <w:r w:rsidRPr="00CB7E46">
        <w:rPr>
          <w:b/>
          <w:bCs/>
        </w:rPr>
        <w:t>Lifecycle Management:</w:t>
      </w:r>
      <w:r w:rsidRPr="00CB7E46">
        <w:t xml:space="preserve"> Management of the entire lifecycle of project information and</w:t>
      </w:r>
      <w:r w:rsidR="00FE53CB" w:rsidRPr="00CB7E46">
        <w:t xml:space="preserve"> data, from creation to archival</w:t>
      </w:r>
    </w:p>
    <w:p w14:paraId="3196589C" w14:textId="3AA4CFF2" w:rsidR="00FE53CB" w:rsidRPr="00CB7E46" w:rsidRDefault="00FE53CB" w:rsidP="00630E9E">
      <w:pPr>
        <w:pStyle w:val="BodyText"/>
        <w:numPr>
          <w:ilvl w:val="0"/>
          <w:numId w:val="11"/>
        </w:numPr>
      </w:pPr>
      <w:r w:rsidRPr="00CB7E46">
        <w:rPr>
          <w:b/>
          <w:bCs/>
        </w:rPr>
        <w:t>Compliance and Standards:</w:t>
      </w:r>
      <w:r w:rsidRPr="00CB7E46">
        <w:t xml:space="preserve"> Application and compliance with information management practices based upon industry standards</w:t>
      </w:r>
    </w:p>
    <w:p w14:paraId="4A68F167" w14:textId="2E65B6F1" w:rsidR="00315DFD" w:rsidRPr="00CB7E46" w:rsidRDefault="00315DFD" w:rsidP="00885ECD">
      <w:pPr>
        <w:pStyle w:val="Heading2"/>
        <w:keepNext w:val="0"/>
        <w:keepLines w:val="0"/>
      </w:pPr>
      <w:r w:rsidRPr="00CB7E46">
        <w:t>Main benefits of a CDE:</w:t>
      </w:r>
    </w:p>
    <w:p w14:paraId="0E95DCD7" w14:textId="3D027F91" w:rsidR="00315DFD" w:rsidRPr="00CB7E46" w:rsidRDefault="00315DFD" w:rsidP="00630E9E">
      <w:pPr>
        <w:pStyle w:val="BodyText"/>
        <w:numPr>
          <w:ilvl w:val="0"/>
          <w:numId w:val="12"/>
        </w:numPr>
      </w:pPr>
      <w:r w:rsidRPr="00CB7E46">
        <w:rPr>
          <w:b/>
          <w:bCs/>
        </w:rPr>
        <w:t xml:space="preserve">Secure </w:t>
      </w:r>
      <w:r w:rsidR="00273741" w:rsidRPr="00CB7E46">
        <w:rPr>
          <w:b/>
          <w:bCs/>
        </w:rPr>
        <w:t>Management of Sensitive Information</w:t>
      </w:r>
      <w:r w:rsidR="00905E9B" w:rsidRPr="00CB7E46">
        <w:rPr>
          <w:b/>
          <w:bCs/>
        </w:rPr>
        <w:t>:</w:t>
      </w:r>
      <w:r w:rsidR="00273741" w:rsidRPr="00CB7E46">
        <w:t xml:space="preserve"> Security and access requirements form an integral part of any CDE solution,</w:t>
      </w:r>
      <w:r w:rsidR="00022AC4" w:rsidRPr="00CB7E46">
        <w:t xml:space="preserve"> helping organisations to mitigate the risk of data loss and unauthorised assess</w:t>
      </w:r>
    </w:p>
    <w:p w14:paraId="78E6FB49" w14:textId="4BA7812B" w:rsidR="00022AC4" w:rsidRPr="00CB7E46" w:rsidRDefault="00022AC4" w:rsidP="00630E9E">
      <w:pPr>
        <w:pStyle w:val="BodyText"/>
        <w:numPr>
          <w:ilvl w:val="0"/>
          <w:numId w:val="12"/>
        </w:numPr>
      </w:pPr>
      <w:r w:rsidRPr="00CB7E46">
        <w:rPr>
          <w:b/>
          <w:bCs/>
        </w:rPr>
        <w:t>Improved Transparency:</w:t>
      </w:r>
      <w:r w:rsidRPr="00CB7E46">
        <w:t xml:space="preserve"> Improve quality</w:t>
      </w:r>
      <w:r w:rsidR="003D38C6" w:rsidRPr="00CB7E46">
        <w:t xml:space="preserve"> assurance and compliance with statutory and regulatory requirement through</w:t>
      </w:r>
      <w:r w:rsidR="00363D44" w:rsidRPr="00CB7E46">
        <w:t xml:space="preserve"> the delivery of information deliverables via the CDE and verification against </w:t>
      </w:r>
      <w:r w:rsidR="00895A32" w:rsidRPr="00CB7E46">
        <w:t>contractual</w:t>
      </w:r>
      <w:r w:rsidR="0034688A" w:rsidRPr="00CB7E46">
        <w:t xml:space="preserve"> defined standards by various project stakeholders</w:t>
      </w:r>
    </w:p>
    <w:p w14:paraId="15895692" w14:textId="21BE213B" w:rsidR="0034688A" w:rsidRPr="00CB7E46" w:rsidRDefault="0034688A" w:rsidP="00630E9E">
      <w:pPr>
        <w:pStyle w:val="BodyText"/>
        <w:numPr>
          <w:ilvl w:val="0"/>
          <w:numId w:val="12"/>
        </w:numPr>
      </w:pPr>
      <w:r w:rsidRPr="00CB7E46">
        <w:rPr>
          <w:b/>
          <w:bCs/>
        </w:rPr>
        <w:t>Consistency and Accuracy:</w:t>
      </w:r>
      <w:r w:rsidRPr="00CB7E46">
        <w:t xml:space="preserve"> A reliable, single source of truth for project information ensuring consistency, accuracy and reduction of the risk of errors due to incorrect information</w:t>
      </w:r>
    </w:p>
    <w:p w14:paraId="21D0140D" w14:textId="37970D4C" w:rsidR="0034688A" w:rsidRPr="00CB7E46" w:rsidRDefault="0034688A" w:rsidP="00630E9E">
      <w:pPr>
        <w:pStyle w:val="BodyText"/>
        <w:numPr>
          <w:ilvl w:val="0"/>
          <w:numId w:val="12"/>
        </w:numPr>
      </w:pPr>
      <w:r w:rsidRPr="00CB7E46">
        <w:rPr>
          <w:b/>
          <w:bCs/>
        </w:rPr>
        <w:t>Greater Collaboration</w:t>
      </w:r>
      <w:r w:rsidR="009E0083" w:rsidRPr="00CB7E46">
        <w:t>: Facilitates better communication between project stakeholders</w:t>
      </w:r>
      <w:r w:rsidR="00606131" w:rsidRPr="00CB7E46">
        <w:t xml:space="preserve"> through the provisions of a unified source of informatio</w:t>
      </w:r>
      <w:r w:rsidR="000E1474" w:rsidRPr="00CB7E46">
        <w:t>n</w:t>
      </w:r>
    </w:p>
    <w:p w14:paraId="4EB95CF5" w14:textId="77777777" w:rsidR="00F00EEA" w:rsidRPr="00CB7E46" w:rsidRDefault="00C47E09" w:rsidP="00630E9E">
      <w:pPr>
        <w:pStyle w:val="BodyText"/>
        <w:numPr>
          <w:ilvl w:val="0"/>
          <w:numId w:val="12"/>
        </w:numPr>
      </w:pPr>
      <w:r w:rsidRPr="00CB7E46">
        <w:rPr>
          <w:b/>
          <w:bCs/>
        </w:rPr>
        <w:t>Data Interoperability:</w:t>
      </w:r>
      <w:r w:rsidRPr="00CB7E46">
        <w:t xml:space="preserve"> Ensures data exchange across different software plat</w:t>
      </w:r>
      <w:r w:rsidR="00DD1D28" w:rsidRPr="00CB7E46">
        <w:t>forms, allowing</w:t>
      </w:r>
      <w:r w:rsidR="00905E9B" w:rsidRPr="00CB7E46">
        <w:t xml:space="preserve"> task teams to collaborate without compatibility issues</w:t>
      </w:r>
    </w:p>
    <w:p w14:paraId="77B62E17" w14:textId="7E8851DC" w:rsidR="00426796" w:rsidRPr="00CB7E46" w:rsidRDefault="0082704B" w:rsidP="00885ECD">
      <w:pPr>
        <w:pStyle w:val="Heading2"/>
        <w:keepNext w:val="0"/>
        <w:keepLines w:val="0"/>
      </w:pPr>
      <w:r w:rsidRPr="00CB7E46">
        <w:t>This document is to be read alongside the</w:t>
      </w:r>
      <w:r w:rsidR="00AE6B73" w:rsidRPr="00CB7E46">
        <w:t xml:space="preserve"> Trust’s information requirements (</w:t>
      </w:r>
      <w:r w:rsidR="003205F4" w:rsidRPr="00CB7E46">
        <w:t xml:space="preserve">OIR, PIR, AIR, and </w:t>
      </w:r>
      <w:r w:rsidR="005A759F" w:rsidRPr="00CB7E46">
        <w:t>EIR), and</w:t>
      </w:r>
      <w:r w:rsidRPr="00CB7E46">
        <w:t xml:space="preserve"> Leighton Hospital BIM Strategy</w:t>
      </w:r>
      <w:r w:rsidR="004F1DD2" w:rsidRPr="00CB7E46">
        <w:t xml:space="preserve"> </w:t>
      </w:r>
      <w:r w:rsidR="00E625C0" w:rsidRPr="00CB7E46">
        <w:t>(LHC-OKA-XX-XX-RP-OI-600006)</w:t>
      </w:r>
      <w:r w:rsidR="00E25B93" w:rsidRPr="00CB7E46">
        <w:t xml:space="preserve">, which defines </w:t>
      </w:r>
      <w:r w:rsidRPr="00CB7E46">
        <w:t>the Trust’s information governance model, data standards</w:t>
      </w:r>
      <w:r w:rsidR="000D1D52" w:rsidRPr="00CB7E46">
        <w:t>, smart building strategy, digital strategy, BIM NHP guidance</w:t>
      </w:r>
      <w:r w:rsidRPr="00CB7E46">
        <w:t xml:space="preserve"> and lifecycle objectives. The </w:t>
      </w:r>
      <w:r w:rsidR="000D1D52" w:rsidRPr="00CB7E46">
        <w:t xml:space="preserve">overarching </w:t>
      </w:r>
      <w:r w:rsidRPr="00CB7E46">
        <w:t xml:space="preserve">requirements set out in this </w:t>
      </w:r>
      <w:r w:rsidR="0030154A" w:rsidRPr="00CB7E46">
        <w:t>specification</w:t>
      </w:r>
      <w:r w:rsidRPr="00CB7E46">
        <w:t xml:space="preserve"> focus</w:t>
      </w:r>
      <w:r w:rsidR="0030154A" w:rsidRPr="00CB7E46">
        <w:t>es</w:t>
      </w:r>
      <w:r w:rsidRPr="00CB7E46">
        <w:t xml:space="preserve"> on the platform, configuration and service outcomes needed to meet those objectives.</w:t>
      </w:r>
      <w:r w:rsidR="007E466E" w:rsidRPr="00CB7E46">
        <w:t xml:space="preserve"> </w:t>
      </w:r>
    </w:p>
    <w:p w14:paraId="1B05CF63" w14:textId="6E8CEA73" w:rsidR="00B462D8" w:rsidRPr="00CB7E46" w:rsidRDefault="0082704B" w:rsidP="00885ECD">
      <w:pPr>
        <w:pStyle w:val="Heading2"/>
        <w:keepNext w:val="0"/>
        <w:keepLines w:val="0"/>
      </w:pPr>
      <w:r w:rsidRPr="00CB7E46">
        <w:t xml:space="preserve">Suppliers are asked to provide clear </w:t>
      </w:r>
      <w:r w:rsidR="001A18C8" w:rsidRPr="00CB7E46">
        <w:t>evidence-based</w:t>
      </w:r>
      <w:r w:rsidR="001F7B83" w:rsidRPr="00CB7E46">
        <w:t xml:space="preserve"> </w:t>
      </w:r>
      <w:r w:rsidRPr="00CB7E46">
        <w:t>responses, demonstrating how their proposed solution meets the Trust’s goals</w:t>
      </w:r>
      <w:r w:rsidR="00E22FCF" w:rsidRPr="00CB7E46">
        <w:t xml:space="preserve"> and to submit</w:t>
      </w:r>
      <w:r w:rsidR="000F337D" w:rsidRPr="00CB7E46">
        <w:t xml:space="preserve"> (with worked examples),</w:t>
      </w:r>
      <w:r w:rsidR="00E22FCF" w:rsidRPr="00CB7E46">
        <w:t xml:space="preserve"> pricing for software licences, setup, training and ongoing support.</w:t>
      </w:r>
      <w:r w:rsidR="00CB544F" w:rsidRPr="00CB7E46">
        <w:t xml:space="preserve"> </w:t>
      </w:r>
    </w:p>
    <w:p w14:paraId="148B3E05" w14:textId="77777777" w:rsidR="00170723" w:rsidRPr="00CB7E46" w:rsidRDefault="00AC40F3" w:rsidP="00170723">
      <w:pPr>
        <w:pStyle w:val="BodyText"/>
        <w:keepNext/>
        <w:jc w:val="center"/>
      </w:pPr>
      <w:r w:rsidRPr="00CB7E46">
        <w:rPr>
          <w:noProof/>
        </w:rPr>
        <w:lastRenderedPageBreak/>
        <w:drawing>
          <wp:inline distT="0" distB="0" distL="0" distR="0" wp14:anchorId="7408556C" wp14:editId="15163CEA">
            <wp:extent cx="5917773" cy="3054350"/>
            <wp:effectExtent l="0" t="0" r="6985" b="0"/>
            <wp:docPr id="2050" name="Picture 2" descr="A diagram of a project&#10;&#10;AI-generated content may be incorrect.">
              <a:extLst xmlns:a="http://schemas.openxmlformats.org/drawingml/2006/main">
                <a:ext uri="{FF2B5EF4-FFF2-40B4-BE49-F238E27FC236}">
                  <a16:creationId xmlns:a16="http://schemas.microsoft.com/office/drawing/2014/main" id="{1FCFE9F9-D34B-D54A-54AF-2627D447D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 diagram of a project&#10;&#10;AI-generated content may be incorrect.">
                      <a:extLst>
                        <a:ext uri="{FF2B5EF4-FFF2-40B4-BE49-F238E27FC236}">
                          <a16:creationId xmlns:a16="http://schemas.microsoft.com/office/drawing/2014/main" id="{1FCFE9F9-D34B-D54A-54AF-2627D447DB19}"/>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95" t="6963" r="5755" b="12343"/>
                    <a:stretch>
                      <a:fillRect/>
                    </a:stretch>
                  </pic:blipFill>
                  <pic:spPr bwMode="auto">
                    <a:xfrm>
                      <a:off x="0" y="0"/>
                      <a:ext cx="5947589" cy="3069739"/>
                    </a:xfrm>
                    <a:prstGeom prst="rect">
                      <a:avLst/>
                    </a:prstGeom>
                    <a:noFill/>
                    <a:ln>
                      <a:noFill/>
                    </a:ln>
                    <a:extLst>
                      <a:ext uri="{53640926-AAD7-44D8-BBD7-CCE9431645EC}">
                        <a14:shadowObscured xmlns:a14="http://schemas.microsoft.com/office/drawing/2010/main"/>
                      </a:ext>
                    </a:extLst>
                  </pic:spPr>
                </pic:pic>
              </a:graphicData>
            </a:graphic>
          </wp:inline>
        </w:drawing>
      </w:r>
    </w:p>
    <w:p w14:paraId="08E6CC1C" w14:textId="6A6ED66C" w:rsidR="00B462D8" w:rsidRPr="00CB7E46" w:rsidRDefault="00170723" w:rsidP="00170723">
      <w:pPr>
        <w:pStyle w:val="Caption"/>
        <w:jc w:val="center"/>
      </w:pPr>
      <w:r w:rsidRPr="00CB7E46">
        <w:t xml:space="preserve">Figure </w:t>
      </w:r>
      <w:r w:rsidR="00C07821">
        <w:fldChar w:fldCharType="begin"/>
      </w:r>
      <w:r w:rsidR="00C07821">
        <w:instrText xml:space="preserve"> SEQ Figure \* ARABIC </w:instrText>
      </w:r>
      <w:r w:rsidR="00C07821">
        <w:fldChar w:fldCharType="separate"/>
      </w:r>
      <w:r w:rsidR="00C07821" w:rsidRPr="00CB7E46">
        <w:rPr>
          <w:noProof/>
        </w:rPr>
        <w:t>1</w:t>
      </w:r>
      <w:r w:rsidR="00C07821">
        <w:rPr>
          <w:noProof/>
        </w:rPr>
        <w:fldChar w:fldCharType="end"/>
      </w:r>
      <w:r w:rsidRPr="00CB7E46">
        <w:t xml:space="preserve"> – Illustration of how the client systems interact with other project systems</w:t>
      </w:r>
    </w:p>
    <w:p w14:paraId="6C037FDD" w14:textId="77777777" w:rsidR="006C5182" w:rsidRPr="00CB7E46" w:rsidRDefault="006C5182" w:rsidP="00704175">
      <w:pPr>
        <w:pStyle w:val="BodyText"/>
        <w:jc w:val="center"/>
      </w:pPr>
    </w:p>
    <w:p w14:paraId="0A067792" w14:textId="77777777" w:rsidR="00787EAD" w:rsidRPr="00CB7E46" w:rsidRDefault="00787EAD" w:rsidP="00EF33C5">
      <w:pPr>
        <w:pStyle w:val="Heading2"/>
        <w:rPr>
          <w:b/>
          <w:bCs/>
        </w:rPr>
      </w:pPr>
      <w:r w:rsidRPr="00CB7E46">
        <w:rPr>
          <w:b/>
          <w:bCs/>
        </w:rPr>
        <w:t>Technical Capability</w:t>
      </w:r>
    </w:p>
    <w:p w14:paraId="3BBEBBA9" w14:textId="41CEFED3" w:rsidR="00AA1240" w:rsidRPr="00CB7E46" w:rsidRDefault="002B0D72" w:rsidP="00787EAD">
      <w:pPr>
        <w:pStyle w:val="Heading3"/>
      </w:pPr>
      <w:r w:rsidRPr="00CB7E46">
        <w:t>Technical Capability</w:t>
      </w:r>
      <w:r w:rsidR="003968C1" w:rsidRPr="00CB7E46">
        <w:t xml:space="preserve"> will consider how well the proposed solution meets the CCDE functional requirements set out </w:t>
      </w:r>
      <w:r w:rsidR="000A5524" w:rsidRPr="00CB7E46">
        <w:t>within</w:t>
      </w:r>
      <w:r w:rsidR="003968C1" w:rsidRPr="00CB7E46">
        <w:t xml:space="preserve"> Section </w:t>
      </w:r>
      <w:r w:rsidR="005D585B" w:rsidRPr="00CB7E46">
        <w:t>4</w:t>
      </w:r>
      <w:r w:rsidR="00EF33C5" w:rsidRPr="00CB7E46">
        <w:t xml:space="preserve"> ‘Functional Requirements’ table</w:t>
      </w:r>
      <w:r w:rsidR="00E74CB2" w:rsidRPr="00CB7E46">
        <w:t>. It will also consider</w:t>
      </w:r>
      <w:r w:rsidR="005F49D7" w:rsidRPr="00CB7E46">
        <w:t xml:space="preserve"> the level of configuration offered, alignment with standards and the ability to support the Trust’s.</w:t>
      </w:r>
      <w:r w:rsidR="00EF33C5" w:rsidRPr="00CB7E46">
        <w:t xml:space="preserve"> Any requirements labelled ‘Essential’ will be assessed on a pass/fail basis, and suppliers must evidence full compliance. Requirements marked ‘Desirable’ will contribute to the technical weighting but will not disqualify a supplier if not met. </w:t>
      </w:r>
      <w:r w:rsidR="006C3B95" w:rsidRPr="00CB7E46">
        <w:t>Suppliers should demonstrate:</w:t>
      </w:r>
    </w:p>
    <w:p w14:paraId="006AD09F" w14:textId="3469ADAD" w:rsidR="006C3B95" w:rsidRPr="00CB7E46" w:rsidRDefault="006C3B95" w:rsidP="00630E9E">
      <w:pPr>
        <w:pStyle w:val="BodyText"/>
        <w:numPr>
          <w:ilvl w:val="0"/>
          <w:numId w:val="13"/>
        </w:numPr>
      </w:pPr>
      <w:r w:rsidRPr="00CB7E46">
        <w:t>How the solution satisfies each requirement</w:t>
      </w:r>
    </w:p>
    <w:p w14:paraId="420C5315" w14:textId="60C418A5" w:rsidR="002934EC" w:rsidRPr="00CB7E46" w:rsidRDefault="002934EC" w:rsidP="00630E9E">
      <w:pPr>
        <w:pStyle w:val="BodyText"/>
        <w:numPr>
          <w:ilvl w:val="0"/>
          <w:numId w:val="13"/>
        </w:numPr>
      </w:pPr>
      <w:r w:rsidRPr="00CB7E46">
        <w:t xml:space="preserve">Evidence of system performance, </w:t>
      </w:r>
      <w:r w:rsidR="00902E2B" w:rsidRPr="00CB7E46">
        <w:t>configuration</w:t>
      </w:r>
      <w:r w:rsidRPr="00CB7E46">
        <w:t xml:space="preserve"> options and </w:t>
      </w:r>
      <w:r w:rsidR="001624C0" w:rsidRPr="00CB7E46">
        <w:t>interoperability-based workflows with other CDEs</w:t>
      </w:r>
    </w:p>
    <w:p w14:paraId="4A476625" w14:textId="309F204B" w:rsidR="002934EC" w:rsidRPr="00CB7E46" w:rsidRDefault="002934EC" w:rsidP="00630E9E">
      <w:pPr>
        <w:pStyle w:val="BodyText"/>
        <w:numPr>
          <w:ilvl w:val="0"/>
          <w:numId w:val="13"/>
        </w:numPr>
      </w:pPr>
      <w:r w:rsidRPr="00CB7E46">
        <w:t>Examples of similar deployments within the NHS or comparable large estates</w:t>
      </w:r>
    </w:p>
    <w:p w14:paraId="0A77BEF3" w14:textId="2B5FBEA8" w:rsidR="00094292" w:rsidRPr="00CB7E46" w:rsidRDefault="002934EC" w:rsidP="00630E9E">
      <w:pPr>
        <w:pStyle w:val="BodyText"/>
        <w:numPr>
          <w:ilvl w:val="0"/>
          <w:numId w:val="13"/>
        </w:numPr>
      </w:pPr>
      <w:r w:rsidRPr="00CB7E46">
        <w:t xml:space="preserve">Alignment with the Trust’s BIM Strategy and NHP </w:t>
      </w:r>
      <w:r w:rsidR="001E6B72" w:rsidRPr="00CB7E46">
        <w:t>information</w:t>
      </w:r>
    </w:p>
    <w:p w14:paraId="491958D4" w14:textId="2C0B61EB" w:rsidR="00DF392A" w:rsidRPr="00CB7E46" w:rsidRDefault="00DB2CD6" w:rsidP="00AD235E">
      <w:pPr>
        <w:pStyle w:val="Heading3"/>
        <w:keepNext w:val="0"/>
        <w:keepLines w:val="0"/>
      </w:pPr>
      <w:r w:rsidRPr="00CB7E46">
        <w:t xml:space="preserve">Whilst the supplier is not expected to undertake the data migration, they must demonstrate how </w:t>
      </w:r>
      <w:r w:rsidR="002C3FDF" w:rsidRPr="00CB7E46">
        <w:t xml:space="preserve">data can be exchanged between the different systems </w:t>
      </w:r>
      <w:r w:rsidR="00084771" w:rsidRPr="00CB7E46">
        <w:t xml:space="preserve">set out Section </w:t>
      </w:r>
      <w:r w:rsidR="00084771" w:rsidRPr="00CB7E46">
        <w:fldChar w:fldCharType="begin"/>
      </w:r>
      <w:r w:rsidR="00084771" w:rsidRPr="00CB7E46">
        <w:instrText xml:space="preserve"> REF _Ref214631666 \r \h </w:instrText>
      </w:r>
      <w:r w:rsidR="00CB7E46">
        <w:instrText xml:space="preserve"> \* MERGEFORMAT </w:instrText>
      </w:r>
      <w:r w:rsidR="00084771" w:rsidRPr="00CB7E46">
        <w:fldChar w:fldCharType="separate"/>
      </w:r>
      <w:r w:rsidR="00C07821" w:rsidRPr="00CB7E46">
        <w:t>1.4</w:t>
      </w:r>
      <w:r w:rsidR="00084771" w:rsidRPr="00CB7E46">
        <w:fldChar w:fldCharType="end"/>
      </w:r>
      <w:r w:rsidR="00084771" w:rsidRPr="00CB7E46">
        <w:t>.</w:t>
      </w:r>
    </w:p>
    <w:p w14:paraId="092BE473" w14:textId="7A55CFFF" w:rsidR="00710AB8" w:rsidRPr="00CB7E46" w:rsidRDefault="00710AB8" w:rsidP="000369BF">
      <w:pPr>
        <w:pStyle w:val="Heading2"/>
        <w:keepNext w:val="0"/>
        <w:keepLines w:val="0"/>
        <w:rPr>
          <w:b/>
          <w:bCs/>
        </w:rPr>
      </w:pPr>
      <w:r w:rsidRPr="00CB7E46">
        <w:rPr>
          <w:b/>
          <w:bCs/>
        </w:rPr>
        <w:t>Implementation &amp; Support</w:t>
      </w:r>
    </w:p>
    <w:p w14:paraId="49080A4E" w14:textId="625AA028" w:rsidR="00C35082" w:rsidRPr="00CB7E46" w:rsidRDefault="00710AB8" w:rsidP="00C35082">
      <w:pPr>
        <w:pStyle w:val="Heading3"/>
        <w:keepNext w:val="0"/>
        <w:keepLines w:val="0"/>
      </w:pPr>
      <w:r w:rsidRPr="00CB7E46">
        <w:t>The supplier will be required to provide configurations, deployment and support services to establish and maintain the CCDE. Implementation will include setup of the environment, creation of folder structures, configuration of metadata fields and establishment of approval workflows</w:t>
      </w:r>
      <w:r w:rsidR="00C35082" w:rsidRPr="00CB7E46">
        <w:t xml:space="preserve"> in line with the NHP BIM Toolkit and the project MIDP.</w:t>
      </w:r>
    </w:p>
    <w:p w14:paraId="77FEF50A" w14:textId="5E4E7DC6" w:rsidR="00710AB8" w:rsidRPr="00CB7E46" w:rsidRDefault="00710AB8" w:rsidP="000369BF">
      <w:pPr>
        <w:pStyle w:val="Heading3"/>
        <w:keepNext w:val="0"/>
        <w:keepLines w:val="0"/>
      </w:pPr>
      <w:r w:rsidRPr="00CB7E46">
        <w:lastRenderedPageBreak/>
        <w:t>Training must be provided for administrators and end users before go-live. Training materials and user guides must be supplied in digital formats for future use by the Trust.</w:t>
      </w:r>
    </w:p>
    <w:p w14:paraId="0B0B773F" w14:textId="0D3DFEBD" w:rsidR="00710AB8" w:rsidRPr="00CB7E46" w:rsidRDefault="00710AB8" w:rsidP="000369BF">
      <w:pPr>
        <w:pStyle w:val="Heading3"/>
        <w:keepNext w:val="0"/>
        <w:keepLines w:val="0"/>
      </w:pPr>
      <w:r w:rsidRPr="00CB7E46">
        <w:t>The supplier must provide technical support for the duration of the contract, including helpdesk access, software updates and maintenance. Service level expectations and response times must be stated clearly in the tender return. Support must include periodic review of data retention settings and storage</w:t>
      </w:r>
      <w:r w:rsidR="00EA4FBD" w:rsidRPr="00CB7E46">
        <w:t>.</w:t>
      </w:r>
      <w:r w:rsidRPr="00CB7E46">
        <w:t xml:space="preserve"> </w:t>
      </w:r>
    </w:p>
    <w:p w14:paraId="73395C76" w14:textId="771C1F9C" w:rsidR="00710AB8" w:rsidRPr="00CB7E46" w:rsidRDefault="00710AB8" w:rsidP="000369BF">
      <w:pPr>
        <w:pStyle w:val="Heading3"/>
        <w:keepNext w:val="0"/>
        <w:keepLines w:val="0"/>
      </w:pPr>
      <w:r w:rsidRPr="00CB7E46">
        <w:t>At contract completion, the supplier must deliver a full system handover pack including configuration details, user permissions and supporting documentation. The Trust must retain the ability to maintain, modify and expand the environment independently after handover.</w:t>
      </w:r>
    </w:p>
    <w:p w14:paraId="5193C9F4" w14:textId="68891DDC" w:rsidR="00710AB8" w:rsidRPr="00CB7E46" w:rsidRDefault="007F4811" w:rsidP="00D614D4">
      <w:pPr>
        <w:pStyle w:val="Heading2"/>
        <w:keepNext w:val="0"/>
        <w:keepLines w:val="0"/>
        <w:rPr>
          <w:b/>
          <w:bCs/>
        </w:rPr>
      </w:pPr>
      <w:r w:rsidRPr="00CB7E46">
        <w:rPr>
          <w:b/>
          <w:bCs/>
        </w:rPr>
        <w:t>Added Value</w:t>
      </w:r>
    </w:p>
    <w:p w14:paraId="07796672" w14:textId="6D06B6A3" w:rsidR="00026464" w:rsidRPr="00CB7E46" w:rsidRDefault="00026464" w:rsidP="00D614D4">
      <w:pPr>
        <w:pStyle w:val="Heading3"/>
        <w:keepNext w:val="0"/>
        <w:keepLines w:val="0"/>
      </w:pPr>
      <w:r w:rsidRPr="00CB7E46">
        <w:t>Suppliers are encouraged to outline any additional benefits, innovations or enhancements that strengthen the overall offering beyond the</w:t>
      </w:r>
      <w:r w:rsidR="00CE6CAD" w:rsidRPr="00CB7E46">
        <w:t xml:space="preserve"> Trust’s</w:t>
      </w:r>
      <w:r w:rsidRPr="00CB7E46">
        <w:t xml:space="preserve"> core CCDE requirements. This may include platform features that improve efficiency, user adoption or long-term information quality</w:t>
      </w:r>
      <w:r w:rsidR="00CE6CAD" w:rsidRPr="00CB7E46">
        <w:t>,</w:t>
      </w:r>
      <w:r w:rsidRPr="00CB7E46">
        <w:t xml:space="preserve"> opportunities for automation</w:t>
      </w:r>
      <w:r w:rsidR="00CE6CAD" w:rsidRPr="00CB7E46">
        <w:t>,</w:t>
      </w:r>
      <w:r w:rsidRPr="00CB7E46">
        <w:t xml:space="preserve"> alignment with smart-building or digital-twin initiatives</w:t>
      </w:r>
      <w:r w:rsidR="00CE6CAD" w:rsidRPr="00CB7E46">
        <w:t>,</w:t>
      </w:r>
      <w:r w:rsidRPr="00CB7E46">
        <w:t xml:space="preserve"> or elements within the roadmap that support future development of the Trust’s digital estate.</w:t>
      </w:r>
    </w:p>
    <w:p w14:paraId="4C5256A8" w14:textId="575BCB33" w:rsidR="00D74A5E" w:rsidRPr="00CB7E46" w:rsidRDefault="00026464" w:rsidP="00D614D4">
      <w:pPr>
        <w:pStyle w:val="Heading3"/>
        <w:keepNext w:val="0"/>
        <w:keepLines w:val="0"/>
      </w:pPr>
      <w:r w:rsidRPr="00CB7E46">
        <w:t>Added value may also include supplementary training, collaborative working approaches, environmental or social value contributions, or any other factors that deliver measurable benefit to the Trust over the duration of the contract. These elements will contribute to the weighted evaluation and may influence final scoring where solutions are otherwise closely matched.</w:t>
      </w:r>
    </w:p>
    <w:p w14:paraId="2C84D72D" w14:textId="77777777" w:rsidR="00F317E2" w:rsidRPr="00CB7E46" w:rsidRDefault="00F317E2" w:rsidP="006C5182"/>
    <w:p w14:paraId="00F1D4A7" w14:textId="77777777" w:rsidR="007369A8" w:rsidRPr="00CB7E46" w:rsidRDefault="007369A8" w:rsidP="007369A8">
      <w:pPr>
        <w:pStyle w:val="Heading1"/>
      </w:pPr>
      <w:r w:rsidRPr="00CB7E46">
        <w:lastRenderedPageBreak/>
        <w:t>Governance and Administration Requirements</w:t>
      </w:r>
    </w:p>
    <w:p w14:paraId="5877B18E" w14:textId="77777777" w:rsidR="007369A8" w:rsidRPr="00CB7E46" w:rsidRDefault="007369A8" w:rsidP="007369A8">
      <w:pPr>
        <w:pStyle w:val="Heading2"/>
      </w:pPr>
      <w:r w:rsidRPr="00CB7E46">
        <w:t>The CCDE must allow the Trust to act as the ultimate system administrator and data owner. The Environment will operate under the governance arrangements described in the BIM Strategy, with administrative permissions aligned to the roles of the Information Manager, Estates, Facilities and IT.</w:t>
      </w:r>
    </w:p>
    <w:p w14:paraId="02E378D8" w14:textId="77777777" w:rsidR="007369A8" w:rsidRPr="00CB7E46" w:rsidRDefault="007369A8" w:rsidP="007369A8">
      <w:pPr>
        <w:pStyle w:val="Heading2"/>
      </w:pPr>
      <w:r w:rsidRPr="00CB7E46">
        <w:t>User roles must be configurable by the Trust to match its internal management structure. Role-based permissions should support administrator, review, contributor and view functions, with control over who can upload, edit, approve or publish records. The system must maintain a full record of user activity, permission and approvals.</w:t>
      </w:r>
    </w:p>
    <w:p w14:paraId="6B9FB6C1" w14:textId="77777777" w:rsidR="007369A8" w:rsidRPr="00CB7E46" w:rsidRDefault="007369A8" w:rsidP="007369A8">
      <w:pPr>
        <w:pStyle w:val="Heading2"/>
      </w:pPr>
      <w:r w:rsidRPr="00CB7E46">
        <w:t>Configuration of the environment must allow folder hierarchies, metadata fields and naming conventions to reflect those defined by the Trust. These structures must be capable of adjustment as the Trust’s estate portfolio expands. The supplier will assist with initial configuration during mobilisation and hand over full administrative control to the Trust upon completion.</w:t>
      </w:r>
    </w:p>
    <w:p w14:paraId="49542F69" w14:textId="619084DC" w:rsidR="007369A8" w:rsidRDefault="007369A8" w:rsidP="007369A8">
      <w:pPr>
        <w:pStyle w:val="Heading3"/>
      </w:pPr>
      <w:r w:rsidRPr="00CB7E46">
        <w:t>Ownership of all data, configurations and user records will always remain with the Trust. The supplier must not restrict access, export or transfer information to other systems during or after the contract period.</w:t>
      </w:r>
    </w:p>
    <w:p w14:paraId="0D75933D" w14:textId="77777777" w:rsidR="00B14183" w:rsidRDefault="00B14183" w:rsidP="00B14183">
      <w:pPr>
        <w:pStyle w:val="BodyText"/>
      </w:pPr>
    </w:p>
    <w:p w14:paraId="0C11FF9C" w14:textId="77777777" w:rsidR="00D614D4" w:rsidRPr="00CB7E46" w:rsidRDefault="00D614D4" w:rsidP="00D614D4">
      <w:pPr>
        <w:pStyle w:val="Heading1"/>
      </w:pPr>
      <w:r w:rsidRPr="00CB7E46">
        <w:t>Functional Requirements</w:t>
      </w:r>
    </w:p>
    <w:p w14:paraId="2987B101" w14:textId="77777777" w:rsidR="00D614D4" w:rsidRPr="00CB7E46" w:rsidRDefault="00D614D4" w:rsidP="00D614D4">
      <w:pPr>
        <w:pStyle w:val="Heading3"/>
      </w:pPr>
      <w:r w:rsidRPr="00CB7E46">
        <w:t>The functional requirements for the CCDE are set out in the table below. Requirements labelled ‘Essential’ will be assessed on a pass/fail basis whilst ‘Desirable’ requirements will inform the technical scoring. These requirements also align with the functional considerations set out in the NHP guidance (Smart Building Solutions and Technologies: Considerations Overview).</w:t>
      </w:r>
    </w:p>
    <w:p w14:paraId="62EBD332" w14:textId="77777777" w:rsidR="00D614D4" w:rsidRPr="00CB7E46" w:rsidRDefault="00D614D4" w:rsidP="00D614D4">
      <w:pPr>
        <w:pStyle w:val="BodyText"/>
      </w:pPr>
    </w:p>
    <w:p w14:paraId="7FC34317" w14:textId="77777777" w:rsidR="007369A8" w:rsidRPr="00CB7E46" w:rsidRDefault="007369A8" w:rsidP="007369A8"/>
    <w:p w14:paraId="79BB9E0C" w14:textId="2E008E03" w:rsidR="007369A8" w:rsidRPr="00CB7E46" w:rsidRDefault="007369A8" w:rsidP="007369A8">
      <w:pPr>
        <w:sectPr w:rsidR="007369A8" w:rsidRPr="00CB7E46" w:rsidSect="006164E7">
          <w:headerReference w:type="default" r:id="rId12"/>
          <w:footerReference w:type="default" r:id="rId13"/>
          <w:headerReference w:type="first" r:id="rId14"/>
          <w:footerReference w:type="first" r:id="rId15"/>
          <w:pgSz w:w="11906" w:h="16838" w:code="9"/>
          <w:pgMar w:top="1021" w:right="1021" w:bottom="1588" w:left="1588" w:header="680" w:footer="369" w:gutter="0"/>
          <w:cols w:space="708"/>
          <w:titlePg/>
          <w:docGrid w:linePitch="360"/>
        </w:sectPr>
      </w:pPr>
    </w:p>
    <w:p w14:paraId="74368763" w14:textId="42B1E7D9" w:rsidR="0098204C" w:rsidRPr="00CB7E46" w:rsidRDefault="0098204C" w:rsidP="0098204C">
      <w:pPr>
        <w:pStyle w:val="Caption"/>
        <w:keepNext/>
      </w:pPr>
      <w:bookmarkStart w:id="3" w:name="_Ref215739579"/>
      <w:r w:rsidRPr="00CB7E46">
        <w:lastRenderedPageBreak/>
        <w:t xml:space="preserve">Table </w:t>
      </w:r>
      <w:r>
        <w:fldChar w:fldCharType="begin"/>
      </w:r>
      <w:r>
        <w:instrText xml:space="preserve"> SEQ Table \* ARABIC </w:instrText>
      </w:r>
      <w:r>
        <w:fldChar w:fldCharType="separate"/>
      </w:r>
      <w:r w:rsidRPr="00CB7E46">
        <w:rPr>
          <w:noProof/>
        </w:rPr>
        <w:t>3</w:t>
      </w:r>
      <w:r>
        <w:rPr>
          <w:noProof/>
        </w:rPr>
        <w:fldChar w:fldCharType="end"/>
      </w:r>
      <w:bookmarkEnd w:id="3"/>
      <w:r w:rsidRPr="00CB7E46">
        <w:t xml:space="preserve"> – Functional requirements </w:t>
      </w:r>
    </w:p>
    <w:tbl>
      <w:tblPr>
        <w:tblStyle w:val="Okanatablestyle"/>
        <w:tblW w:w="0" w:type="auto"/>
        <w:tblLook w:val="04A0" w:firstRow="1" w:lastRow="0" w:firstColumn="1" w:lastColumn="0" w:noHBand="0" w:noVBand="1"/>
      </w:tblPr>
      <w:tblGrid>
        <w:gridCol w:w="704"/>
        <w:gridCol w:w="1985"/>
        <w:gridCol w:w="9639"/>
        <w:gridCol w:w="1842"/>
      </w:tblGrid>
      <w:tr w:rsidR="00924C12" w:rsidRPr="00CB7E46" w14:paraId="273A9F17" w14:textId="77777777" w:rsidTr="00170723">
        <w:trPr>
          <w:cnfStyle w:val="100000000000" w:firstRow="1" w:lastRow="0" w:firstColumn="0" w:lastColumn="0" w:oddVBand="0" w:evenVBand="0" w:oddHBand="0" w:evenHBand="0" w:firstRowFirstColumn="0" w:firstRowLastColumn="0" w:lastRowFirstColumn="0" w:lastRowLastColumn="0"/>
        </w:trPr>
        <w:tc>
          <w:tcPr>
            <w:tcW w:w="704" w:type="dxa"/>
            <w:vAlign w:val="center"/>
          </w:tcPr>
          <w:p w14:paraId="143BC289" w14:textId="77777777" w:rsidR="00924C12" w:rsidRPr="00CB7E46" w:rsidRDefault="00924C12" w:rsidP="00170723">
            <w:pPr>
              <w:pStyle w:val="BodyText"/>
              <w:jc w:val="center"/>
              <w:rPr>
                <w:b/>
                <w:bCs/>
                <w:sz w:val="18"/>
                <w:szCs w:val="18"/>
              </w:rPr>
            </w:pPr>
            <w:r w:rsidRPr="00CB7E46">
              <w:rPr>
                <w:b/>
                <w:bCs/>
                <w:sz w:val="18"/>
                <w:szCs w:val="18"/>
              </w:rPr>
              <w:t>Ref</w:t>
            </w:r>
          </w:p>
        </w:tc>
        <w:tc>
          <w:tcPr>
            <w:tcW w:w="1985" w:type="dxa"/>
            <w:vAlign w:val="center"/>
          </w:tcPr>
          <w:p w14:paraId="69BB62B5" w14:textId="6176571C" w:rsidR="00924C12" w:rsidRPr="00CB7E46" w:rsidRDefault="00924C12" w:rsidP="00170723">
            <w:pPr>
              <w:pStyle w:val="BodyText"/>
              <w:jc w:val="center"/>
              <w:rPr>
                <w:b/>
                <w:bCs/>
                <w:sz w:val="18"/>
                <w:szCs w:val="18"/>
              </w:rPr>
            </w:pPr>
            <w:r w:rsidRPr="00CB7E46">
              <w:rPr>
                <w:b/>
                <w:bCs/>
                <w:sz w:val="18"/>
                <w:szCs w:val="18"/>
              </w:rPr>
              <w:t>Requirement Type</w:t>
            </w:r>
          </w:p>
        </w:tc>
        <w:tc>
          <w:tcPr>
            <w:tcW w:w="9639" w:type="dxa"/>
            <w:vAlign w:val="center"/>
          </w:tcPr>
          <w:p w14:paraId="49570629" w14:textId="7C179A35" w:rsidR="00924C12" w:rsidRPr="00CB7E46" w:rsidRDefault="00924C12" w:rsidP="00170723">
            <w:pPr>
              <w:pStyle w:val="BodyText"/>
              <w:jc w:val="center"/>
              <w:rPr>
                <w:b/>
                <w:bCs/>
                <w:sz w:val="18"/>
                <w:szCs w:val="18"/>
              </w:rPr>
            </w:pPr>
            <w:r w:rsidRPr="00CB7E46">
              <w:rPr>
                <w:b/>
                <w:bCs/>
                <w:sz w:val="18"/>
                <w:szCs w:val="18"/>
              </w:rPr>
              <w:t>Requirement Description</w:t>
            </w:r>
          </w:p>
        </w:tc>
        <w:tc>
          <w:tcPr>
            <w:tcW w:w="1842" w:type="dxa"/>
            <w:vAlign w:val="center"/>
          </w:tcPr>
          <w:p w14:paraId="53A2CA60" w14:textId="163C723D" w:rsidR="00924C12" w:rsidRPr="00CB7E46" w:rsidRDefault="00924C12" w:rsidP="00170723">
            <w:pPr>
              <w:pStyle w:val="BodyText"/>
              <w:jc w:val="center"/>
              <w:rPr>
                <w:b/>
                <w:bCs/>
                <w:sz w:val="18"/>
                <w:szCs w:val="18"/>
              </w:rPr>
            </w:pPr>
            <w:r w:rsidRPr="00CB7E46">
              <w:rPr>
                <w:b/>
                <w:bCs/>
                <w:sz w:val="18"/>
                <w:szCs w:val="18"/>
              </w:rPr>
              <w:t>Priority (Essential / Desirable)</w:t>
            </w:r>
          </w:p>
        </w:tc>
      </w:tr>
      <w:tr w:rsidR="00924C12" w:rsidRPr="00CB7E46" w14:paraId="5BA3DE30" w14:textId="77777777" w:rsidTr="00704175">
        <w:tc>
          <w:tcPr>
            <w:tcW w:w="704" w:type="dxa"/>
          </w:tcPr>
          <w:p w14:paraId="0EF60382" w14:textId="6D1C2950" w:rsidR="00924C12" w:rsidRPr="00CB7E46" w:rsidRDefault="000B34B3" w:rsidP="00CA4765">
            <w:pPr>
              <w:pStyle w:val="BodyText"/>
              <w:rPr>
                <w:sz w:val="18"/>
                <w:szCs w:val="18"/>
              </w:rPr>
            </w:pPr>
            <w:r w:rsidRPr="00CB7E46">
              <w:rPr>
                <w:szCs w:val="16"/>
              </w:rPr>
              <w:t>1.1</w:t>
            </w:r>
          </w:p>
        </w:tc>
        <w:tc>
          <w:tcPr>
            <w:tcW w:w="1985" w:type="dxa"/>
          </w:tcPr>
          <w:p w14:paraId="5A486418" w14:textId="1FCA3FF4" w:rsidR="00924C12" w:rsidRPr="00CB7E46" w:rsidRDefault="00924C12" w:rsidP="00CA4765">
            <w:pPr>
              <w:pStyle w:val="BodyText"/>
              <w:rPr>
                <w:b/>
                <w:bCs/>
                <w:sz w:val="18"/>
                <w:szCs w:val="18"/>
              </w:rPr>
            </w:pPr>
            <w:r w:rsidRPr="00CB7E46">
              <w:t>Systems and Hosting</w:t>
            </w:r>
          </w:p>
        </w:tc>
        <w:tc>
          <w:tcPr>
            <w:tcW w:w="9639" w:type="dxa"/>
          </w:tcPr>
          <w:p w14:paraId="5B02B737" w14:textId="62EFB973" w:rsidR="00924C12" w:rsidRPr="00CB7E46" w:rsidRDefault="00924C12" w:rsidP="00CA4765">
            <w:pPr>
              <w:pStyle w:val="BodyText"/>
              <w:rPr>
                <w:b/>
                <w:bCs/>
                <w:sz w:val="18"/>
                <w:szCs w:val="18"/>
              </w:rPr>
            </w:pPr>
            <w:r w:rsidRPr="00CB7E46">
              <w:t>P</w:t>
            </w:r>
            <w:r w:rsidRPr="00CB7E46">
              <w:rPr>
                <w:rFonts w:hint="eastAsia"/>
              </w:rPr>
              <w:t>rovide a secure, cloud-based environment that can be accesse</w:t>
            </w:r>
            <w:r w:rsidRPr="00CB7E46">
              <w:t>d</w:t>
            </w:r>
            <w:r w:rsidRPr="00CB7E46">
              <w:rPr>
                <w:rFonts w:hint="eastAsia"/>
              </w:rPr>
              <w:t xml:space="preserve"> through standard browsers without the need for specialist software</w:t>
            </w:r>
            <w:r w:rsidR="0058703C" w:rsidRPr="00CB7E46">
              <w:t xml:space="preserve"> </w:t>
            </w:r>
            <w:r w:rsidR="00395D0F" w:rsidRPr="00CB7E46">
              <w:t>with a potential need to host data on site from the outset or in the future</w:t>
            </w:r>
          </w:p>
        </w:tc>
        <w:tc>
          <w:tcPr>
            <w:tcW w:w="1842" w:type="dxa"/>
          </w:tcPr>
          <w:p w14:paraId="0EF15704" w14:textId="16DA0EDD" w:rsidR="00924C12" w:rsidRPr="00CB7E46" w:rsidRDefault="004E655F" w:rsidP="00DC6385">
            <w:pPr>
              <w:pStyle w:val="BodyText"/>
              <w:jc w:val="center"/>
              <w:rPr>
                <w:b/>
                <w:bCs/>
                <w:sz w:val="18"/>
                <w:szCs w:val="18"/>
              </w:rPr>
            </w:pPr>
            <w:r w:rsidRPr="00CB7E46">
              <w:rPr>
                <w:sz w:val="18"/>
                <w:szCs w:val="18"/>
              </w:rPr>
              <w:t>Essential</w:t>
            </w:r>
          </w:p>
        </w:tc>
      </w:tr>
      <w:tr w:rsidR="006A30E4" w:rsidRPr="00CB7E46" w14:paraId="51FBF8E3" w14:textId="77777777" w:rsidTr="00704175">
        <w:tc>
          <w:tcPr>
            <w:tcW w:w="704" w:type="dxa"/>
          </w:tcPr>
          <w:p w14:paraId="388FB7F2" w14:textId="6FC6CC3D" w:rsidR="006A30E4" w:rsidRPr="00CB7E46" w:rsidRDefault="000B34B3" w:rsidP="006A30E4">
            <w:pPr>
              <w:pStyle w:val="BodyText"/>
            </w:pPr>
            <w:r w:rsidRPr="00CB7E46">
              <w:t>1.2</w:t>
            </w:r>
          </w:p>
        </w:tc>
        <w:tc>
          <w:tcPr>
            <w:tcW w:w="1985" w:type="dxa"/>
          </w:tcPr>
          <w:p w14:paraId="760128AB" w14:textId="2D042578" w:rsidR="006A30E4" w:rsidRPr="00CB7E46" w:rsidRDefault="006A30E4" w:rsidP="006A30E4">
            <w:pPr>
              <w:pStyle w:val="BodyText"/>
            </w:pPr>
            <w:r w:rsidRPr="00CB7E46">
              <w:t>Systems and Hosting</w:t>
            </w:r>
          </w:p>
        </w:tc>
        <w:tc>
          <w:tcPr>
            <w:tcW w:w="9639" w:type="dxa"/>
          </w:tcPr>
          <w:p w14:paraId="2EAC5A5E" w14:textId="33ADD598" w:rsidR="006A30E4" w:rsidRPr="00CB7E46" w:rsidRDefault="006A30E4" w:rsidP="006A30E4">
            <w:pPr>
              <w:pStyle w:val="BodyText"/>
            </w:pPr>
            <w:r w:rsidRPr="00CB7E46">
              <w:t>Maintain 24-hour availability with backup capability</w:t>
            </w:r>
          </w:p>
        </w:tc>
        <w:tc>
          <w:tcPr>
            <w:tcW w:w="1842" w:type="dxa"/>
          </w:tcPr>
          <w:p w14:paraId="7C9096F4" w14:textId="24BA431E" w:rsidR="006A30E4" w:rsidRPr="00CB7E46" w:rsidRDefault="006A30E4" w:rsidP="00DC6385">
            <w:pPr>
              <w:pStyle w:val="BodyText"/>
              <w:jc w:val="center"/>
            </w:pPr>
            <w:r w:rsidRPr="00CB7E46">
              <w:rPr>
                <w:sz w:val="18"/>
                <w:szCs w:val="18"/>
              </w:rPr>
              <w:t>Essential</w:t>
            </w:r>
          </w:p>
        </w:tc>
      </w:tr>
      <w:tr w:rsidR="006A30E4" w:rsidRPr="00CB7E46" w14:paraId="4DEF4E30" w14:textId="77777777" w:rsidTr="001D1174">
        <w:trPr>
          <w:trHeight w:val="179"/>
        </w:trPr>
        <w:tc>
          <w:tcPr>
            <w:tcW w:w="704" w:type="dxa"/>
          </w:tcPr>
          <w:p w14:paraId="4A880C2F" w14:textId="68EEE64A" w:rsidR="006A30E4" w:rsidRPr="00CB7E46" w:rsidRDefault="000B34B3" w:rsidP="006A30E4">
            <w:pPr>
              <w:pStyle w:val="BodyText"/>
            </w:pPr>
            <w:r w:rsidRPr="00CB7E46">
              <w:t>1.3</w:t>
            </w:r>
          </w:p>
        </w:tc>
        <w:tc>
          <w:tcPr>
            <w:tcW w:w="1985" w:type="dxa"/>
          </w:tcPr>
          <w:p w14:paraId="34708E57" w14:textId="131E3E6B" w:rsidR="006A30E4" w:rsidRPr="00CB7E46" w:rsidRDefault="006A30E4" w:rsidP="006A30E4">
            <w:pPr>
              <w:pStyle w:val="BodyText"/>
            </w:pPr>
            <w:r w:rsidRPr="00CB7E46">
              <w:t>Systems and Hosting</w:t>
            </w:r>
          </w:p>
        </w:tc>
        <w:tc>
          <w:tcPr>
            <w:tcW w:w="9639" w:type="dxa"/>
          </w:tcPr>
          <w:p w14:paraId="24D42441" w14:textId="05559BA9" w:rsidR="006A30E4" w:rsidRPr="00CB7E46" w:rsidRDefault="006A30E4" w:rsidP="006A30E4">
            <w:pPr>
              <w:pStyle w:val="BodyText"/>
            </w:pPr>
            <w:r w:rsidRPr="00CB7E46">
              <w:t>Operate on infrastructure located within the U</w:t>
            </w:r>
            <w:r w:rsidR="00FE7C29" w:rsidRPr="00CB7E46">
              <w:t>K with UK standards</w:t>
            </w:r>
          </w:p>
        </w:tc>
        <w:tc>
          <w:tcPr>
            <w:tcW w:w="1842" w:type="dxa"/>
          </w:tcPr>
          <w:p w14:paraId="60483A3E" w14:textId="18AD8BC6" w:rsidR="006A30E4" w:rsidRPr="00CB7E46" w:rsidRDefault="006A30E4" w:rsidP="00DC6385">
            <w:pPr>
              <w:pStyle w:val="BodyText"/>
              <w:jc w:val="center"/>
            </w:pPr>
            <w:r w:rsidRPr="00CB7E46">
              <w:rPr>
                <w:sz w:val="18"/>
                <w:szCs w:val="18"/>
              </w:rPr>
              <w:t>Essential</w:t>
            </w:r>
          </w:p>
        </w:tc>
      </w:tr>
      <w:tr w:rsidR="006A30E4" w:rsidRPr="00CB7E46" w14:paraId="01C493FA" w14:textId="77777777" w:rsidTr="00704175">
        <w:tc>
          <w:tcPr>
            <w:tcW w:w="704" w:type="dxa"/>
          </w:tcPr>
          <w:p w14:paraId="70977654" w14:textId="1D8CC645" w:rsidR="006A30E4" w:rsidRPr="00CB7E46" w:rsidRDefault="000B34B3" w:rsidP="006A30E4">
            <w:pPr>
              <w:pStyle w:val="BodyText"/>
            </w:pPr>
            <w:r w:rsidRPr="00CB7E46">
              <w:t>1.4</w:t>
            </w:r>
          </w:p>
        </w:tc>
        <w:tc>
          <w:tcPr>
            <w:tcW w:w="1985" w:type="dxa"/>
          </w:tcPr>
          <w:p w14:paraId="71CB072D" w14:textId="0A4D4FD6" w:rsidR="006A30E4" w:rsidRPr="00CB7E46" w:rsidRDefault="006A30E4" w:rsidP="006A30E4">
            <w:pPr>
              <w:pStyle w:val="BodyText"/>
            </w:pPr>
            <w:r w:rsidRPr="00CB7E46">
              <w:t>Systems and Hosting</w:t>
            </w:r>
          </w:p>
        </w:tc>
        <w:tc>
          <w:tcPr>
            <w:tcW w:w="9639" w:type="dxa"/>
          </w:tcPr>
          <w:p w14:paraId="2D2F7516" w14:textId="14509A62" w:rsidR="006A30E4" w:rsidRPr="00CB7E46" w:rsidRDefault="006A30E4" w:rsidP="006A30E4">
            <w:pPr>
              <w:pStyle w:val="BodyText"/>
            </w:pPr>
            <w:r w:rsidRPr="00CB7E46">
              <w:t>Provide system performance suitable for large model and document datasets</w:t>
            </w:r>
          </w:p>
        </w:tc>
        <w:tc>
          <w:tcPr>
            <w:tcW w:w="1842" w:type="dxa"/>
          </w:tcPr>
          <w:p w14:paraId="7DA36E1F" w14:textId="54D7F568" w:rsidR="006A30E4" w:rsidRPr="00CB7E46" w:rsidRDefault="006A30E4" w:rsidP="00DC6385">
            <w:pPr>
              <w:pStyle w:val="BodyText"/>
              <w:jc w:val="center"/>
            </w:pPr>
            <w:r w:rsidRPr="00CB7E46">
              <w:rPr>
                <w:sz w:val="18"/>
                <w:szCs w:val="18"/>
              </w:rPr>
              <w:t>Essential</w:t>
            </w:r>
          </w:p>
        </w:tc>
      </w:tr>
      <w:tr w:rsidR="00D74A5E" w:rsidRPr="00CB7E46" w14:paraId="3469F5A7" w14:textId="77777777" w:rsidTr="00704175">
        <w:tc>
          <w:tcPr>
            <w:tcW w:w="704" w:type="dxa"/>
          </w:tcPr>
          <w:p w14:paraId="4761F91B" w14:textId="52D69599" w:rsidR="00D74A5E" w:rsidRPr="00CB7E46" w:rsidRDefault="000B34B3" w:rsidP="006A30E4">
            <w:pPr>
              <w:pStyle w:val="BodyText"/>
            </w:pPr>
            <w:r w:rsidRPr="00CB7E46">
              <w:t>1.5</w:t>
            </w:r>
          </w:p>
        </w:tc>
        <w:tc>
          <w:tcPr>
            <w:tcW w:w="1985" w:type="dxa"/>
          </w:tcPr>
          <w:p w14:paraId="149E4AB1" w14:textId="4809CDC2" w:rsidR="00D74A5E" w:rsidRPr="00CB7E46" w:rsidRDefault="00D74A5E" w:rsidP="006A30E4">
            <w:pPr>
              <w:pStyle w:val="BodyText"/>
            </w:pPr>
            <w:r w:rsidRPr="00CB7E46">
              <w:t>Systems and Hosting</w:t>
            </w:r>
          </w:p>
        </w:tc>
        <w:tc>
          <w:tcPr>
            <w:tcW w:w="9639" w:type="dxa"/>
          </w:tcPr>
          <w:p w14:paraId="17A41F87" w14:textId="793FB767" w:rsidR="00D74A5E" w:rsidRPr="00CB7E46" w:rsidRDefault="00720DD0" w:rsidP="006A30E4">
            <w:pPr>
              <w:pStyle w:val="BodyText"/>
            </w:pPr>
            <w:r w:rsidRPr="00CB7E46">
              <w:t>Provide mobile responsive access optimised for tablet devices</w:t>
            </w:r>
          </w:p>
        </w:tc>
        <w:tc>
          <w:tcPr>
            <w:tcW w:w="1842" w:type="dxa"/>
          </w:tcPr>
          <w:p w14:paraId="0E5A2C80" w14:textId="52603E28" w:rsidR="00D74A5E" w:rsidRPr="00CB7E46" w:rsidRDefault="00D74A5E" w:rsidP="00DC6385">
            <w:pPr>
              <w:pStyle w:val="BodyText"/>
              <w:jc w:val="center"/>
              <w:rPr>
                <w:sz w:val="18"/>
                <w:szCs w:val="18"/>
              </w:rPr>
            </w:pPr>
            <w:r w:rsidRPr="00CB7E46">
              <w:rPr>
                <w:sz w:val="18"/>
                <w:szCs w:val="18"/>
              </w:rPr>
              <w:t>Desirable</w:t>
            </w:r>
          </w:p>
        </w:tc>
      </w:tr>
      <w:tr w:rsidR="006A30E4" w:rsidRPr="00CB7E46" w14:paraId="5405699E" w14:textId="77777777" w:rsidTr="00704175">
        <w:tc>
          <w:tcPr>
            <w:tcW w:w="704" w:type="dxa"/>
          </w:tcPr>
          <w:p w14:paraId="6D6D82E8" w14:textId="07FC6F86" w:rsidR="006A30E4" w:rsidRPr="00CB7E46" w:rsidRDefault="000B34B3" w:rsidP="006A30E4">
            <w:pPr>
              <w:pStyle w:val="BodyText"/>
            </w:pPr>
            <w:r w:rsidRPr="00CB7E46">
              <w:t>2.1</w:t>
            </w:r>
          </w:p>
        </w:tc>
        <w:tc>
          <w:tcPr>
            <w:tcW w:w="1985" w:type="dxa"/>
          </w:tcPr>
          <w:p w14:paraId="50936097" w14:textId="4098FA9E" w:rsidR="006A30E4" w:rsidRPr="00CB7E46" w:rsidRDefault="006A30E4" w:rsidP="006A30E4">
            <w:pPr>
              <w:pStyle w:val="BodyText"/>
            </w:pPr>
            <w:r w:rsidRPr="00CB7E46">
              <w:t>Information Storage and Organisation</w:t>
            </w:r>
          </w:p>
        </w:tc>
        <w:tc>
          <w:tcPr>
            <w:tcW w:w="9639" w:type="dxa"/>
          </w:tcPr>
          <w:p w14:paraId="6CED304D" w14:textId="152B6D6A" w:rsidR="006A30E4" w:rsidRPr="00CB7E46" w:rsidRDefault="00911F37" w:rsidP="006A30E4">
            <w:pPr>
              <w:pStyle w:val="BodyText"/>
            </w:pPr>
            <w:r w:rsidRPr="00CB7E46">
              <w:t xml:space="preserve">Preserve every previous version with a full change history </w:t>
            </w:r>
            <w:r w:rsidR="00E848C6" w:rsidRPr="00CB7E46">
              <w:t>with date and time stamps etc</w:t>
            </w:r>
          </w:p>
        </w:tc>
        <w:tc>
          <w:tcPr>
            <w:tcW w:w="1842" w:type="dxa"/>
          </w:tcPr>
          <w:p w14:paraId="1D43FB1E" w14:textId="7BEE85BF" w:rsidR="006A30E4" w:rsidRPr="00CB7E46" w:rsidRDefault="006A30E4" w:rsidP="00DC6385">
            <w:pPr>
              <w:pStyle w:val="BodyText"/>
              <w:jc w:val="center"/>
            </w:pPr>
            <w:r w:rsidRPr="00CB7E46">
              <w:rPr>
                <w:sz w:val="18"/>
                <w:szCs w:val="18"/>
              </w:rPr>
              <w:t>Essential</w:t>
            </w:r>
          </w:p>
        </w:tc>
      </w:tr>
      <w:tr w:rsidR="006A30E4" w:rsidRPr="00CB7E46" w14:paraId="487CC95D" w14:textId="77777777" w:rsidTr="00704175">
        <w:tc>
          <w:tcPr>
            <w:tcW w:w="704" w:type="dxa"/>
          </w:tcPr>
          <w:p w14:paraId="6CF71F50" w14:textId="06AAD389" w:rsidR="006A30E4" w:rsidRPr="00CB7E46" w:rsidRDefault="000B34B3" w:rsidP="006A30E4">
            <w:pPr>
              <w:pStyle w:val="BodyText"/>
            </w:pPr>
            <w:r w:rsidRPr="00CB7E46">
              <w:t>2.2</w:t>
            </w:r>
          </w:p>
        </w:tc>
        <w:tc>
          <w:tcPr>
            <w:tcW w:w="1985" w:type="dxa"/>
          </w:tcPr>
          <w:p w14:paraId="5F7925D0" w14:textId="47D36573" w:rsidR="006A30E4" w:rsidRPr="00CB7E46" w:rsidRDefault="006A30E4" w:rsidP="006A30E4">
            <w:pPr>
              <w:pStyle w:val="BodyText"/>
            </w:pPr>
            <w:r w:rsidRPr="00CB7E46">
              <w:t>Information Storage and Organisation</w:t>
            </w:r>
          </w:p>
        </w:tc>
        <w:tc>
          <w:tcPr>
            <w:tcW w:w="9639" w:type="dxa"/>
          </w:tcPr>
          <w:p w14:paraId="0823F29B" w14:textId="4E3B9251" w:rsidR="006A30E4" w:rsidRPr="00CB7E46" w:rsidRDefault="006A30E4" w:rsidP="006A30E4">
            <w:pPr>
              <w:pStyle w:val="BodyText"/>
            </w:pPr>
            <w:r w:rsidRPr="00CB7E46">
              <w:t>Permit configuration and archive rules set by the Trust</w:t>
            </w:r>
          </w:p>
        </w:tc>
        <w:tc>
          <w:tcPr>
            <w:tcW w:w="1842" w:type="dxa"/>
          </w:tcPr>
          <w:p w14:paraId="661ED922" w14:textId="088DF0F8" w:rsidR="006A30E4" w:rsidRPr="00CB7E46" w:rsidRDefault="006A30E4" w:rsidP="00DC6385">
            <w:pPr>
              <w:pStyle w:val="BodyText"/>
              <w:jc w:val="center"/>
            </w:pPr>
            <w:r w:rsidRPr="00CB7E46">
              <w:rPr>
                <w:sz w:val="18"/>
                <w:szCs w:val="18"/>
              </w:rPr>
              <w:t>Essential</w:t>
            </w:r>
          </w:p>
        </w:tc>
      </w:tr>
      <w:tr w:rsidR="00D74A5E" w:rsidRPr="00CB7E46" w14:paraId="2FFE674B" w14:textId="77777777" w:rsidTr="00704175">
        <w:tc>
          <w:tcPr>
            <w:tcW w:w="704" w:type="dxa"/>
          </w:tcPr>
          <w:p w14:paraId="01FAF5F8" w14:textId="6A2262FC" w:rsidR="00D74A5E" w:rsidRPr="00CB7E46" w:rsidRDefault="000B34B3" w:rsidP="006A30E4">
            <w:pPr>
              <w:pStyle w:val="BodyText"/>
            </w:pPr>
            <w:r w:rsidRPr="00CB7E46">
              <w:t>2.3</w:t>
            </w:r>
          </w:p>
        </w:tc>
        <w:tc>
          <w:tcPr>
            <w:tcW w:w="1985" w:type="dxa"/>
          </w:tcPr>
          <w:p w14:paraId="13BAE278" w14:textId="0BA3A5DF" w:rsidR="00D74A5E" w:rsidRPr="00CB7E46" w:rsidRDefault="00D74A5E" w:rsidP="006A30E4">
            <w:pPr>
              <w:pStyle w:val="BodyText"/>
            </w:pPr>
            <w:r w:rsidRPr="00CB7E46">
              <w:t>Information Storage and Organisation</w:t>
            </w:r>
          </w:p>
        </w:tc>
        <w:tc>
          <w:tcPr>
            <w:tcW w:w="9639" w:type="dxa"/>
          </w:tcPr>
          <w:p w14:paraId="038ED1FE" w14:textId="6A105ED8" w:rsidR="00D74A5E" w:rsidRPr="00CB7E46" w:rsidRDefault="006350F4" w:rsidP="006A30E4">
            <w:pPr>
              <w:pStyle w:val="BodyText"/>
            </w:pPr>
            <w:r w:rsidRPr="00CB7E46">
              <w:t>Support automated tagging of documents and models using dataset rules</w:t>
            </w:r>
          </w:p>
        </w:tc>
        <w:tc>
          <w:tcPr>
            <w:tcW w:w="1842" w:type="dxa"/>
          </w:tcPr>
          <w:p w14:paraId="191AB0D4" w14:textId="24CAC020" w:rsidR="00D74A5E" w:rsidRPr="00CB7E46" w:rsidRDefault="00D74A5E" w:rsidP="00DC6385">
            <w:pPr>
              <w:pStyle w:val="BodyText"/>
              <w:jc w:val="center"/>
              <w:rPr>
                <w:sz w:val="18"/>
                <w:szCs w:val="18"/>
              </w:rPr>
            </w:pPr>
            <w:r w:rsidRPr="00CB7E46">
              <w:rPr>
                <w:sz w:val="18"/>
                <w:szCs w:val="18"/>
              </w:rPr>
              <w:t>Desirable</w:t>
            </w:r>
          </w:p>
        </w:tc>
      </w:tr>
      <w:tr w:rsidR="00D74A5E" w:rsidRPr="00CB7E46" w14:paraId="142A8DFB" w14:textId="77777777" w:rsidTr="00704175">
        <w:tc>
          <w:tcPr>
            <w:tcW w:w="704" w:type="dxa"/>
          </w:tcPr>
          <w:p w14:paraId="5A88A3E2" w14:textId="5FD7A9C8" w:rsidR="00D74A5E" w:rsidRPr="00CB7E46" w:rsidRDefault="000B34B3" w:rsidP="006A30E4">
            <w:pPr>
              <w:pStyle w:val="BodyText"/>
            </w:pPr>
            <w:r w:rsidRPr="00CB7E46">
              <w:t>2.4</w:t>
            </w:r>
          </w:p>
        </w:tc>
        <w:tc>
          <w:tcPr>
            <w:tcW w:w="1985" w:type="dxa"/>
          </w:tcPr>
          <w:p w14:paraId="47040678" w14:textId="201F1EB3" w:rsidR="00D74A5E" w:rsidRPr="00CB7E46" w:rsidRDefault="00D74A5E" w:rsidP="006A30E4">
            <w:pPr>
              <w:pStyle w:val="BodyText"/>
            </w:pPr>
            <w:r w:rsidRPr="00CB7E46">
              <w:t>Information Storage and Organisation</w:t>
            </w:r>
          </w:p>
        </w:tc>
        <w:tc>
          <w:tcPr>
            <w:tcW w:w="9639" w:type="dxa"/>
          </w:tcPr>
          <w:p w14:paraId="0078FC9E" w14:textId="7118D3B8" w:rsidR="00D74A5E" w:rsidRPr="00CB7E46" w:rsidRDefault="006350F4" w:rsidP="006A30E4">
            <w:pPr>
              <w:pStyle w:val="BodyText"/>
            </w:pPr>
            <w:r w:rsidRPr="00CB7E46">
              <w:t>Enable configurable retention schedules for different information t</w:t>
            </w:r>
            <w:r w:rsidR="00E01040" w:rsidRPr="00CB7E46">
              <w:t>ypes</w:t>
            </w:r>
          </w:p>
        </w:tc>
        <w:tc>
          <w:tcPr>
            <w:tcW w:w="1842" w:type="dxa"/>
          </w:tcPr>
          <w:p w14:paraId="3C7FF6C4" w14:textId="113953EF" w:rsidR="00D74A5E" w:rsidRPr="00CB7E46" w:rsidRDefault="00D74A5E" w:rsidP="00DC6385">
            <w:pPr>
              <w:pStyle w:val="BodyText"/>
              <w:jc w:val="center"/>
              <w:rPr>
                <w:sz w:val="18"/>
                <w:szCs w:val="18"/>
              </w:rPr>
            </w:pPr>
            <w:r w:rsidRPr="00CB7E46">
              <w:rPr>
                <w:sz w:val="18"/>
                <w:szCs w:val="18"/>
              </w:rPr>
              <w:t>Desirable</w:t>
            </w:r>
          </w:p>
        </w:tc>
      </w:tr>
      <w:tr w:rsidR="006A30E4" w:rsidRPr="00CB7E46" w14:paraId="1A6328B0" w14:textId="77777777" w:rsidTr="00704175">
        <w:tc>
          <w:tcPr>
            <w:tcW w:w="704" w:type="dxa"/>
          </w:tcPr>
          <w:p w14:paraId="66270E2A" w14:textId="023E770D" w:rsidR="006A30E4" w:rsidRPr="00CB7E46" w:rsidRDefault="00FF015D" w:rsidP="006A30E4">
            <w:pPr>
              <w:pStyle w:val="BodyText"/>
            </w:pPr>
            <w:r w:rsidRPr="00CB7E46">
              <w:t>3.1</w:t>
            </w:r>
          </w:p>
        </w:tc>
        <w:tc>
          <w:tcPr>
            <w:tcW w:w="1985" w:type="dxa"/>
          </w:tcPr>
          <w:p w14:paraId="0357563A" w14:textId="5F85A577" w:rsidR="006A30E4" w:rsidRPr="00CB7E46" w:rsidRDefault="006A30E4" w:rsidP="006A30E4">
            <w:pPr>
              <w:pStyle w:val="BodyText"/>
            </w:pPr>
            <w:r w:rsidRPr="00CB7E46">
              <w:t>Collaboration and Workflows</w:t>
            </w:r>
          </w:p>
        </w:tc>
        <w:tc>
          <w:tcPr>
            <w:tcW w:w="9639" w:type="dxa"/>
          </w:tcPr>
          <w:p w14:paraId="602C24EC" w14:textId="56251DE9" w:rsidR="006A30E4" w:rsidRPr="00CB7E46" w:rsidRDefault="006A30E4" w:rsidP="006A30E4">
            <w:pPr>
              <w:pStyle w:val="BodyText"/>
            </w:pPr>
            <w:r w:rsidRPr="00CB7E46">
              <w:t xml:space="preserve">Workflows for acceptance, validation, and publishing of verified information from the </w:t>
            </w:r>
            <w:r w:rsidR="0090554B" w:rsidRPr="00CB7E46">
              <w:t>P</w:t>
            </w:r>
            <w:r w:rsidRPr="00CB7E46">
              <w:t>roject CDE</w:t>
            </w:r>
            <w:r w:rsidR="001A6448" w:rsidRPr="00CB7E46">
              <w:t xml:space="preserve">, </w:t>
            </w:r>
            <w:r w:rsidR="00C015F9" w:rsidRPr="00CB7E46">
              <w:t xml:space="preserve">the </w:t>
            </w:r>
            <w:r w:rsidR="001A6448" w:rsidRPr="00CB7E46">
              <w:t>NHP CDE and</w:t>
            </w:r>
            <w:r w:rsidRPr="00CB7E46">
              <w:t xml:space="preserve"> </w:t>
            </w:r>
            <w:r w:rsidR="00C015F9" w:rsidRPr="00CB7E46">
              <w:t xml:space="preserve">the </w:t>
            </w:r>
            <w:r w:rsidR="0090554B" w:rsidRPr="00CB7E46">
              <w:t xml:space="preserve">Contractor CDE </w:t>
            </w:r>
            <w:r w:rsidRPr="00CB7E46">
              <w:t>into th</w:t>
            </w:r>
            <w:r w:rsidR="0090554B" w:rsidRPr="00CB7E46">
              <w:t>e</w:t>
            </w:r>
            <w:r w:rsidRPr="00CB7E46">
              <w:t xml:space="preserve"> CCDE</w:t>
            </w:r>
          </w:p>
        </w:tc>
        <w:tc>
          <w:tcPr>
            <w:tcW w:w="1842" w:type="dxa"/>
          </w:tcPr>
          <w:p w14:paraId="1891547E" w14:textId="486201E1" w:rsidR="006A30E4" w:rsidRPr="00CB7E46" w:rsidRDefault="006A30E4" w:rsidP="00DC6385">
            <w:pPr>
              <w:pStyle w:val="BodyText"/>
              <w:jc w:val="center"/>
            </w:pPr>
            <w:r w:rsidRPr="00CB7E46">
              <w:rPr>
                <w:sz w:val="18"/>
                <w:szCs w:val="18"/>
              </w:rPr>
              <w:t>Essential</w:t>
            </w:r>
          </w:p>
        </w:tc>
      </w:tr>
      <w:tr w:rsidR="006A30E4" w:rsidRPr="00CB7E46" w14:paraId="630C94EE" w14:textId="77777777" w:rsidTr="00704175">
        <w:tc>
          <w:tcPr>
            <w:tcW w:w="704" w:type="dxa"/>
          </w:tcPr>
          <w:p w14:paraId="6AA1B8F6" w14:textId="60DA93C0" w:rsidR="006A30E4" w:rsidRPr="00CB7E46" w:rsidRDefault="00FF015D" w:rsidP="006A30E4">
            <w:pPr>
              <w:pStyle w:val="BodyText"/>
            </w:pPr>
            <w:r w:rsidRPr="00CB7E46">
              <w:t>3.2</w:t>
            </w:r>
          </w:p>
        </w:tc>
        <w:tc>
          <w:tcPr>
            <w:tcW w:w="1985" w:type="dxa"/>
          </w:tcPr>
          <w:p w14:paraId="59419F3D" w14:textId="2529A6AA" w:rsidR="006A30E4" w:rsidRPr="00CB7E46" w:rsidRDefault="006A30E4" w:rsidP="006A30E4">
            <w:pPr>
              <w:pStyle w:val="BodyText"/>
            </w:pPr>
            <w:r w:rsidRPr="00CB7E46">
              <w:t>Collaboration and Workflows</w:t>
            </w:r>
          </w:p>
        </w:tc>
        <w:tc>
          <w:tcPr>
            <w:tcW w:w="9639" w:type="dxa"/>
          </w:tcPr>
          <w:p w14:paraId="616FA316" w14:textId="0B70F742" w:rsidR="006A30E4" w:rsidRPr="00CB7E46" w:rsidRDefault="00A40D45" w:rsidP="006A30E4">
            <w:pPr>
              <w:pStyle w:val="BodyText"/>
            </w:pPr>
            <w:r w:rsidRPr="00CB7E46">
              <w:t>Trigger automated notifications to relevant users at each workflow stage</w:t>
            </w:r>
          </w:p>
        </w:tc>
        <w:tc>
          <w:tcPr>
            <w:tcW w:w="1842" w:type="dxa"/>
          </w:tcPr>
          <w:p w14:paraId="12D07B08" w14:textId="72EEFFE2" w:rsidR="006A30E4" w:rsidRPr="00CB7E46" w:rsidRDefault="006A30E4" w:rsidP="00DC6385">
            <w:pPr>
              <w:pStyle w:val="BodyText"/>
              <w:jc w:val="center"/>
            </w:pPr>
            <w:r w:rsidRPr="00CB7E46">
              <w:rPr>
                <w:sz w:val="18"/>
                <w:szCs w:val="18"/>
              </w:rPr>
              <w:t>Essential</w:t>
            </w:r>
          </w:p>
        </w:tc>
      </w:tr>
      <w:tr w:rsidR="006A30E4" w:rsidRPr="00CB7E46" w14:paraId="6B85579D" w14:textId="77777777" w:rsidTr="00704175">
        <w:tc>
          <w:tcPr>
            <w:tcW w:w="704" w:type="dxa"/>
          </w:tcPr>
          <w:p w14:paraId="6B0CEDA1" w14:textId="231761C5" w:rsidR="006A30E4" w:rsidRPr="00CB7E46" w:rsidRDefault="00FF015D" w:rsidP="006A30E4">
            <w:pPr>
              <w:pStyle w:val="BodyText"/>
            </w:pPr>
            <w:r w:rsidRPr="00CB7E46">
              <w:t>3.3</w:t>
            </w:r>
          </w:p>
        </w:tc>
        <w:tc>
          <w:tcPr>
            <w:tcW w:w="1985" w:type="dxa"/>
          </w:tcPr>
          <w:p w14:paraId="6A051E1D" w14:textId="49EB98D4" w:rsidR="006A30E4" w:rsidRPr="00CB7E46" w:rsidRDefault="006A30E4" w:rsidP="006A30E4">
            <w:pPr>
              <w:pStyle w:val="BodyText"/>
            </w:pPr>
            <w:r w:rsidRPr="00CB7E46">
              <w:t>Collaboration and Workflows</w:t>
            </w:r>
          </w:p>
        </w:tc>
        <w:tc>
          <w:tcPr>
            <w:tcW w:w="9639" w:type="dxa"/>
          </w:tcPr>
          <w:p w14:paraId="6A602DF3" w14:textId="7E7E4088" w:rsidR="006A30E4" w:rsidRPr="00CB7E46" w:rsidRDefault="006A30E4" w:rsidP="006A30E4">
            <w:pPr>
              <w:pStyle w:val="BodyText"/>
            </w:pPr>
            <w:r w:rsidRPr="00CB7E46">
              <w:t>Support document transmittals and tracking of information transferred from project delivery environments</w:t>
            </w:r>
          </w:p>
        </w:tc>
        <w:tc>
          <w:tcPr>
            <w:tcW w:w="1842" w:type="dxa"/>
          </w:tcPr>
          <w:p w14:paraId="06CFC355" w14:textId="55DB7790" w:rsidR="006A30E4" w:rsidRPr="00CB7E46" w:rsidRDefault="006A30E4" w:rsidP="00DC6385">
            <w:pPr>
              <w:pStyle w:val="BodyText"/>
              <w:jc w:val="center"/>
            </w:pPr>
            <w:r w:rsidRPr="00CB7E46">
              <w:rPr>
                <w:sz w:val="18"/>
                <w:szCs w:val="18"/>
              </w:rPr>
              <w:t>Essential</w:t>
            </w:r>
          </w:p>
        </w:tc>
      </w:tr>
      <w:tr w:rsidR="00D74A5E" w:rsidRPr="00CB7E46" w14:paraId="2AE6C65D" w14:textId="77777777" w:rsidTr="00704175">
        <w:tc>
          <w:tcPr>
            <w:tcW w:w="704" w:type="dxa"/>
          </w:tcPr>
          <w:p w14:paraId="7A18F86A" w14:textId="4301581D" w:rsidR="00D74A5E" w:rsidRPr="00CB7E46" w:rsidRDefault="00FF015D" w:rsidP="006A30E4">
            <w:pPr>
              <w:pStyle w:val="BodyText"/>
            </w:pPr>
            <w:r w:rsidRPr="00CB7E46">
              <w:t>3.4</w:t>
            </w:r>
          </w:p>
        </w:tc>
        <w:tc>
          <w:tcPr>
            <w:tcW w:w="1985" w:type="dxa"/>
          </w:tcPr>
          <w:p w14:paraId="2AFEF312" w14:textId="786CCA33" w:rsidR="00D74A5E" w:rsidRPr="00CB7E46" w:rsidRDefault="00D74A5E" w:rsidP="006A30E4">
            <w:pPr>
              <w:pStyle w:val="BodyText"/>
            </w:pPr>
            <w:r w:rsidRPr="00CB7E46">
              <w:t>Collaboration and Workflows</w:t>
            </w:r>
          </w:p>
        </w:tc>
        <w:tc>
          <w:tcPr>
            <w:tcW w:w="9639" w:type="dxa"/>
          </w:tcPr>
          <w:p w14:paraId="11BFB70F" w14:textId="1FA4B07B" w:rsidR="00D74A5E" w:rsidRPr="00CB7E46" w:rsidRDefault="00990466" w:rsidP="006A30E4">
            <w:pPr>
              <w:pStyle w:val="BodyText"/>
            </w:pPr>
            <w:r w:rsidRPr="00CB7E46">
              <w:t>Enable configurable workflows to manage review, approval and publication of documents and models</w:t>
            </w:r>
          </w:p>
        </w:tc>
        <w:tc>
          <w:tcPr>
            <w:tcW w:w="1842" w:type="dxa"/>
          </w:tcPr>
          <w:p w14:paraId="02DE72CD" w14:textId="5F55B62A" w:rsidR="00D74A5E" w:rsidRPr="00CB7E46" w:rsidRDefault="00D74A5E" w:rsidP="00DC6385">
            <w:pPr>
              <w:pStyle w:val="BodyText"/>
              <w:jc w:val="center"/>
              <w:rPr>
                <w:sz w:val="18"/>
                <w:szCs w:val="18"/>
              </w:rPr>
            </w:pPr>
            <w:r w:rsidRPr="00CB7E46">
              <w:rPr>
                <w:sz w:val="18"/>
                <w:szCs w:val="18"/>
              </w:rPr>
              <w:t>Desirable</w:t>
            </w:r>
          </w:p>
        </w:tc>
      </w:tr>
      <w:tr w:rsidR="00D74A5E" w:rsidRPr="00CB7E46" w14:paraId="578F6297" w14:textId="77777777" w:rsidTr="00704175">
        <w:tc>
          <w:tcPr>
            <w:tcW w:w="704" w:type="dxa"/>
          </w:tcPr>
          <w:p w14:paraId="1DDF0B27" w14:textId="743C6311" w:rsidR="00D74A5E" w:rsidRPr="00CB7E46" w:rsidRDefault="00FF015D" w:rsidP="006A30E4">
            <w:pPr>
              <w:pStyle w:val="BodyText"/>
            </w:pPr>
            <w:r w:rsidRPr="00CB7E46">
              <w:lastRenderedPageBreak/>
              <w:t>3.5</w:t>
            </w:r>
          </w:p>
        </w:tc>
        <w:tc>
          <w:tcPr>
            <w:tcW w:w="1985" w:type="dxa"/>
          </w:tcPr>
          <w:p w14:paraId="10BB9A15" w14:textId="009606BC" w:rsidR="00D74A5E" w:rsidRPr="00CB7E46" w:rsidRDefault="00D74A5E" w:rsidP="006A30E4">
            <w:pPr>
              <w:pStyle w:val="BodyText"/>
            </w:pPr>
            <w:r w:rsidRPr="00CB7E46">
              <w:t>Collaboration and Workflows</w:t>
            </w:r>
          </w:p>
        </w:tc>
        <w:tc>
          <w:tcPr>
            <w:tcW w:w="9639" w:type="dxa"/>
          </w:tcPr>
          <w:p w14:paraId="0812D2FA" w14:textId="27CCC1A3" w:rsidR="00D74A5E" w:rsidRPr="00CB7E46" w:rsidRDefault="00D0435B" w:rsidP="006A30E4">
            <w:pPr>
              <w:pStyle w:val="BodyText"/>
            </w:pPr>
            <w:r w:rsidRPr="00CB7E46">
              <w:t>Support user comments, issue-raising, and task closure tracking on files or models.</w:t>
            </w:r>
          </w:p>
        </w:tc>
        <w:tc>
          <w:tcPr>
            <w:tcW w:w="1842" w:type="dxa"/>
          </w:tcPr>
          <w:p w14:paraId="55346EE6" w14:textId="763A47E4" w:rsidR="00D74A5E" w:rsidRPr="00CB7E46" w:rsidRDefault="00D74A5E" w:rsidP="00DC6385">
            <w:pPr>
              <w:pStyle w:val="BodyText"/>
              <w:jc w:val="center"/>
              <w:rPr>
                <w:sz w:val="18"/>
                <w:szCs w:val="18"/>
              </w:rPr>
            </w:pPr>
            <w:r w:rsidRPr="00CB7E46">
              <w:rPr>
                <w:sz w:val="18"/>
                <w:szCs w:val="18"/>
              </w:rPr>
              <w:t>Desirable</w:t>
            </w:r>
          </w:p>
        </w:tc>
      </w:tr>
      <w:tr w:rsidR="00454C14" w:rsidRPr="00CB7E46" w14:paraId="5D226D8C" w14:textId="77777777" w:rsidTr="00704175">
        <w:tc>
          <w:tcPr>
            <w:tcW w:w="704" w:type="dxa"/>
          </w:tcPr>
          <w:p w14:paraId="6C7A1DB6" w14:textId="78B289B1" w:rsidR="00454C14" w:rsidRPr="00CB7E46" w:rsidRDefault="00454C14" w:rsidP="006A30E4">
            <w:pPr>
              <w:pStyle w:val="BodyText"/>
            </w:pPr>
            <w:r w:rsidRPr="00CB7E46">
              <w:t>3.6</w:t>
            </w:r>
          </w:p>
        </w:tc>
        <w:tc>
          <w:tcPr>
            <w:tcW w:w="1985" w:type="dxa"/>
          </w:tcPr>
          <w:p w14:paraId="23D2BE2A" w14:textId="1C4B0264" w:rsidR="00454C14" w:rsidRPr="00CB7E46" w:rsidRDefault="00454C14" w:rsidP="006A30E4">
            <w:pPr>
              <w:pStyle w:val="BodyText"/>
            </w:pPr>
            <w:r w:rsidRPr="00CB7E46">
              <w:t>Collaboration and Workflows</w:t>
            </w:r>
          </w:p>
        </w:tc>
        <w:tc>
          <w:tcPr>
            <w:tcW w:w="9639" w:type="dxa"/>
          </w:tcPr>
          <w:p w14:paraId="66D60C39" w14:textId="22208C63" w:rsidR="00454C14" w:rsidRPr="00CB7E46" w:rsidRDefault="00CC314E" w:rsidP="006A30E4">
            <w:pPr>
              <w:pStyle w:val="BodyText"/>
            </w:pPr>
            <w:r w:rsidRPr="00CB7E46">
              <w:t>Record all workflow actions with timestamps and user credentials for traceability</w:t>
            </w:r>
          </w:p>
        </w:tc>
        <w:tc>
          <w:tcPr>
            <w:tcW w:w="1842" w:type="dxa"/>
          </w:tcPr>
          <w:p w14:paraId="3C9FE509" w14:textId="004B2174" w:rsidR="00454C14" w:rsidRPr="00CB7E46" w:rsidRDefault="00CC314E" w:rsidP="00DC6385">
            <w:pPr>
              <w:pStyle w:val="BodyText"/>
              <w:jc w:val="center"/>
              <w:rPr>
                <w:sz w:val="18"/>
                <w:szCs w:val="18"/>
              </w:rPr>
            </w:pPr>
            <w:r w:rsidRPr="00CB7E46">
              <w:rPr>
                <w:sz w:val="18"/>
                <w:szCs w:val="18"/>
              </w:rPr>
              <w:t>Essential</w:t>
            </w:r>
          </w:p>
        </w:tc>
      </w:tr>
      <w:tr w:rsidR="0065371D" w:rsidRPr="00CB7E46" w14:paraId="30BAA4AB" w14:textId="77777777" w:rsidTr="00704175">
        <w:tc>
          <w:tcPr>
            <w:tcW w:w="704" w:type="dxa"/>
          </w:tcPr>
          <w:p w14:paraId="589BA37D" w14:textId="5268173D" w:rsidR="0065371D" w:rsidRPr="00CB7E46" w:rsidRDefault="0065371D" w:rsidP="0065371D">
            <w:pPr>
              <w:pStyle w:val="BodyText"/>
            </w:pPr>
            <w:r w:rsidRPr="00CB7E46">
              <w:t>3.7</w:t>
            </w:r>
          </w:p>
        </w:tc>
        <w:tc>
          <w:tcPr>
            <w:tcW w:w="1985" w:type="dxa"/>
          </w:tcPr>
          <w:p w14:paraId="65DBE25A" w14:textId="3E3C8B13" w:rsidR="0065371D" w:rsidRPr="00CB7E46" w:rsidRDefault="0065371D" w:rsidP="0065371D">
            <w:pPr>
              <w:pStyle w:val="BodyText"/>
            </w:pPr>
            <w:r w:rsidRPr="00CB7E46">
              <w:t>Collaboration and Workflows</w:t>
            </w:r>
          </w:p>
        </w:tc>
        <w:tc>
          <w:tcPr>
            <w:tcW w:w="9639" w:type="dxa"/>
          </w:tcPr>
          <w:p w14:paraId="3F877EC5" w14:textId="7EA64055" w:rsidR="0065371D" w:rsidRPr="00CB7E46" w:rsidRDefault="0065371D" w:rsidP="0065371D">
            <w:pPr>
              <w:pStyle w:val="BodyText"/>
            </w:pPr>
            <w:r w:rsidRPr="00CB7E46">
              <w:t>Workflow defined to move files after approval through Work-in-Progress, Shared, Published, and Archived states</w:t>
            </w:r>
          </w:p>
        </w:tc>
        <w:tc>
          <w:tcPr>
            <w:tcW w:w="1842" w:type="dxa"/>
          </w:tcPr>
          <w:p w14:paraId="4C1730DE" w14:textId="6B191FFB" w:rsidR="0065371D" w:rsidRPr="00CB7E46" w:rsidRDefault="0065371D" w:rsidP="0065371D">
            <w:pPr>
              <w:pStyle w:val="BodyText"/>
              <w:jc w:val="center"/>
              <w:rPr>
                <w:sz w:val="18"/>
                <w:szCs w:val="18"/>
              </w:rPr>
            </w:pPr>
            <w:r w:rsidRPr="00CB7E46">
              <w:rPr>
                <w:sz w:val="18"/>
                <w:szCs w:val="18"/>
              </w:rPr>
              <w:t>Essential</w:t>
            </w:r>
          </w:p>
        </w:tc>
      </w:tr>
      <w:tr w:rsidR="0065371D" w:rsidRPr="00CB7E46" w14:paraId="2E6EA901" w14:textId="77777777" w:rsidTr="00704175">
        <w:tc>
          <w:tcPr>
            <w:tcW w:w="704" w:type="dxa"/>
          </w:tcPr>
          <w:p w14:paraId="78A82FC2" w14:textId="79D7180B" w:rsidR="0065371D" w:rsidRPr="00CB7E46" w:rsidRDefault="0065371D" w:rsidP="0065371D">
            <w:pPr>
              <w:pStyle w:val="BodyText"/>
            </w:pPr>
            <w:r w:rsidRPr="00CB7E46">
              <w:t>4.1</w:t>
            </w:r>
          </w:p>
        </w:tc>
        <w:tc>
          <w:tcPr>
            <w:tcW w:w="1985" w:type="dxa"/>
          </w:tcPr>
          <w:p w14:paraId="673D2514" w14:textId="40DB34F5" w:rsidR="0065371D" w:rsidRPr="00CB7E46" w:rsidRDefault="0065371D" w:rsidP="0065371D">
            <w:pPr>
              <w:pStyle w:val="BodyText"/>
            </w:pPr>
            <w:r w:rsidRPr="00CB7E46">
              <w:t>Search, Reporting and Dashboards</w:t>
            </w:r>
          </w:p>
        </w:tc>
        <w:tc>
          <w:tcPr>
            <w:tcW w:w="9639" w:type="dxa"/>
          </w:tcPr>
          <w:p w14:paraId="1A4A293D" w14:textId="3677B1D4" w:rsidR="0065371D" w:rsidRPr="00CB7E46" w:rsidRDefault="0065371D" w:rsidP="0065371D">
            <w:pPr>
              <w:pStyle w:val="BodyText"/>
            </w:pPr>
            <w:r w:rsidRPr="00CB7E46">
              <w:t>Offer configurable metadata driven search and filtering across all stored information</w:t>
            </w:r>
          </w:p>
        </w:tc>
        <w:tc>
          <w:tcPr>
            <w:tcW w:w="1842" w:type="dxa"/>
          </w:tcPr>
          <w:p w14:paraId="2A1CD045" w14:textId="5F86AFE5" w:rsidR="0065371D" w:rsidRPr="00CB7E46" w:rsidRDefault="0065371D" w:rsidP="0065371D">
            <w:pPr>
              <w:pStyle w:val="BodyText"/>
              <w:jc w:val="center"/>
            </w:pPr>
            <w:r w:rsidRPr="00CB7E46">
              <w:rPr>
                <w:sz w:val="18"/>
                <w:szCs w:val="18"/>
              </w:rPr>
              <w:t>Essential</w:t>
            </w:r>
          </w:p>
        </w:tc>
      </w:tr>
      <w:tr w:rsidR="0065371D" w:rsidRPr="00CB7E46" w14:paraId="354C6363" w14:textId="77777777" w:rsidTr="00704175">
        <w:tc>
          <w:tcPr>
            <w:tcW w:w="704" w:type="dxa"/>
          </w:tcPr>
          <w:p w14:paraId="3776DB59" w14:textId="6F226B97" w:rsidR="0065371D" w:rsidRPr="00CB7E46" w:rsidRDefault="0065371D" w:rsidP="0065371D">
            <w:pPr>
              <w:pStyle w:val="BodyText"/>
            </w:pPr>
            <w:r w:rsidRPr="00CB7E46">
              <w:t>4.2</w:t>
            </w:r>
          </w:p>
        </w:tc>
        <w:tc>
          <w:tcPr>
            <w:tcW w:w="1985" w:type="dxa"/>
          </w:tcPr>
          <w:p w14:paraId="65C9C9E2" w14:textId="348B712C" w:rsidR="0065371D" w:rsidRPr="00CB7E46" w:rsidRDefault="0065371D" w:rsidP="0065371D">
            <w:pPr>
              <w:pStyle w:val="BodyText"/>
            </w:pPr>
            <w:r w:rsidRPr="00CB7E46">
              <w:t>Search, Reporting and Dashboards</w:t>
            </w:r>
          </w:p>
        </w:tc>
        <w:tc>
          <w:tcPr>
            <w:tcW w:w="9639" w:type="dxa"/>
          </w:tcPr>
          <w:p w14:paraId="4A8848C9" w14:textId="2F1EBFD8" w:rsidR="0065371D" w:rsidRPr="00CB7E46" w:rsidRDefault="0065371D" w:rsidP="0065371D">
            <w:pPr>
              <w:pStyle w:val="BodyText"/>
            </w:pPr>
            <w:r w:rsidRPr="00CB7E46">
              <w:t>Provide configurable dashboards summarising active workflows, delays, information status, approvals and outstanding actions</w:t>
            </w:r>
          </w:p>
        </w:tc>
        <w:tc>
          <w:tcPr>
            <w:tcW w:w="1842" w:type="dxa"/>
          </w:tcPr>
          <w:p w14:paraId="695D2474" w14:textId="4D16C333" w:rsidR="0065371D" w:rsidRPr="00CB7E46" w:rsidRDefault="0065371D" w:rsidP="0065371D">
            <w:pPr>
              <w:pStyle w:val="BodyText"/>
              <w:jc w:val="center"/>
            </w:pPr>
            <w:r w:rsidRPr="00CB7E46">
              <w:rPr>
                <w:sz w:val="18"/>
                <w:szCs w:val="18"/>
              </w:rPr>
              <w:t>Essential</w:t>
            </w:r>
          </w:p>
        </w:tc>
      </w:tr>
      <w:tr w:rsidR="0065371D" w:rsidRPr="00CB7E46" w14:paraId="5E21B8BE" w14:textId="77777777" w:rsidTr="00704175">
        <w:tc>
          <w:tcPr>
            <w:tcW w:w="704" w:type="dxa"/>
          </w:tcPr>
          <w:p w14:paraId="08174B63" w14:textId="5C0F7B52" w:rsidR="0065371D" w:rsidRPr="00CB7E46" w:rsidRDefault="0065371D" w:rsidP="0065371D">
            <w:pPr>
              <w:pStyle w:val="BodyText"/>
            </w:pPr>
            <w:r w:rsidRPr="00CB7E46">
              <w:t>4.3</w:t>
            </w:r>
          </w:p>
        </w:tc>
        <w:tc>
          <w:tcPr>
            <w:tcW w:w="1985" w:type="dxa"/>
          </w:tcPr>
          <w:p w14:paraId="00B3C06E" w14:textId="64817A7A" w:rsidR="0065371D" w:rsidRPr="00CB7E46" w:rsidRDefault="0065371D" w:rsidP="0065371D">
            <w:pPr>
              <w:pStyle w:val="BodyText"/>
            </w:pPr>
            <w:r w:rsidRPr="00CB7E46">
              <w:t>Search, Reporting and Dashboards</w:t>
            </w:r>
          </w:p>
        </w:tc>
        <w:tc>
          <w:tcPr>
            <w:tcW w:w="9639" w:type="dxa"/>
          </w:tcPr>
          <w:p w14:paraId="49925472" w14:textId="048B444A" w:rsidR="0065371D" w:rsidRPr="00CB7E46" w:rsidRDefault="0065371D" w:rsidP="0065371D">
            <w:pPr>
              <w:pStyle w:val="BodyText"/>
            </w:pPr>
            <w:r w:rsidRPr="00CB7E46">
              <w:t xml:space="preserve">Enable power BI reporting and export of reports to common formats </w:t>
            </w:r>
          </w:p>
        </w:tc>
        <w:tc>
          <w:tcPr>
            <w:tcW w:w="1842" w:type="dxa"/>
          </w:tcPr>
          <w:p w14:paraId="0DBE71D5" w14:textId="7D4B61A7" w:rsidR="0065371D" w:rsidRPr="00CB7E46" w:rsidRDefault="0065371D" w:rsidP="0065371D">
            <w:pPr>
              <w:pStyle w:val="BodyText"/>
              <w:jc w:val="center"/>
            </w:pPr>
            <w:r w:rsidRPr="00CB7E46">
              <w:rPr>
                <w:sz w:val="18"/>
                <w:szCs w:val="18"/>
              </w:rPr>
              <w:t>Essential</w:t>
            </w:r>
          </w:p>
        </w:tc>
      </w:tr>
      <w:tr w:rsidR="0065371D" w:rsidRPr="00CB7E46" w14:paraId="26CFBF10" w14:textId="77777777" w:rsidTr="00704175">
        <w:tc>
          <w:tcPr>
            <w:tcW w:w="704" w:type="dxa"/>
          </w:tcPr>
          <w:p w14:paraId="28560393" w14:textId="6C573C50" w:rsidR="0065371D" w:rsidRPr="00CB7E46" w:rsidRDefault="0065371D" w:rsidP="0065371D">
            <w:pPr>
              <w:pStyle w:val="BodyText"/>
            </w:pPr>
            <w:r w:rsidRPr="00CB7E46">
              <w:t>4.4</w:t>
            </w:r>
          </w:p>
        </w:tc>
        <w:tc>
          <w:tcPr>
            <w:tcW w:w="1985" w:type="dxa"/>
          </w:tcPr>
          <w:p w14:paraId="06D3DE78" w14:textId="4CC4EAA5" w:rsidR="0065371D" w:rsidRPr="00CB7E46" w:rsidRDefault="0065371D" w:rsidP="0065371D">
            <w:pPr>
              <w:pStyle w:val="BodyText"/>
            </w:pPr>
            <w:r w:rsidRPr="00CB7E46">
              <w:t>Search, Reporting and Dashboards</w:t>
            </w:r>
          </w:p>
        </w:tc>
        <w:tc>
          <w:tcPr>
            <w:tcW w:w="9639" w:type="dxa"/>
          </w:tcPr>
          <w:p w14:paraId="090A60B0" w14:textId="4221C15F" w:rsidR="0065371D" w:rsidRPr="00CB7E46" w:rsidRDefault="0065371D" w:rsidP="0065371D">
            <w:pPr>
              <w:pStyle w:val="BodyText"/>
            </w:pPr>
            <w:r w:rsidRPr="00CB7E46">
              <w:t>Support custom report creation</w:t>
            </w:r>
          </w:p>
        </w:tc>
        <w:tc>
          <w:tcPr>
            <w:tcW w:w="1842" w:type="dxa"/>
          </w:tcPr>
          <w:p w14:paraId="6E2BF12A" w14:textId="34E4DF7A" w:rsidR="0065371D" w:rsidRPr="00CB7E46" w:rsidRDefault="0065371D" w:rsidP="0065371D">
            <w:pPr>
              <w:pStyle w:val="BodyText"/>
              <w:jc w:val="center"/>
              <w:rPr>
                <w:sz w:val="18"/>
                <w:szCs w:val="18"/>
              </w:rPr>
            </w:pPr>
            <w:r w:rsidRPr="00CB7E46">
              <w:rPr>
                <w:sz w:val="18"/>
                <w:szCs w:val="18"/>
              </w:rPr>
              <w:t>Desirable</w:t>
            </w:r>
          </w:p>
        </w:tc>
      </w:tr>
      <w:tr w:rsidR="0065371D" w:rsidRPr="00CB7E46" w14:paraId="53C450D6" w14:textId="77777777" w:rsidTr="00704175">
        <w:tc>
          <w:tcPr>
            <w:tcW w:w="704" w:type="dxa"/>
          </w:tcPr>
          <w:p w14:paraId="59C64CAE" w14:textId="11E3A41E" w:rsidR="0065371D" w:rsidRPr="00CB7E46" w:rsidRDefault="0065371D" w:rsidP="0065371D">
            <w:pPr>
              <w:pStyle w:val="BodyText"/>
            </w:pPr>
            <w:r w:rsidRPr="00CB7E46">
              <w:t>4.5</w:t>
            </w:r>
          </w:p>
        </w:tc>
        <w:tc>
          <w:tcPr>
            <w:tcW w:w="1985" w:type="dxa"/>
          </w:tcPr>
          <w:p w14:paraId="27788322" w14:textId="396A96C1" w:rsidR="0065371D" w:rsidRPr="00CB7E46" w:rsidRDefault="0065371D" w:rsidP="0065371D">
            <w:pPr>
              <w:pStyle w:val="BodyText"/>
            </w:pPr>
            <w:r w:rsidRPr="00CB7E46">
              <w:t>Search, Reporting and Dashboards</w:t>
            </w:r>
          </w:p>
        </w:tc>
        <w:tc>
          <w:tcPr>
            <w:tcW w:w="9639" w:type="dxa"/>
          </w:tcPr>
          <w:p w14:paraId="554B739C" w14:textId="06A388BC" w:rsidR="0065371D" w:rsidRPr="00CB7E46" w:rsidRDefault="0065371D" w:rsidP="0065371D">
            <w:pPr>
              <w:pStyle w:val="BodyText"/>
            </w:pPr>
            <w:r w:rsidRPr="00CB7E46">
              <w:t>Enable scheduled automated report delivery by email or secure links</w:t>
            </w:r>
          </w:p>
        </w:tc>
        <w:tc>
          <w:tcPr>
            <w:tcW w:w="1842" w:type="dxa"/>
          </w:tcPr>
          <w:p w14:paraId="4A9F13B8" w14:textId="4B5E29A8" w:rsidR="0065371D" w:rsidRPr="00CB7E46" w:rsidRDefault="0065371D" w:rsidP="0065371D">
            <w:pPr>
              <w:pStyle w:val="BodyText"/>
              <w:jc w:val="center"/>
              <w:rPr>
                <w:sz w:val="18"/>
                <w:szCs w:val="18"/>
              </w:rPr>
            </w:pPr>
            <w:r w:rsidRPr="00CB7E46">
              <w:rPr>
                <w:sz w:val="18"/>
                <w:szCs w:val="18"/>
              </w:rPr>
              <w:t>Desirable</w:t>
            </w:r>
          </w:p>
        </w:tc>
      </w:tr>
      <w:tr w:rsidR="0065371D" w:rsidRPr="00CB7E46" w14:paraId="4C9CD2C0" w14:textId="77777777" w:rsidTr="00704175">
        <w:tc>
          <w:tcPr>
            <w:tcW w:w="704" w:type="dxa"/>
          </w:tcPr>
          <w:p w14:paraId="5C439E1A" w14:textId="1CBF71E4" w:rsidR="0065371D" w:rsidRPr="00CB7E46" w:rsidRDefault="0065371D" w:rsidP="0065371D">
            <w:pPr>
              <w:pStyle w:val="BodyText"/>
            </w:pPr>
            <w:r w:rsidRPr="00CB7E46">
              <w:t>5.1</w:t>
            </w:r>
          </w:p>
        </w:tc>
        <w:tc>
          <w:tcPr>
            <w:tcW w:w="1985" w:type="dxa"/>
          </w:tcPr>
          <w:p w14:paraId="2915450E" w14:textId="77CEE93A" w:rsidR="0065371D" w:rsidRPr="00CB7E46" w:rsidRDefault="0065371D" w:rsidP="0065371D">
            <w:pPr>
              <w:pStyle w:val="BodyText"/>
            </w:pPr>
            <w:r w:rsidRPr="00CB7E46">
              <w:t>File and Data Formats</w:t>
            </w:r>
          </w:p>
        </w:tc>
        <w:tc>
          <w:tcPr>
            <w:tcW w:w="9639" w:type="dxa"/>
          </w:tcPr>
          <w:p w14:paraId="170C19D6" w14:textId="67CDC28E" w:rsidR="0065371D" w:rsidRPr="00CB7E46" w:rsidRDefault="0065371D" w:rsidP="0065371D">
            <w:pPr>
              <w:pStyle w:val="BodyText"/>
            </w:pPr>
            <w:r w:rsidRPr="00CB7E46">
              <w:t>Accept and store open and proprietary file formats (IFC, COBie, PDF, DWG, RVT, XLSX and CSV)</w:t>
            </w:r>
          </w:p>
        </w:tc>
        <w:tc>
          <w:tcPr>
            <w:tcW w:w="1842" w:type="dxa"/>
          </w:tcPr>
          <w:p w14:paraId="4647D400" w14:textId="4FEE339C" w:rsidR="0065371D" w:rsidRPr="00CB7E46" w:rsidRDefault="0065371D" w:rsidP="0065371D">
            <w:pPr>
              <w:pStyle w:val="BodyText"/>
              <w:jc w:val="center"/>
            </w:pPr>
            <w:r w:rsidRPr="00CB7E46">
              <w:rPr>
                <w:sz w:val="18"/>
                <w:szCs w:val="18"/>
              </w:rPr>
              <w:t>Essential</w:t>
            </w:r>
          </w:p>
        </w:tc>
      </w:tr>
      <w:tr w:rsidR="0065371D" w:rsidRPr="00CB7E46" w14:paraId="78BDE570" w14:textId="77777777" w:rsidTr="00704175">
        <w:tc>
          <w:tcPr>
            <w:tcW w:w="704" w:type="dxa"/>
          </w:tcPr>
          <w:p w14:paraId="1EBDF133" w14:textId="5B0012DE" w:rsidR="0065371D" w:rsidRPr="00CB7E46" w:rsidRDefault="0065371D" w:rsidP="0065371D">
            <w:pPr>
              <w:pStyle w:val="BodyText"/>
            </w:pPr>
            <w:r w:rsidRPr="00CB7E46">
              <w:t>5.2</w:t>
            </w:r>
          </w:p>
        </w:tc>
        <w:tc>
          <w:tcPr>
            <w:tcW w:w="1985" w:type="dxa"/>
          </w:tcPr>
          <w:p w14:paraId="77DAF15D" w14:textId="57D64E54" w:rsidR="0065371D" w:rsidRPr="00CB7E46" w:rsidRDefault="0065371D" w:rsidP="0065371D">
            <w:pPr>
              <w:pStyle w:val="BodyText"/>
            </w:pPr>
            <w:r w:rsidRPr="00CB7E46">
              <w:t>File and Data Formats</w:t>
            </w:r>
          </w:p>
        </w:tc>
        <w:tc>
          <w:tcPr>
            <w:tcW w:w="9639" w:type="dxa"/>
          </w:tcPr>
          <w:p w14:paraId="7FE557B1" w14:textId="4DBA2636" w:rsidR="0065371D" w:rsidRPr="00CB7E46" w:rsidRDefault="0065371D" w:rsidP="0065371D">
            <w:pPr>
              <w:pStyle w:val="BodyText"/>
            </w:pPr>
            <w:r w:rsidRPr="00CB7E46">
              <w:t>Support file preview, version comparison and high-level clash detection within the platform</w:t>
            </w:r>
          </w:p>
        </w:tc>
        <w:tc>
          <w:tcPr>
            <w:tcW w:w="1842" w:type="dxa"/>
          </w:tcPr>
          <w:p w14:paraId="1C620DF3" w14:textId="003ECFE7" w:rsidR="0065371D" w:rsidRPr="00CB7E46" w:rsidRDefault="0065371D" w:rsidP="0065371D">
            <w:pPr>
              <w:pStyle w:val="BodyText"/>
              <w:jc w:val="center"/>
            </w:pPr>
            <w:r w:rsidRPr="00CB7E46">
              <w:rPr>
                <w:sz w:val="18"/>
                <w:szCs w:val="18"/>
              </w:rPr>
              <w:t>Essential</w:t>
            </w:r>
          </w:p>
        </w:tc>
      </w:tr>
      <w:tr w:rsidR="0065371D" w:rsidRPr="00CB7E46" w14:paraId="13E88B86" w14:textId="77777777" w:rsidTr="00704175">
        <w:tc>
          <w:tcPr>
            <w:tcW w:w="704" w:type="dxa"/>
          </w:tcPr>
          <w:p w14:paraId="384B4F07" w14:textId="7927A129" w:rsidR="0065371D" w:rsidRPr="00CB7E46" w:rsidRDefault="0065371D" w:rsidP="0065371D">
            <w:pPr>
              <w:pStyle w:val="BodyText"/>
            </w:pPr>
            <w:r w:rsidRPr="00CB7E46">
              <w:t>5.3</w:t>
            </w:r>
          </w:p>
        </w:tc>
        <w:tc>
          <w:tcPr>
            <w:tcW w:w="1985" w:type="dxa"/>
          </w:tcPr>
          <w:p w14:paraId="3C238F31" w14:textId="5387DAE2" w:rsidR="0065371D" w:rsidRPr="00CB7E46" w:rsidRDefault="0065371D" w:rsidP="0065371D">
            <w:pPr>
              <w:pStyle w:val="BodyText"/>
            </w:pPr>
            <w:r w:rsidRPr="00CB7E46">
              <w:t>File and Data Formats</w:t>
            </w:r>
          </w:p>
        </w:tc>
        <w:tc>
          <w:tcPr>
            <w:tcW w:w="9639" w:type="dxa"/>
          </w:tcPr>
          <w:p w14:paraId="1ABB13B1" w14:textId="2E87A13D" w:rsidR="0065371D" w:rsidRPr="00CB7E46" w:rsidRDefault="0065371D" w:rsidP="0065371D">
            <w:pPr>
              <w:pStyle w:val="BodyText"/>
            </w:pPr>
            <w:r w:rsidRPr="00CB7E46">
              <w:t>Allow bulk upload and bulk download of structured document sets</w:t>
            </w:r>
          </w:p>
        </w:tc>
        <w:tc>
          <w:tcPr>
            <w:tcW w:w="1842" w:type="dxa"/>
          </w:tcPr>
          <w:p w14:paraId="15EF2EF1" w14:textId="04BA776F" w:rsidR="0065371D" w:rsidRPr="00CB7E46" w:rsidRDefault="0065371D" w:rsidP="0065371D">
            <w:pPr>
              <w:pStyle w:val="BodyText"/>
              <w:jc w:val="center"/>
            </w:pPr>
            <w:r w:rsidRPr="00CB7E46">
              <w:rPr>
                <w:sz w:val="18"/>
                <w:szCs w:val="18"/>
              </w:rPr>
              <w:t>Essential</w:t>
            </w:r>
          </w:p>
        </w:tc>
      </w:tr>
      <w:tr w:rsidR="0065371D" w:rsidRPr="00CB7E46" w14:paraId="4F327F4B" w14:textId="77777777" w:rsidTr="00704175">
        <w:tc>
          <w:tcPr>
            <w:tcW w:w="704" w:type="dxa"/>
          </w:tcPr>
          <w:p w14:paraId="701325C2" w14:textId="0F67C806" w:rsidR="0065371D" w:rsidRPr="00CB7E46" w:rsidRDefault="0065371D" w:rsidP="0065371D">
            <w:pPr>
              <w:pStyle w:val="BodyText"/>
            </w:pPr>
            <w:r w:rsidRPr="00CB7E46">
              <w:t>5.4</w:t>
            </w:r>
          </w:p>
        </w:tc>
        <w:tc>
          <w:tcPr>
            <w:tcW w:w="1985" w:type="dxa"/>
          </w:tcPr>
          <w:p w14:paraId="299C82B5" w14:textId="38FE7B25" w:rsidR="0065371D" w:rsidRPr="00CB7E46" w:rsidRDefault="0065371D" w:rsidP="0065371D">
            <w:pPr>
              <w:pStyle w:val="BodyText"/>
            </w:pPr>
            <w:r w:rsidRPr="00CB7E46">
              <w:t>File and Data Formats</w:t>
            </w:r>
          </w:p>
        </w:tc>
        <w:tc>
          <w:tcPr>
            <w:tcW w:w="9639" w:type="dxa"/>
          </w:tcPr>
          <w:p w14:paraId="744F1DB6" w14:textId="353EA348" w:rsidR="0065371D" w:rsidRPr="00CB7E46" w:rsidRDefault="0065371D" w:rsidP="0065371D">
            <w:pPr>
              <w:pStyle w:val="BodyText"/>
            </w:pPr>
            <w:r w:rsidRPr="00CB7E46">
              <w:t>Provide model viewing with sectioning, measurements and annotation tools</w:t>
            </w:r>
          </w:p>
        </w:tc>
        <w:tc>
          <w:tcPr>
            <w:tcW w:w="1842" w:type="dxa"/>
          </w:tcPr>
          <w:p w14:paraId="1A33C5A8" w14:textId="7670DFCE" w:rsidR="0065371D" w:rsidRPr="00CB7E46" w:rsidRDefault="0065371D" w:rsidP="0065371D">
            <w:pPr>
              <w:pStyle w:val="BodyText"/>
              <w:jc w:val="center"/>
              <w:rPr>
                <w:sz w:val="18"/>
                <w:szCs w:val="18"/>
              </w:rPr>
            </w:pPr>
            <w:r w:rsidRPr="00CB7E46">
              <w:rPr>
                <w:sz w:val="18"/>
                <w:szCs w:val="18"/>
              </w:rPr>
              <w:t>Desirable</w:t>
            </w:r>
          </w:p>
        </w:tc>
      </w:tr>
      <w:tr w:rsidR="0065371D" w:rsidRPr="00CB7E46" w14:paraId="394AAC75" w14:textId="77777777" w:rsidTr="00704175">
        <w:tc>
          <w:tcPr>
            <w:tcW w:w="704" w:type="dxa"/>
          </w:tcPr>
          <w:p w14:paraId="266C63FE" w14:textId="5CC82B09" w:rsidR="0065371D" w:rsidRPr="00CB7E46" w:rsidRDefault="0065371D" w:rsidP="0065371D">
            <w:pPr>
              <w:pStyle w:val="BodyText"/>
            </w:pPr>
            <w:r w:rsidRPr="00CB7E46">
              <w:t>6.1</w:t>
            </w:r>
          </w:p>
        </w:tc>
        <w:tc>
          <w:tcPr>
            <w:tcW w:w="1985" w:type="dxa"/>
          </w:tcPr>
          <w:p w14:paraId="2744C278" w14:textId="4A7F6B66" w:rsidR="0065371D" w:rsidRPr="00CB7E46" w:rsidRDefault="0065371D" w:rsidP="0065371D">
            <w:pPr>
              <w:pStyle w:val="BodyText"/>
            </w:pPr>
            <w:r w:rsidRPr="00CB7E46">
              <w:t>Ownership and Access Control</w:t>
            </w:r>
          </w:p>
        </w:tc>
        <w:tc>
          <w:tcPr>
            <w:tcW w:w="9639" w:type="dxa"/>
          </w:tcPr>
          <w:p w14:paraId="5C3F885C" w14:textId="4E4B2288" w:rsidR="0065371D" w:rsidRPr="00CB7E46" w:rsidRDefault="0065371D" w:rsidP="0065371D">
            <w:pPr>
              <w:pStyle w:val="BodyText"/>
            </w:pPr>
            <w:r w:rsidRPr="00CB7E46">
              <w:t>Assign ultimate administrator rights to the Trust (CCDE supplier to be under an NDA)</w:t>
            </w:r>
          </w:p>
        </w:tc>
        <w:tc>
          <w:tcPr>
            <w:tcW w:w="1842" w:type="dxa"/>
          </w:tcPr>
          <w:p w14:paraId="0C5F263D" w14:textId="00849EBE" w:rsidR="0065371D" w:rsidRPr="00CB7E46" w:rsidRDefault="0065371D" w:rsidP="0065371D">
            <w:pPr>
              <w:pStyle w:val="BodyText"/>
              <w:jc w:val="center"/>
            </w:pPr>
            <w:r w:rsidRPr="00CB7E46">
              <w:rPr>
                <w:sz w:val="18"/>
                <w:szCs w:val="18"/>
              </w:rPr>
              <w:t>Essential</w:t>
            </w:r>
          </w:p>
        </w:tc>
      </w:tr>
      <w:tr w:rsidR="0065371D" w:rsidRPr="00CB7E46" w14:paraId="181ADFE9" w14:textId="77777777" w:rsidTr="00704175">
        <w:tc>
          <w:tcPr>
            <w:tcW w:w="704" w:type="dxa"/>
          </w:tcPr>
          <w:p w14:paraId="16B7346E" w14:textId="0CB37A14" w:rsidR="0065371D" w:rsidRPr="00CB7E46" w:rsidRDefault="0065371D" w:rsidP="0065371D">
            <w:pPr>
              <w:pStyle w:val="BodyText"/>
            </w:pPr>
            <w:r w:rsidRPr="00CB7E46">
              <w:t>6.2</w:t>
            </w:r>
          </w:p>
        </w:tc>
        <w:tc>
          <w:tcPr>
            <w:tcW w:w="1985" w:type="dxa"/>
          </w:tcPr>
          <w:p w14:paraId="0D6317DC" w14:textId="15480951" w:rsidR="0065371D" w:rsidRPr="00CB7E46" w:rsidRDefault="0065371D" w:rsidP="0065371D">
            <w:pPr>
              <w:pStyle w:val="BodyText"/>
            </w:pPr>
            <w:r w:rsidRPr="00CB7E46">
              <w:t>Ownership and Access Control</w:t>
            </w:r>
          </w:p>
        </w:tc>
        <w:tc>
          <w:tcPr>
            <w:tcW w:w="9639" w:type="dxa"/>
          </w:tcPr>
          <w:p w14:paraId="18C2E75D" w14:textId="24416AE4" w:rsidR="0065371D" w:rsidRPr="00CB7E46" w:rsidRDefault="0065371D" w:rsidP="0065371D">
            <w:pPr>
              <w:pStyle w:val="BodyText"/>
            </w:pPr>
            <w:r w:rsidRPr="00CB7E46">
              <w:t>Provide role-based access control that allow administrators to control access to folders and files based on project stage, user role, and Trust-defined permission sets</w:t>
            </w:r>
          </w:p>
        </w:tc>
        <w:tc>
          <w:tcPr>
            <w:tcW w:w="1842" w:type="dxa"/>
          </w:tcPr>
          <w:p w14:paraId="083298C1" w14:textId="7ACA9075" w:rsidR="0065371D" w:rsidRPr="00CB7E46" w:rsidRDefault="0065371D" w:rsidP="0065371D">
            <w:pPr>
              <w:pStyle w:val="BodyText"/>
              <w:jc w:val="center"/>
            </w:pPr>
            <w:r w:rsidRPr="00CB7E46">
              <w:rPr>
                <w:sz w:val="18"/>
                <w:szCs w:val="18"/>
              </w:rPr>
              <w:t>Essential</w:t>
            </w:r>
          </w:p>
        </w:tc>
      </w:tr>
      <w:tr w:rsidR="0065371D" w:rsidRPr="00CB7E46" w14:paraId="171C43B4" w14:textId="77777777" w:rsidTr="00704175">
        <w:tc>
          <w:tcPr>
            <w:tcW w:w="704" w:type="dxa"/>
          </w:tcPr>
          <w:p w14:paraId="0914D6E2" w14:textId="368D8508" w:rsidR="0065371D" w:rsidRPr="00CB7E46" w:rsidRDefault="0065371D" w:rsidP="0065371D">
            <w:pPr>
              <w:pStyle w:val="BodyText"/>
            </w:pPr>
            <w:r w:rsidRPr="00CB7E46">
              <w:t>6.3</w:t>
            </w:r>
          </w:p>
        </w:tc>
        <w:tc>
          <w:tcPr>
            <w:tcW w:w="1985" w:type="dxa"/>
          </w:tcPr>
          <w:p w14:paraId="7F844409" w14:textId="079A1310" w:rsidR="0065371D" w:rsidRPr="00CB7E46" w:rsidRDefault="0065371D" w:rsidP="0065371D">
            <w:pPr>
              <w:pStyle w:val="BodyText"/>
            </w:pPr>
            <w:r w:rsidRPr="00CB7E46">
              <w:t>Ownership and Access Control</w:t>
            </w:r>
          </w:p>
        </w:tc>
        <w:tc>
          <w:tcPr>
            <w:tcW w:w="9639" w:type="dxa"/>
          </w:tcPr>
          <w:p w14:paraId="108798EB" w14:textId="61AEC558" w:rsidR="0065371D" w:rsidRPr="00CB7E46" w:rsidRDefault="0065371D" w:rsidP="0065371D">
            <w:pPr>
              <w:pStyle w:val="BodyText"/>
            </w:pPr>
            <w:r w:rsidRPr="00CB7E46">
              <w:t>Log all user activity and access events (exact number of users TBC)</w:t>
            </w:r>
          </w:p>
        </w:tc>
        <w:tc>
          <w:tcPr>
            <w:tcW w:w="1842" w:type="dxa"/>
          </w:tcPr>
          <w:p w14:paraId="3D022A44" w14:textId="4814E3B0" w:rsidR="0065371D" w:rsidRPr="00CB7E46" w:rsidRDefault="0065371D" w:rsidP="0065371D">
            <w:pPr>
              <w:pStyle w:val="BodyText"/>
              <w:jc w:val="center"/>
            </w:pPr>
            <w:r w:rsidRPr="00CB7E46">
              <w:rPr>
                <w:sz w:val="18"/>
                <w:szCs w:val="18"/>
              </w:rPr>
              <w:t>Essential</w:t>
            </w:r>
          </w:p>
        </w:tc>
      </w:tr>
      <w:tr w:rsidR="0065371D" w:rsidRPr="00CB7E46" w14:paraId="235A9484" w14:textId="77777777" w:rsidTr="00704175">
        <w:tc>
          <w:tcPr>
            <w:tcW w:w="704" w:type="dxa"/>
          </w:tcPr>
          <w:p w14:paraId="3FB0A1D1" w14:textId="55745AB3" w:rsidR="0065371D" w:rsidRPr="00CB7E46" w:rsidRDefault="0065371D" w:rsidP="0065371D">
            <w:pPr>
              <w:pStyle w:val="BodyText"/>
            </w:pPr>
            <w:r w:rsidRPr="00CB7E46">
              <w:lastRenderedPageBreak/>
              <w:t>6.4</w:t>
            </w:r>
          </w:p>
        </w:tc>
        <w:tc>
          <w:tcPr>
            <w:tcW w:w="1985" w:type="dxa"/>
          </w:tcPr>
          <w:p w14:paraId="763CA1DE" w14:textId="2FB2F6D0" w:rsidR="0065371D" w:rsidRPr="00CB7E46" w:rsidRDefault="0065371D" w:rsidP="0065371D">
            <w:pPr>
              <w:pStyle w:val="BodyText"/>
            </w:pPr>
            <w:r w:rsidRPr="00CB7E46">
              <w:t>Ownership and Access Control</w:t>
            </w:r>
          </w:p>
        </w:tc>
        <w:tc>
          <w:tcPr>
            <w:tcW w:w="9639" w:type="dxa"/>
          </w:tcPr>
          <w:p w14:paraId="0F1AC4C7" w14:textId="28D15C00" w:rsidR="0065371D" w:rsidRPr="00CB7E46" w:rsidRDefault="0065371D" w:rsidP="0065371D">
            <w:pPr>
              <w:pStyle w:val="BodyText"/>
            </w:pPr>
            <w:r w:rsidRPr="00CB7E46">
              <w:t>Allow secure, time-limited access for external users such as contractors or FM providers.</w:t>
            </w:r>
          </w:p>
        </w:tc>
        <w:tc>
          <w:tcPr>
            <w:tcW w:w="1842" w:type="dxa"/>
          </w:tcPr>
          <w:p w14:paraId="10FBB4FA" w14:textId="2EB9C9A5" w:rsidR="0065371D" w:rsidRPr="00CB7E46" w:rsidRDefault="0065371D" w:rsidP="0065371D">
            <w:pPr>
              <w:pStyle w:val="BodyText"/>
              <w:jc w:val="center"/>
              <w:rPr>
                <w:sz w:val="18"/>
                <w:szCs w:val="18"/>
              </w:rPr>
            </w:pPr>
            <w:r w:rsidRPr="00CB7E46">
              <w:rPr>
                <w:sz w:val="18"/>
                <w:szCs w:val="18"/>
              </w:rPr>
              <w:t>Desirable</w:t>
            </w:r>
          </w:p>
        </w:tc>
      </w:tr>
      <w:tr w:rsidR="0065371D" w:rsidRPr="00CB7E46" w14:paraId="7C17D2DE" w14:textId="77777777" w:rsidTr="00704175">
        <w:tc>
          <w:tcPr>
            <w:tcW w:w="704" w:type="dxa"/>
          </w:tcPr>
          <w:p w14:paraId="6C469924" w14:textId="6C4B9104" w:rsidR="0065371D" w:rsidRPr="00CB7E46" w:rsidRDefault="0065371D" w:rsidP="0065371D">
            <w:pPr>
              <w:pStyle w:val="BodyText"/>
            </w:pPr>
            <w:r w:rsidRPr="00CB7E46">
              <w:t>6.5</w:t>
            </w:r>
          </w:p>
        </w:tc>
        <w:tc>
          <w:tcPr>
            <w:tcW w:w="1985" w:type="dxa"/>
          </w:tcPr>
          <w:p w14:paraId="6B6DDA82" w14:textId="7FB36293" w:rsidR="0065371D" w:rsidRPr="00CB7E46" w:rsidRDefault="0065371D" w:rsidP="0065371D">
            <w:pPr>
              <w:pStyle w:val="BodyText"/>
            </w:pPr>
            <w:r w:rsidRPr="00CB7E46">
              <w:t>Ownership and Access Control</w:t>
            </w:r>
          </w:p>
        </w:tc>
        <w:tc>
          <w:tcPr>
            <w:tcW w:w="9639" w:type="dxa"/>
          </w:tcPr>
          <w:p w14:paraId="7064A4BC" w14:textId="100734A6" w:rsidR="0065371D" w:rsidRPr="00CB7E46" w:rsidRDefault="0065371D" w:rsidP="0065371D">
            <w:pPr>
              <w:pStyle w:val="BodyText"/>
            </w:pPr>
            <w:r w:rsidRPr="00CB7E46">
              <w:t>Provide alerts for unusual access behaviour</w:t>
            </w:r>
          </w:p>
        </w:tc>
        <w:tc>
          <w:tcPr>
            <w:tcW w:w="1842" w:type="dxa"/>
          </w:tcPr>
          <w:p w14:paraId="6010B5B5" w14:textId="28797E2F" w:rsidR="0065371D" w:rsidRPr="00CB7E46" w:rsidRDefault="0065371D" w:rsidP="0065371D">
            <w:pPr>
              <w:pStyle w:val="BodyText"/>
              <w:jc w:val="center"/>
              <w:rPr>
                <w:sz w:val="18"/>
                <w:szCs w:val="18"/>
              </w:rPr>
            </w:pPr>
            <w:r w:rsidRPr="00CB7E46">
              <w:rPr>
                <w:sz w:val="18"/>
                <w:szCs w:val="18"/>
              </w:rPr>
              <w:t>Desirable</w:t>
            </w:r>
          </w:p>
        </w:tc>
      </w:tr>
      <w:tr w:rsidR="0065371D" w:rsidRPr="00CB7E46" w14:paraId="4DE3B6FA" w14:textId="77777777" w:rsidTr="00704175">
        <w:tc>
          <w:tcPr>
            <w:tcW w:w="704" w:type="dxa"/>
          </w:tcPr>
          <w:p w14:paraId="739A7FE9" w14:textId="0F6258A5" w:rsidR="0065371D" w:rsidRPr="00CB7E46" w:rsidRDefault="0065371D" w:rsidP="0065371D">
            <w:pPr>
              <w:pStyle w:val="BodyText"/>
            </w:pPr>
            <w:r w:rsidRPr="00CB7E46">
              <w:t>6.6</w:t>
            </w:r>
          </w:p>
        </w:tc>
        <w:tc>
          <w:tcPr>
            <w:tcW w:w="1985" w:type="dxa"/>
          </w:tcPr>
          <w:p w14:paraId="092A0156" w14:textId="0DD1E040" w:rsidR="0065371D" w:rsidRPr="00CB7E46" w:rsidRDefault="0065371D" w:rsidP="0065371D">
            <w:pPr>
              <w:pStyle w:val="BodyText"/>
            </w:pPr>
            <w:r w:rsidRPr="00CB7E46">
              <w:t>Ownership and Access Control</w:t>
            </w:r>
          </w:p>
        </w:tc>
        <w:tc>
          <w:tcPr>
            <w:tcW w:w="9639" w:type="dxa"/>
          </w:tcPr>
          <w:p w14:paraId="2B82051A" w14:textId="4C6306AF" w:rsidR="0065371D" w:rsidRPr="00CB7E46" w:rsidRDefault="0065371D" w:rsidP="0065371D">
            <w:pPr>
              <w:pStyle w:val="BodyText"/>
            </w:pPr>
            <w:r w:rsidRPr="00CB7E46">
              <w:t>Log all permission changes with time, user, and IP address for audit visibility</w:t>
            </w:r>
          </w:p>
        </w:tc>
        <w:tc>
          <w:tcPr>
            <w:tcW w:w="1842" w:type="dxa"/>
          </w:tcPr>
          <w:p w14:paraId="360A8D83" w14:textId="49D38D79" w:rsidR="0065371D" w:rsidRPr="00CB7E46" w:rsidRDefault="0065371D" w:rsidP="0065371D">
            <w:pPr>
              <w:pStyle w:val="BodyText"/>
              <w:jc w:val="center"/>
              <w:rPr>
                <w:sz w:val="18"/>
                <w:szCs w:val="18"/>
              </w:rPr>
            </w:pPr>
            <w:r w:rsidRPr="00CB7E46">
              <w:rPr>
                <w:sz w:val="18"/>
                <w:szCs w:val="18"/>
              </w:rPr>
              <w:t>Essential</w:t>
            </w:r>
          </w:p>
        </w:tc>
      </w:tr>
      <w:tr w:rsidR="00A04069" w:rsidRPr="00CB7E46" w14:paraId="55048DCC" w14:textId="77777777" w:rsidTr="00704175">
        <w:tc>
          <w:tcPr>
            <w:tcW w:w="704" w:type="dxa"/>
          </w:tcPr>
          <w:p w14:paraId="1F083254" w14:textId="07DD131C" w:rsidR="00A04069" w:rsidRPr="00CB7E46" w:rsidRDefault="00A04069" w:rsidP="00A04069">
            <w:pPr>
              <w:pStyle w:val="BodyText"/>
            </w:pPr>
            <w:r w:rsidRPr="00CB7E46">
              <w:t>6.7</w:t>
            </w:r>
          </w:p>
        </w:tc>
        <w:tc>
          <w:tcPr>
            <w:tcW w:w="1985" w:type="dxa"/>
          </w:tcPr>
          <w:p w14:paraId="187F80F5" w14:textId="320DC741" w:rsidR="00A04069" w:rsidRPr="00CB7E46" w:rsidRDefault="00A04069" w:rsidP="00A04069">
            <w:pPr>
              <w:pStyle w:val="BodyText"/>
            </w:pPr>
            <w:r w:rsidRPr="00CB7E46">
              <w:t>Ownership and Access Control</w:t>
            </w:r>
          </w:p>
        </w:tc>
        <w:tc>
          <w:tcPr>
            <w:tcW w:w="9639" w:type="dxa"/>
          </w:tcPr>
          <w:p w14:paraId="6E8300F5" w14:textId="70A73DDA" w:rsidR="00A04069" w:rsidRPr="00CB7E46" w:rsidRDefault="00A04069" w:rsidP="00A04069">
            <w:pPr>
              <w:pStyle w:val="BodyText"/>
            </w:pPr>
            <w:r w:rsidRPr="00CB7E46">
              <w:t>Allow Trust to define workflow stages, responsibilities and escalation rules for overdue actions</w:t>
            </w:r>
          </w:p>
        </w:tc>
        <w:tc>
          <w:tcPr>
            <w:tcW w:w="1842" w:type="dxa"/>
          </w:tcPr>
          <w:p w14:paraId="32C89B8F" w14:textId="4E2863D4" w:rsidR="00A04069" w:rsidRPr="00CB7E46" w:rsidRDefault="00A04069" w:rsidP="00A04069">
            <w:pPr>
              <w:pStyle w:val="BodyText"/>
              <w:jc w:val="center"/>
              <w:rPr>
                <w:sz w:val="18"/>
                <w:szCs w:val="18"/>
              </w:rPr>
            </w:pPr>
            <w:r w:rsidRPr="00CB7E46">
              <w:rPr>
                <w:sz w:val="18"/>
                <w:szCs w:val="18"/>
              </w:rPr>
              <w:t>Essential</w:t>
            </w:r>
          </w:p>
        </w:tc>
      </w:tr>
      <w:tr w:rsidR="00A04069" w:rsidRPr="00CB7E46" w14:paraId="3DDA9874" w14:textId="77777777" w:rsidTr="00704175">
        <w:tc>
          <w:tcPr>
            <w:tcW w:w="704" w:type="dxa"/>
          </w:tcPr>
          <w:p w14:paraId="7668148B" w14:textId="1582798C" w:rsidR="00A04069" w:rsidRPr="00CB7E46" w:rsidRDefault="00A04069" w:rsidP="00A04069">
            <w:pPr>
              <w:pStyle w:val="BodyText"/>
            </w:pPr>
            <w:r w:rsidRPr="00CB7E46">
              <w:t>7.1</w:t>
            </w:r>
          </w:p>
        </w:tc>
        <w:tc>
          <w:tcPr>
            <w:tcW w:w="1985" w:type="dxa"/>
          </w:tcPr>
          <w:p w14:paraId="11E90A2A" w14:textId="11EBE5FC" w:rsidR="00A04069" w:rsidRPr="00CB7E46" w:rsidRDefault="00A04069" w:rsidP="00A04069">
            <w:pPr>
              <w:pStyle w:val="BodyText"/>
            </w:pPr>
            <w:r w:rsidRPr="00CB7E46">
              <w:t>Audit and Traceability</w:t>
            </w:r>
          </w:p>
        </w:tc>
        <w:tc>
          <w:tcPr>
            <w:tcW w:w="9639" w:type="dxa"/>
          </w:tcPr>
          <w:p w14:paraId="5848B97F" w14:textId="22D1241C" w:rsidR="00A04069" w:rsidRPr="00CB7E46" w:rsidRDefault="00A04069" w:rsidP="00A04069">
            <w:pPr>
              <w:pStyle w:val="BodyText"/>
            </w:pPr>
            <w:r w:rsidRPr="00CB7E46">
              <w:t>Maintain a full audit trail of uploads, downloads, revisions, deletions, and comments</w:t>
            </w:r>
          </w:p>
        </w:tc>
        <w:tc>
          <w:tcPr>
            <w:tcW w:w="1842" w:type="dxa"/>
          </w:tcPr>
          <w:p w14:paraId="790131A6" w14:textId="646FC00F" w:rsidR="00A04069" w:rsidRPr="00CB7E46" w:rsidRDefault="00A04069" w:rsidP="00A04069">
            <w:pPr>
              <w:pStyle w:val="BodyText"/>
              <w:jc w:val="center"/>
            </w:pPr>
            <w:r w:rsidRPr="00CB7E46">
              <w:rPr>
                <w:sz w:val="18"/>
                <w:szCs w:val="18"/>
              </w:rPr>
              <w:t>Essential</w:t>
            </w:r>
          </w:p>
        </w:tc>
      </w:tr>
      <w:tr w:rsidR="00A04069" w:rsidRPr="00CB7E46" w14:paraId="37826CA9" w14:textId="77777777" w:rsidTr="00704175">
        <w:tc>
          <w:tcPr>
            <w:tcW w:w="704" w:type="dxa"/>
          </w:tcPr>
          <w:p w14:paraId="6B301E0F" w14:textId="563A4965" w:rsidR="00A04069" w:rsidRPr="00CB7E46" w:rsidRDefault="00A04069" w:rsidP="00A04069">
            <w:pPr>
              <w:pStyle w:val="BodyText"/>
            </w:pPr>
            <w:r w:rsidRPr="00CB7E46">
              <w:t>7.2</w:t>
            </w:r>
          </w:p>
        </w:tc>
        <w:tc>
          <w:tcPr>
            <w:tcW w:w="1985" w:type="dxa"/>
          </w:tcPr>
          <w:p w14:paraId="2FFE0FD9" w14:textId="21E2B1B1" w:rsidR="00A04069" w:rsidRPr="00CB7E46" w:rsidRDefault="00A04069" w:rsidP="00A04069">
            <w:pPr>
              <w:pStyle w:val="BodyText"/>
            </w:pPr>
            <w:r w:rsidRPr="00CB7E46">
              <w:t>Audit and Traceability</w:t>
            </w:r>
          </w:p>
        </w:tc>
        <w:tc>
          <w:tcPr>
            <w:tcW w:w="9639" w:type="dxa"/>
          </w:tcPr>
          <w:p w14:paraId="26BB09D0" w14:textId="622CB86C" w:rsidR="00A04069" w:rsidRPr="00CB7E46" w:rsidRDefault="00A04069" w:rsidP="00A04069">
            <w:pPr>
              <w:pStyle w:val="BodyText"/>
            </w:pPr>
            <w:r w:rsidRPr="00CB7E46">
              <w:t>Allow administrators to export the audit log filtered by user, date, or container</w:t>
            </w:r>
          </w:p>
        </w:tc>
        <w:tc>
          <w:tcPr>
            <w:tcW w:w="1842" w:type="dxa"/>
          </w:tcPr>
          <w:p w14:paraId="707444DB" w14:textId="2E27F995" w:rsidR="00A04069" w:rsidRPr="00CB7E46" w:rsidRDefault="00A04069" w:rsidP="00A04069">
            <w:pPr>
              <w:pStyle w:val="BodyText"/>
              <w:jc w:val="center"/>
            </w:pPr>
            <w:r w:rsidRPr="00CB7E46">
              <w:rPr>
                <w:sz w:val="18"/>
                <w:szCs w:val="18"/>
              </w:rPr>
              <w:t>Essential</w:t>
            </w:r>
          </w:p>
        </w:tc>
      </w:tr>
      <w:tr w:rsidR="00A04069" w:rsidRPr="00CB7E46" w14:paraId="3CA1547B" w14:textId="77777777" w:rsidTr="00704175">
        <w:tc>
          <w:tcPr>
            <w:tcW w:w="704" w:type="dxa"/>
          </w:tcPr>
          <w:p w14:paraId="6BD6BA4F" w14:textId="7359BD82" w:rsidR="00A04069" w:rsidRPr="00CB7E46" w:rsidRDefault="00A04069" w:rsidP="00A04069">
            <w:pPr>
              <w:pStyle w:val="BodyText"/>
            </w:pPr>
            <w:r w:rsidRPr="00CB7E46">
              <w:t>7.3</w:t>
            </w:r>
          </w:p>
        </w:tc>
        <w:tc>
          <w:tcPr>
            <w:tcW w:w="1985" w:type="dxa"/>
          </w:tcPr>
          <w:p w14:paraId="27B65D84" w14:textId="10C78F2C" w:rsidR="00A04069" w:rsidRPr="00CB7E46" w:rsidRDefault="00A04069" w:rsidP="00A04069">
            <w:pPr>
              <w:pStyle w:val="BodyText"/>
            </w:pPr>
            <w:r w:rsidRPr="00CB7E46">
              <w:t>Audit and Traceability</w:t>
            </w:r>
          </w:p>
        </w:tc>
        <w:tc>
          <w:tcPr>
            <w:tcW w:w="9639" w:type="dxa"/>
          </w:tcPr>
          <w:p w14:paraId="7D0C75BB" w14:textId="33375F70" w:rsidR="00A04069" w:rsidRPr="00CB7E46" w:rsidRDefault="00A04069" w:rsidP="00A04069">
            <w:pPr>
              <w:pStyle w:val="BodyText"/>
            </w:pPr>
            <w:r w:rsidRPr="00CB7E46">
              <w:t>Support periodic audits scheduling and reporting</w:t>
            </w:r>
          </w:p>
        </w:tc>
        <w:tc>
          <w:tcPr>
            <w:tcW w:w="1842" w:type="dxa"/>
          </w:tcPr>
          <w:p w14:paraId="620D8B2E" w14:textId="4E9EA5D1" w:rsidR="00A04069" w:rsidRPr="00CB7E46" w:rsidRDefault="00A04069" w:rsidP="00A04069">
            <w:pPr>
              <w:pStyle w:val="BodyText"/>
              <w:jc w:val="center"/>
            </w:pPr>
            <w:r w:rsidRPr="00CB7E46">
              <w:rPr>
                <w:sz w:val="18"/>
                <w:szCs w:val="18"/>
              </w:rPr>
              <w:t>Essential</w:t>
            </w:r>
          </w:p>
        </w:tc>
      </w:tr>
      <w:tr w:rsidR="00A04069" w:rsidRPr="00CB7E46" w14:paraId="65C2513B" w14:textId="77777777" w:rsidTr="00704175">
        <w:tc>
          <w:tcPr>
            <w:tcW w:w="704" w:type="dxa"/>
          </w:tcPr>
          <w:p w14:paraId="780E169F" w14:textId="23311029" w:rsidR="00A04069" w:rsidRPr="00CB7E46" w:rsidRDefault="00A04069" w:rsidP="00A04069">
            <w:pPr>
              <w:pStyle w:val="BodyText"/>
            </w:pPr>
            <w:r w:rsidRPr="00CB7E46">
              <w:t>7.4</w:t>
            </w:r>
          </w:p>
        </w:tc>
        <w:tc>
          <w:tcPr>
            <w:tcW w:w="1985" w:type="dxa"/>
          </w:tcPr>
          <w:p w14:paraId="4F86CFB7" w14:textId="17F71241" w:rsidR="00A04069" w:rsidRPr="00CB7E46" w:rsidRDefault="00A04069" w:rsidP="00A04069">
            <w:pPr>
              <w:pStyle w:val="BodyText"/>
            </w:pPr>
            <w:r w:rsidRPr="00CB7E46">
              <w:t>Audit and Traceability</w:t>
            </w:r>
          </w:p>
        </w:tc>
        <w:tc>
          <w:tcPr>
            <w:tcW w:w="9639" w:type="dxa"/>
          </w:tcPr>
          <w:p w14:paraId="01DB865C" w14:textId="32E615B1" w:rsidR="00A04069" w:rsidRPr="00CB7E46" w:rsidRDefault="00A04069" w:rsidP="00A04069">
            <w:pPr>
              <w:pStyle w:val="BodyText"/>
            </w:pPr>
            <w:r w:rsidRPr="00CB7E46">
              <w:t>Offer a visual dashboard to show completeness of required handover files by folder or asset category</w:t>
            </w:r>
          </w:p>
        </w:tc>
        <w:tc>
          <w:tcPr>
            <w:tcW w:w="1842" w:type="dxa"/>
          </w:tcPr>
          <w:p w14:paraId="5DBE39F5" w14:textId="165DBD89" w:rsidR="00A04069" w:rsidRPr="00CB7E46" w:rsidRDefault="00A04069" w:rsidP="00A04069">
            <w:pPr>
              <w:pStyle w:val="BodyText"/>
              <w:jc w:val="center"/>
              <w:rPr>
                <w:sz w:val="18"/>
                <w:szCs w:val="18"/>
              </w:rPr>
            </w:pPr>
            <w:r w:rsidRPr="00CB7E46">
              <w:rPr>
                <w:sz w:val="18"/>
                <w:szCs w:val="18"/>
              </w:rPr>
              <w:t>Desirable</w:t>
            </w:r>
          </w:p>
        </w:tc>
      </w:tr>
      <w:tr w:rsidR="00A04069" w:rsidRPr="00CB7E46" w14:paraId="7424C85D" w14:textId="77777777" w:rsidTr="00704175">
        <w:tc>
          <w:tcPr>
            <w:tcW w:w="704" w:type="dxa"/>
          </w:tcPr>
          <w:p w14:paraId="072D3BA8" w14:textId="7EFB4A4F" w:rsidR="00A04069" w:rsidRPr="00CB7E46" w:rsidRDefault="00A04069" w:rsidP="00A04069">
            <w:pPr>
              <w:pStyle w:val="BodyText"/>
            </w:pPr>
            <w:r w:rsidRPr="00CB7E46">
              <w:t>7.5</w:t>
            </w:r>
          </w:p>
        </w:tc>
        <w:tc>
          <w:tcPr>
            <w:tcW w:w="1985" w:type="dxa"/>
          </w:tcPr>
          <w:p w14:paraId="6D564371" w14:textId="1294BFE9" w:rsidR="00A04069" w:rsidRPr="00CB7E46" w:rsidRDefault="00A04069" w:rsidP="00A04069">
            <w:pPr>
              <w:pStyle w:val="BodyText"/>
            </w:pPr>
            <w:r w:rsidRPr="00CB7E46">
              <w:t>Audit and Traceability</w:t>
            </w:r>
          </w:p>
        </w:tc>
        <w:tc>
          <w:tcPr>
            <w:tcW w:w="9639" w:type="dxa"/>
          </w:tcPr>
          <w:p w14:paraId="216634B9" w14:textId="5C924F22" w:rsidR="00A04069" w:rsidRPr="00CB7E46" w:rsidRDefault="00A04069" w:rsidP="00A04069">
            <w:pPr>
              <w:pStyle w:val="BodyText"/>
            </w:pPr>
            <w:r w:rsidRPr="00CB7E46">
              <w:t>Create immutable project snapshots at RIBA Stage 6 for legal and operational use</w:t>
            </w:r>
          </w:p>
        </w:tc>
        <w:tc>
          <w:tcPr>
            <w:tcW w:w="1842" w:type="dxa"/>
          </w:tcPr>
          <w:p w14:paraId="69015B9F" w14:textId="12187CB8" w:rsidR="00A04069" w:rsidRPr="00CB7E46" w:rsidRDefault="00A04069" w:rsidP="00A04069">
            <w:pPr>
              <w:pStyle w:val="BodyText"/>
              <w:jc w:val="center"/>
              <w:rPr>
                <w:sz w:val="18"/>
                <w:szCs w:val="18"/>
              </w:rPr>
            </w:pPr>
            <w:r w:rsidRPr="00CB7E46">
              <w:rPr>
                <w:sz w:val="18"/>
                <w:szCs w:val="18"/>
              </w:rPr>
              <w:t>Essential</w:t>
            </w:r>
          </w:p>
        </w:tc>
      </w:tr>
      <w:tr w:rsidR="00A04069" w:rsidRPr="00CB7E46" w14:paraId="2EA2EBBA" w14:textId="77777777" w:rsidTr="00704175">
        <w:tc>
          <w:tcPr>
            <w:tcW w:w="704" w:type="dxa"/>
          </w:tcPr>
          <w:p w14:paraId="5B650957" w14:textId="7632AC0F" w:rsidR="00A04069" w:rsidRPr="00CB7E46" w:rsidRDefault="00A04069" w:rsidP="00A04069">
            <w:pPr>
              <w:pStyle w:val="BodyText"/>
            </w:pPr>
            <w:r w:rsidRPr="00CB7E46">
              <w:t>7.6</w:t>
            </w:r>
          </w:p>
        </w:tc>
        <w:tc>
          <w:tcPr>
            <w:tcW w:w="1985" w:type="dxa"/>
          </w:tcPr>
          <w:p w14:paraId="4E243089" w14:textId="39BB5649" w:rsidR="00A04069" w:rsidRPr="00CB7E46" w:rsidRDefault="00A04069" w:rsidP="00A04069">
            <w:pPr>
              <w:pStyle w:val="BodyText"/>
            </w:pPr>
            <w:r w:rsidRPr="00CB7E46">
              <w:t>Audit and Traceability</w:t>
            </w:r>
          </w:p>
        </w:tc>
        <w:tc>
          <w:tcPr>
            <w:tcW w:w="9639" w:type="dxa"/>
          </w:tcPr>
          <w:p w14:paraId="5D66E11E" w14:textId="561A53CB" w:rsidR="00A04069" w:rsidRPr="00CB7E46" w:rsidRDefault="00A04069" w:rsidP="00A04069">
            <w:pPr>
              <w:pStyle w:val="BodyText"/>
            </w:pPr>
            <w:r w:rsidRPr="00CB7E46">
              <w:t>Trigger automatic alerts when a contractor uploads a required handover package or a file fails validation</w:t>
            </w:r>
          </w:p>
        </w:tc>
        <w:tc>
          <w:tcPr>
            <w:tcW w:w="1842" w:type="dxa"/>
          </w:tcPr>
          <w:p w14:paraId="4ED72493" w14:textId="0CD207A4" w:rsidR="00A04069" w:rsidRPr="00CB7E46" w:rsidRDefault="00A04069" w:rsidP="00A04069">
            <w:pPr>
              <w:pStyle w:val="BodyText"/>
              <w:jc w:val="center"/>
              <w:rPr>
                <w:sz w:val="18"/>
                <w:szCs w:val="18"/>
              </w:rPr>
            </w:pPr>
            <w:r w:rsidRPr="00CB7E46">
              <w:rPr>
                <w:sz w:val="18"/>
                <w:szCs w:val="18"/>
              </w:rPr>
              <w:t>Desirable</w:t>
            </w:r>
          </w:p>
        </w:tc>
      </w:tr>
      <w:tr w:rsidR="00A04069" w:rsidRPr="00CB7E46" w14:paraId="5CD8FC91" w14:textId="77777777" w:rsidTr="00704175">
        <w:tc>
          <w:tcPr>
            <w:tcW w:w="704" w:type="dxa"/>
          </w:tcPr>
          <w:p w14:paraId="3EEE66C5" w14:textId="26ED1D74" w:rsidR="00A04069" w:rsidRPr="00CB7E46" w:rsidRDefault="00A04069" w:rsidP="00A04069">
            <w:pPr>
              <w:pStyle w:val="BodyText"/>
            </w:pPr>
            <w:r w:rsidRPr="00CB7E46">
              <w:t>7.7</w:t>
            </w:r>
          </w:p>
        </w:tc>
        <w:tc>
          <w:tcPr>
            <w:tcW w:w="1985" w:type="dxa"/>
          </w:tcPr>
          <w:p w14:paraId="5AE960D1" w14:textId="3E1B20DD" w:rsidR="00A04069" w:rsidRPr="00CB7E46" w:rsidRDefault="00A04069" w:rsidP="00A04069">
            <w:pPr>
              <w:pStyle w:val="BodyText"/>
            </w:pPr>
            <w:r w:rsidRPr="00CB7E46">
              <w:t>Audit and Traceability</w:t>
            </w:r>
          </w:p>
        </w:tc>
        <w:tc>
          <w:tcPr>
            <w:tcW w:w="9639" w:type="dxa"/>
          </w:tcPr>
          <w:p w14:paraId="4634162E" w14:textId="76D0BA32" w:rsidR="00A04069" w:rsidRPr="00CB7E46" w:rsidRDefault="00A04069" w:rsidP="00A04069">
            <w:pPr>
              <w:pStyle w:val="BodyText"/>
            </w:pPr>
            <w:r w:rsidRPr="00CB7E46">
              <w:t>Check all uploaded files against the EIR and AIR and provide rejection reason if validation fails</w:t>
            </w:r>
          </w:p>
        </w:tc>
        <w:tc>
          <w:tcPr>
            <w:tcW w:w="1842" w:type="dxa"/>
          </w:tcPr>
          <w:p w14:paraId="5743BDE6" w14:textId="1F8E1D76" w:rsidR="00A04069" w:rsidRPr="00CB7E46" w:rsidRDefault="00A04069" w:rsidP="00A04069">
            <w:pPr>
              <w:pStyle w:val="BodyText"/>
              <w:jc w:val="center"/>
              <w:rPr>
                <w:sz w:val="18"/>
                <w:szCs w:val="18"/>
              </w:rPr>
            </w:pPr>
            <w:r w:rsidRPr="00CB7E46">
              <w:rPr>
                <w:sz w:val="18"/>
                <w:szCs w:val="18"/>
              </w:rPr>
              <w:t>Desirable</w:t>
            </w:r>
          </w:p>
        </w:tc>
      </w:tr>
      <w:tr w:rsidR="00A04069" w:rsidRPr="00CB7E46" w14:paraId="6530CE5A" w14:textId="77777777" w:rsidTr="00704175">
        <w:tc>
          <w:tcPr>
            <w:tcW w:w="704" w:type="dxa"/>
          </w:tcPr>
          <w:p w14:paraId="16214DE4" w14:textId="12F80552" w:rsidR="00A04069" w:rsidRPr="00CB7E46" w:rsidRDefault="00A04069" w:rsidP="00A04069">
            <w:pPr>
              <w:pStyle w:val="BodyText"/>
            </w:pPr>
            <w:r w:rsidRPr="00CB7E46">
              <w:t>8.1</w:t>
            </w:r>
          </w:p>
        </w:tc>
        <w:tc>
          <w:tcPr>
            <w:tcW w:w="1985" w:type="dxa"/>
          </w:tcPr>
          <w:p w14:paraId="16B5E864" w14:textId="3D000E01" w:rsidR="00A04069" w:rsidRPr="00CB7E46" w:rsidRDefault="00A04069" w:rsidP="00A04069">
            <w:pPr>
              <w:pStyle w:val="BodyText"/>
            </w:pPr>
            <w:r w:rsidRPr="00CB7E46">
              <w:t>Security Standards</w:t>
            </w:r>
          </w:p>
        </w:tc>
        <w:tc>
          <w:tcPr>
            <w:tcW w:w="9639" w:type="dxa"/>
          </w:tcPr>
          <w:p w14:paraId="5BA0FF85" w14:textId="58379C43" w:rsidR="00A04069" w:rsidRPr="00CB7E46" w:rsidRDefault="00A04069" w:rsidP="00A04069">
            <w:pPr>
              <w:pStyle w:val="BodyText"/>
            </w:pPr>
            <w:r w:rsidRPr="00CB7E46">
              <w:t>The platform must be hosted on infrastructure certified to ISO/IEC 27001 or an equivalent recognised standard</w:t>
            </w:r>
          </w:p>
        </w:tc>
        <w:tc>
          <w:tcPr>
            <w:tcW w:w="1842" w:type="dxa"/>
          </w:tcPr>
          <w:p w14:paraId="4A777E30" w14:textId="374C10DA" w:rsidR="00A04069" w:rsidRPr="00CB7E46" w:rsidRDefault="00A04069" w:rsidP="00A04069">
            <w:pPr>
              <w:pStyle w:val="BodyText"/>
              <w:jc w:val="center"/>
            </w:pPr>
            <w:r w:rsidRPr="00CB7E46">
              <w:rPr>
                <w:sz w:val="18"/>
                <w:szCs w:val="18"/>
              </w:rPr>
              <w:t>Essential</w:t>
            </w:r>
          </w:p>
        </w:tc>
      </w:tr>
      <w:tr w:rsidR="00A04069" w:rsidRPr="00CB7E46" w14:paraId="4BE4C166" w14:textId="77777777" w:rsidTr="00704175">
        <w:tc>
          <w:tcPr>
            <w:tcW w:w="704" w:type="dxa"/>
          </w:tcPr>
          <w:p w14:paraId="631EDCEB" w14:textId="1CF0B570" w:rsidR="00A04069" w:rsidRPr="00CB7E46" w:rsidRDefault="00A04069" w:rsidP="00A04069">
            <w:pPr>
              <w:pStyle w:val="BodyText"/>
            </w:pPr>
            <w:r w:rsidRPr="00CB7E46">
              <w:t>8.2</w:t>
            </w:r>
          </w:p>
        </w:tc>
        <w:tc>
          <w:tcPr>
            <w:tcW w:w="1985" w:type="dxa"/>
          </w:tcPr>
          <w:p w14:paraId="320E1C28" w14:textId="46261D78" w:rsidR="00A04069" w:rsidRPr="00CB7E46" w:rsidRDefault="00A04069" w:rsidP="00A04069">
            <w:pPr>
              <w:pStyle w:val="BodyText"/>
            </w:pPr>
            <w:r w:rsidRPr="00CB7E46">
              <w:t>Security Standards</w:t>
            </w:r>
          </w:p>
        </w:tc>
        <w:tc>
          <w:tcPr>
            <w:tcW w:w="9639" w:type="dxa"/>
          </w:tcPr>
          <w:p w14:paraId="625AFCE0" w14:textId="6872A41C" w:rsidR="00A04069" w:rsidRPr="00CB7E46" w:rsidRDefault="00A04069" w:rsidP="00A04069">
            <w:pPr>
              <w:pStyle w:val="BodyText"/>
            </w:pPr>
            <w:r w:rsidRPr="00CB7E46">
              <w:t>The supplier must demonstrate compliance with NHS Data Security and Protection Toolkit</w:t>
            </w:r>
          </w:p>
        </w:tc>
        <w:tc>
          <w:tcPr>
            <w:tcW w:w="1842" w:type="dxa"/>
          </w:tcPr>
          <w:p w14:paraId="57A40F1D" w14:textId="7C2F516F" w:rsidR="00A04069" w:rsidRPr="00CB7E46" w:rsidRDefault="00A04069" w:rsidP="00A04069">
            <w:pPr>
              <w:pStyle w:val="BodyText"/>
              <w:jc w:val="center"/>
            </w:pPr>
            <w:r w:rsidRPr="00CB7E46">
              <w:rPr>
                <w:sz w:val="18"/>
                <w:szCs w:val="18"/>
              </w:rPr>
              <w:t>Essential</w:t>
            </w:r>
          </w:p>
        </w:tc>
      </w:tr>
      <w:tr w:rsidR="00A04069" w:rsidRPr="00CB7E46" w14:paraId="536F4F74" w14:textId="77777777" w:rsidTr="00704175">
        <w:tc>
          <w:tcPr>
            <w:tcW w:w="704" w:type="dxa"/>
          </w:tcPr>
          <w:p w14:paraId="4D86E224" w14:textId="796745AB" w:rsidR="00A04069" w:rsidRPr="00CB7E46" w:rsidRDefault="00A04069" w:rsidP="00A04069">
            <w:pPr>
              <w:pStyle w:val="BodyText"/>
            </w:pPr>
            <w:r w:rsidRPr="00CB7E46">
              <w:t>8.3</w:t>
            </w:r>
          </w:p>
        </w:tc>
        <w:tc>
          <w:tcPr>
            <w:tcW w:w="1985" w:type="dxa"/>
          </w:tcPr>
          <w:p w14:paraId="4A9E704B" w14:textId="3F456E05" w:rsidR="00A04069" w:rsidRPr="00CB7E46" w:rsidRDefault="00A04069" w:rsidP="00A04069">
            <w:pPr>
              <w:pStyle w:val="BodyText"/>
            </w:pPr>
            <w:r w:rsidRPr="00CB7E46">
              <w:t>Security Standards</w:t>
            </w:r>
          </w:p>
        </w:tc>
        <w:tc>
          <w:tcPr>
            <w:tcW w:w="9639" w:type="dxa"/>
          </w:tcPr>
          <w:p w14:paraId="3B46D8B2" w14:textId="110EA3FC" w:rsidR="00A04069" w:rsidRPr="00CB7E46" w:rsidRDefault="00A04069" w:rsidP="00A04069">
            <w:pPr>
              <w:pStyle w:val="BodyText"/>
            </w:pPr>
            <w:r w:rsidRPr="00CB7E46">
              <w:t>The CCDE must align with the principles of ISO 19650-5 for information security management</w:t>
            </w:r>
          </w:p>
        </w:tc>
        <w:tc>
          <w:tcPr>
            <w:tcW w:w="1842" w:type="dxa"/>
          </w:tcPr>
          <w:p w14:paraId="27F3EA46" w14:textId="3E541226" w:rsidR="00A04069" w:rsidRPr="00CB7E46" w:rsidRDefault="00A04069" w:rsidP="00A04069">
            <w:pPr>
              <w:pStyle w:val="BodyText"/>
              <w:jc w:val="center"/>
            </w:pPr>
            <w:r w:rsidRPr="00CB7E46">
              <w:rPr>
                <w:sz w:val="18"/>
                <w:szCs w:val="18"/>
              </w:rPr>
              <w:t>Essential</w:t>
            </w:r>
          </w:p>
        </w:tc>
      </w:tr>
      <w:tr w:rsidR="00A04069" w:rsidRPr="00CB7E46" w14:paraId="2CC2846A" w14:textId="77777777" w:rsidTr="00704175">
        <w:tc>
          <w:tcPr>
            <w:tcW w:w="704" w:type="dxa"/>
          </w:tcPr>
          <w:p w14:paraId="2DC09A56" w14:textId="11A3D50E" w:rsidR="00A04069" w:rsidRPr="00CB7E46" w:rsidRDefault="00A04069" w:rsidP="00A04069">
            <w:pPr>
              <w:pStyle w:val="BodyText"/>
            </w:pPr>
            <w:r w:rsidRPr="00CB7E46">
              <w:t>8.4</w:t>
            </w:r>
          </w:p>
        </w:tc>
        <w:tc>
          <w:tcPr>
            <w:tcW w:w="1985" w:type="dxa"/>
          </w:tcPr>
          <w:p w14:paraId="50ED996D" w14:textId="70C644A8" w:rsidR="00A04069" w:rsidRPr="00CB7E46" w:rsidRDefault="00A04069" w:rsidP="00A04069">
            <w:pPr>
              <w:pStyle w:val="BodyText"/>
            </w:pPr>
            <w:r w:rsidRPr="00CB7E46">
              <w:t>Security Standards</w:t>
            </w:r>
          </w:p>
        </w:tc>
        <w:tc>
          <w:tcPr>
            <w:tcW w:w="9639" w:type="dxa"/>
          </w:tcPr>
          <w:p w14:paraId="4623CFAD" w14:textId="77B6D829" w:rsidR="00A04069" w:rsidRPr="00CB7E46" w:rsidRDefault="00A04069" w:rsidP="00A04069">
            <w:pPr>
              <w:pStyle w:val="BodyText"/>
            </w:pPr>
            <w:r w:rsidRPr="00CB7E46">
              <w:t>The CCDE supplier must hold Cyber Essentials certificate</w:t>
            </w:r>
          </w:p>
        </w:tc>
        <w:tc>
          <w:tcPr>
            <w:tcW w:w="1842" w:type="dxa"/>
          </w:tcPr>
          <w:p w14:paraId="66E2FAF5" w14:textId="39BCC0C4" w:rsidR="00A04069" w:rsidRPr="00CB7E46" w:rsidRDefault="00A04069" w:rsidP="00A04069">
            <w:pPr>
              <w:pStyle w:val="BodyText"/>
              <w:jc w:val="center"/>
              <w:rPr>
                <w:sz w:val="18"/>
                <w:szCs w:val="18"/>
              </w:rPr>
            </w:pPr>
            <w:r w:rsidRPr="00CB7E46">
              <w:rPr>
                <w:sz w:val="18"/>
                <w:szCs w:val="18"/>
              </w:rPr>
              <w:t>Essential</w:t>
            </w:r>
          </w:p>
        </w:tc>
      </w:tr>
      <w:tr w:rsidR="00A04069" w:rsidRPr="00CB7E46" w14:paraId="5B15B7A9" w14:textId="77777777" w:rsidTr="00704175">
        <w:tc>
          <w:tcPr>
            <w:tcW w:w="704" w:type="dxa"/>
          </w:tcPr>
          <w:p w14:paraId="0B7C4885" w14:textId="5DE1F8FA" w:rsidR="00A04069" w:rsidRPr="00CB7E46" w:rsidRDefault="00A04069" w:rsidP="00A04069">
            <w:pPr>
              <w:pStyle w:val="BodyText"/>
            </w:pPr>
            <w:r w:rsidRPr="00CB7E46">
              <w:t>8.5</w:t>
            </w:r>
          </w:p>
        </w:tc>
        <w:tc>
          <w:tcPr>
            <w:tcW w:w="1985" w:type="dxa"/>
          </w:tcPr>
          <w:p w14:paraId="39F6DCAD" w14:textId="60DB3776" w:rsidR="00A04069" w:rsidRPr="00CB7E46" w:rsidRDefault="00A04069" w:rsidP="00A04069">
            <w:pPr>
              <w:pStyle w:val="BodyText"/>
            </w:pPr>
            <w:r w:rsidRPr="00CB7E46">
              <w:t>Security Standards</w:t>
            </w:r>
          </w:p>
        </w:tc>
        <w:tc>
          <w:tcPr>
            <w:tcW w:w="9639" w:type="dxa"/>
          </w:tcPr>
          <w:p w14:paraId="4E7CA1D4" w14:textId="420B9217" w:rsidR="00A04069" w:rsidRPr="00CB7E46" w:rsidRDefault="00A04069" w:rsidP="00A04069">
            <w:pPr>
              <w:pStyle w:val="BodyText"/>
            </w:pPr>
            <w:r w:rsidRPr="00CB7E46">
              <w:t>WCAG 2.1 AA accessibility</w:t>
            </w:r>
          </w:p>
        </w:tc>
        <w:tc>
          <w:tcPr>
            <w:tcW w:w="1842" w:type="dxa"/>
          </w:tcPr>
          <w:p w14:paraId="1E5918B6" w14:textId="58BBD3B9" w:rsidR="00A04069" w:rsidRPr="00CB7E46" w:rsidRDefault="00A04069" w:rsidP="00A04069">
            <w:pPr>
              <w:pStyle w:val="BodyText"/>
              <w:jc w:val="center"/>
              <w:rPr>
                <w:sz w:val="18"/>
                <w:szCs w:val="18"/>
              </w:rPr>
            </w:pPr>
            <w:r w:rsidRPr="00CB7E46">
              <w:rPr>
                <w:sz w:val="18"/>
                <w:szCs w:val="18"/>
              </w:rPr>
              <w:t>Essential</w:t>
            </w:r>
          </w:p>
        </w:tc>
      </w:tr>
      <w:tr w:rsidR="00A04069" w:rsidRPr="00CB7E46" w14:paraId="0398FCB0" w14:textId="77777777" w:rsidTr="00704175">
        <w:tc>
          <w:tcPr>
            <w:tcW w:w="704" w:type="dxa"/>
          </w:tcPr>
          <w:p w14:paraId="33EA8CC3" w14:textId="5EAC7FAE" w:rsidR="00A04069" w:rsidRPr="00CB7E46" w:rsidRDefault="00A04069" w:rsidP="00A04069">
            <w:pPr>
              <w:pStyle w:val="BodyText"/>
            </w:pPr>
            <w:r w:rsidRPr="00CB7E46">
              <w:t>9.1</w:t>
            </w:r>
          </w:p>
        </w:tc>
        <w:tc>
          <w:tcPr>
            <w:tcW w:w="1985" w:type="dxa"/>
          </w:tcPr>
          <w:p w14:paraId="4826EB9B" w14:textId="70D4C154" w:rsidR="00A04069" w:rsidRPr="00CB7E46" w:rsidRDefault="00A04069" w:rsidP="00A04069">
            <w:pPr>
              <w:pStyle w:val="BodyText"/>
            </w:pPr>
            <w:r w:rsidRPr="00CB7E46">
              <w:t>Access and Authentication</w:t>
            </w:r>
          </w:p>
        </w:tc>
        <w:tc>
          <w:tcPr>
            <w:tcW w:w="9639" w:type="dxa"/>
          </w:tcPr>
          <w:p w14:paraId="18298030" w14:textId="2E573AE4" w:rsidR="00A04069" w:rsidRPr="00CB7E46" w:rsidRDefault="00A04069" w:rsidP="00A04069">
            <w:pPr>
              <w:pStyle w:val="BodyText"/>
            </w:pPr>
            <w:r w:rsidRPr="00CB7E46">
              <w:t>Access must be controlled through user accounts linked to multi-factor authentication or single sign-on</w:t>
            </w:r>
          </w:p>
        </w:tc>
        <w:tc>
          <w:tcPr>
            <w:tcW w:w="1842" w:type="dxa"/>
          </w:tcPr>
          <w:p w14:paraId="0B2773FA" w14:textId="3A491B57" w:rsidR="00A04069" w:rsidRPr="00CB7E46" w:rsidRDefault="00A04069" w:rsidP="00A04069">
            <w:pPr>
              <w:pStyle w:val="BodyText"/>
              <w:jc w:val="center"/>
            </w:pPr>
            <w:r w:rsidRPr="00CB7E46">
              <w:rPr>
                <w:sz w:val="18"/>
                <w:szCs w:val="18"/>
              </w:rPr>
              <w:t>Essential</w:t>
            </w:r>
          </w:p>
        </w:tc>
      </w:tr>
      <w:tr w:rsidR="00A04069" w:rsidRPr="00CB7E46" w14:paraId="19BBA76E" w14:textId="77777777" w:rsidTr="00704175">
        <w:tc>
          <w:tcPr>
            <w:tcW w:w="704" w:type="dxa"/>
          </w:tcPr>
          <w:p w14:paraId="1E50E4BE" w14:textId="5BBE1428" w:rsidR="00A04069" w:rsidRPr="00CB7E46" w:rsidRDefault="00A04069" w:rsidP="00A04069">
            <w:pPr>
              <w:pStyle w:val="BodyText"/>
            </w:pPr>
            <w:r w:rsidRPr="00CB7E46">
              <w:lastRenderedPageBreak/>
              <w:t>9.</w:t>
            </w:r>
            <w:r w:rsidR="002963D0" w:rsidRPr="00CB7E46">
              <w:t>2</w:t>
            </w:r>
          </w:p>
        </w:tc>
        <w:tc>
          <w:tcPr>
            <w:tcW w:w="1985" w:type="dxa"/>
          </w:tcPr>
          <w:p w14:paraId="206403F3" w14:textId="6443F96D" w:rsidR="00A04069" w:rsidRPr="00CB7E46" w:rsidRDefault="00A04069" w:rsidP="00A04069">
            <w:pPr>
              <w:pStyle w:val="BodyText"/>
            </w:pPr>
            <w:r w:rsidRPr="00CB7E46">
              <w:t>Access and Authentication</w:t>
            </w:r>
          </w:p>
        </w:tc>
        <w:tc>
          <w:tcPr>
            <w:tcW w:w="9639" w:type="dxa"/>
          </w:tcPr>
          <w:p w14:paraId="37F83A39" w14:textId="0297A184" w:rsidR="00A04069" w:rsidRPr="00CB7E46" w:rsidRDefault="00A04069" w:rsidP="00A04069">
            <w:pPr>
              <w:pStyle w:val="BodyText"/>
            </w:pPr>
            <w:r w:rsidRPr="00CB7E46">
              <w:t>The system must support account deactivation when a user leaves the project or organisation</w:t>
            </w:r>
          </w:p>
        </w:tc>
        <w:tc>
          <w:tcPr>
            <w:tcW w:w="1842" w:type="dxa"/>
          </w:tcPr>
          <w:p w14:paraId="48DE7858" w14:textId="2A33CC1E" w:rsidR="00A04069" w:rsidRPr="00CB7E46" w:rsidRDefault="00A04069" w:rsidP="00A04069">
            <w:pPr>
              <w:pStyle w:val="BodyText"/>
              <w:jc w:val="center"/>
            </w:pPr>
            <w:r w:rsidRPr="00CB7E46">
              <w:rPr>
                <w:sz w:val="18"/>
                <w:szCs w:val="18"/>
              </w:rPr>
              <w:t>Essential</w:t>
            </w:r>
          </w:p>
        </w:tc>
      </w:tr>
      <w:tr w:rsidR="00A04069" w:rsidRPr="00CB7E46" w14:paraId="4489F597" w14:textId="77777777" w:rsidTr="00704175">
        <w:tc>
          <w:tcPr>
            <w:tcW w:w="704" w:type="dxa"/>
          </w:tcPr>
          <w:p w14:paraId="0173D9E1" w14:textId="62FCC3A1" w:rsidR="00A04069" w:rsidRPr="00CB7E46" w:rsidRDefault="00A04069" w:rsidP="00A04069">
            <w:pPr>
              <w:pStyle w:val="BodyText"/>
            </w:pPr>
            <w:r w:rsidRPr="00CB7E46">
              <w:t>9.</w:t>
            </w:r>
            <w:r w:rsidR="002963D0" w:rsidRPr="00CB7E46">
              <w:t>3</w:t>
            </w:r>
          </w:p>
        </w:tc>
        <w:tc>
          <w:tcPr>
            <w:tcW w:w="1985" w:type="dxa"/>
          </w:tcPr>
          <w:p w14:paraId="547A3619" w14:textId="1EC4A929" w:rsidR="00A04069" w:rsidRPr="00CB7E46" w:rsidRDefault="00A04069" w:rsidP="00A04069">
            <w:pPr>
              <w:pStyle w:val="BodyText"/>
            </w:pPr>
            <w:r w:rsidRPr="00CB7E46">
              <w:t>Access and Authentication</w:t>
            </w:r>
          </w:p>
        </w:tc>
        <w:tc>
          <w:tcPr>
            <w:tcW w:w="9639" w:type="dxa"/>
          </w:tcPr>
          <w:p w14:paraId="6F7A411C" w14:textId="0E1BED1E" w:rsidR="00A04069" w:rsidRPr="00CB7E46" w:rsidRDefault="00A04069" w:rsidP="00A04069">
            <w:pPr>
              <w:pStyle w:val="BodyText"/>
            </w:pPr>
            <w:r w:rsidRPr="00CB7E46">
              <w:t>The CCDE must record all login attempts, file changes and access events within a secure audit log</w:t>
            </w:r>
          </w:p>
        </w:tc>
        <w:tc>
          <w:tcPr>
            <w:tcW w:w="1842" w:type="dxa"/>
          </w:tcPr>
          <w:p w14:paraId="4020C748" w14:textId="202A5F3C" w:rsidR="00A04069" w:rsidRPr="00CB7E46" w:rsidRDefault="00A04069" w:rsidP="00A04069">
            <w:pPr>
              <w:pStyle w:val="BodyText"/>
              <w:jc w:val="center"/>
            </w:pPr>
            <w:r w:rsidRPr="00CB7E46">
              <w:rPr>
                <w:sz w:val="18"/>
                <w:szCs w:val="18"/>
              </w:rPr>
              <w:t>Essential</w:t>
            </w:r>
          </w:p>
        </w:tc>
      </w:tr>
      <w:tr w:rsidR="00A04069" w:rsidRPr="00CB7E46" w14:paraId="0616BA4A" w14:textId="77777777" w:rsidTr="00704175">
        <w:tc>
          <w:tcPr>
            <w:tcW w:w="704" w:type="dxa"/>
          </w:tcPr>
          <w:p w14:paraId="372AD9A0" w14:textId="453EF3C8" w:rsidR="00A04069" w:rsidRPr="00CB7E46" w:rsidRDefault="00A04069" w:rsidP="00A04069">
            <w:pPr>
              <w:pStyle w:val="BodyText"/>
            </w:pPr>
            <w:r w:rsidRPr="00CB7E46">
              <w:t>10.1</w:t>
            </w:r>
          </w:p>
        </w:tc>
        <w:tc>
          <w:tcPr>
            <w:tcW w:w="1985" w:type="dxa"/>
          </w:tcPr>
          <w:p w14:paraId="01EBAFF0" w14:textId="0307B983" w:rsidR="00A04069" w:rsidRPr="00CB7E46" w:rsidRDefault="00A04069" w:rsidP="00A04069">
            <w:pPr>
              <w:pStyle w:val="BodyText"/>
            </w:pPr>
            <w:r w:rsidRPr="00CB7E46">
              <w:t>Data Protection, Security and Hosting</w:t>
            </w:r>
          </w:p>
        </w:tc>
        <w:tc>
          <w:tcPr>
            <w:tcW w:w="9639" w:type="dxa"/>
          </w:tcPr>
          <w:p w14:paraId="49C93160" w14:textId="1580E3CB" w:rsidR="00A04069" w:rsidRPr="00CB7E46" w:rsidRDefault="00A04069" w:rsidP="00A04069">
            <w:pPr>
              <w:pStyle w:val="BodyText"/>
            </w:pPr>
            <w:r w:rsidRPr="00CB7E46">
              <w:t>Data must be encrypted using industry standards (AES-256 or equivalent)</w:t>
            </w:r>
          </w:p>
        </w:tc>
        <w:tc>
          <w:tcPr>
            <w:tcW w:w="1842" w:type="dxa"/>
          </w:tcPr>
          <w:p w14:paraId="467809A4" w14:textId="14944D74" w:rsidR="00A04069" w:rsidRPr="00CB7E46" w:rsidRDefault="00A04069" w:rsidP="00A04069">
            <w:pPr>
              <w:pStyle w:val="BodyText"/>
              <w:jc w:val="center"/>
            </w:pPr>
            <w:r w:rsidRPr="00CB7E46">
              <w:rPr>
                <w:sz w:val="18"/>
                <w:szCs w:val="18"/>
              </w:rPr>
              <w:t>Essential</w:t>
            </w:r>
          </w:p>
        </w:tc>
      </w:tr>
      <w:tr w:rsidR="00A04069" w:rsidRPr="00CB7E46" w14:paraId="3A9F1A44" w14:textId="77777777" w:rsidTr="00704175">
        <w:tc>
          <w:tcPr>
            <w:tcW w:w="704" w:type="dxa"/>
          </w:tcPr>
          <w:p w14:paraId="19986665" w14:textId="3A29B72D" w:rsidR="00A04069" w:rsidRPr="00CB7E46" w:rsidRDefault="00A04069" w:rsidP="00A04069">
            <w:pPr>
              <w:pStyle w:val="BodyText"/>
            </w:pPr>
            <w:r w:rsidRPr="00CB7E46">
              <w:t>10.2</w:t>
            </w:r>
          </w:p>
        </w:tc>
        <w:tc>
          <w:tcPr>
            <w:tcW w:w="1985" w:type="dxa"/>
          </w:tcPr>
          <w:p w14:paraId="069CE4D8" w14:textId="5A6496E1" w:rsidR="00A04069" w:rsidRPr="00CB7E46" w:rsidRDefault="00A04069" w:rsidP="00A04069">
            <w:pPr>
              <w:pStyle w:val="BodyText"/>
            </w:pPr>
            <w:r w:rsidRPr="00CB7E46">
              <w:t>Data Protection, Security and Hosting</w:t>
            </w:r>
          </w:p>
        </w:tc>
        <w:tc>
          <w:tcPr>
            <w:tcW w:w="9639" w:type="dxa"/>
          </w:tcPr>
          <w:p w14:paraId="4C03F621" w14:textId="0CAFADFA" w:rsidR="00A04069" w:rsidRPr="00CB7E46" w:rsidRDefault="00A04069" w:rsidP="00A04069">
            <w:pPr>
              <w:pStyle w:val="BodyText"/>
            </w:pPr>
            <w:r w:rsidRPr="00CB7E46">
              <w:t>The supplier must provide details of hosting locations, backup arrangements and data retention policies</w:t>
            </w:r>
          </w:p>
        </w:tc>
        <w:tc>
          <w:tcPr>
            <w:tcW w:w="1842" w:type="dxa"/>
          </w:tcPr>
          <w:p w14:paraId="4F062AA7" w14:textId="186C07A7" w:rsidR="00A04069" w:rsidRPr="00CB7E46" w:rsidRDefault="00A04069" w:rsidP="00A04069">
            <w:pPr>
              <w:pStyle w:val="BodyText"/>
              <w:jc w:val="center"/>
            </w:pPr>
            <w:r w:rsidRPr="00CB7E46">
              <w:rPr>
                <w:sz w:val="18"/>
                <w:szCs w:val="18"/>
              </w:rPr>
              <w:t>Essential</w:t>
            </w:r>
          </w:p>
        </w:tc>
      </w:tr>
      <w:tr w:rsidR="00A04069" w:rsidRPr="00CB7E46" w14:paraId="1E1050E9" w14:textId="77777777" w:rsidTr="00704175">
        <w:tc>
          <w:tcPr>
            <w:tcW w:w="704" w:type="dxa"/>
          </w:tcPr>
          <w:p w14:paraId="2D214175" w14:textId="16B7F5AE" w:rsidR="00A04069" w:rsidRPr="00CB7E46" w:rsidRDefault="00A04069" w:rsidP="00A04069">
            <w:pPr>
              <w:pStyle w:val="BodyText"/>
            </w:pPr>
            <w:r w:rsidRPr="00CB7E46">
              <w:t>10.3</w:t>
            </w:r>
          </w:p>
        </w:tc>
        <w:tc>
          <w:tcPr>
            <w:tcW w:w="1985" w:type="dxa"/>
          </w:tcPr>
          <w:p w14:paraId="6FD8EAE3" w14:textId="5FFD09BC" w:rsidR="00A04069" w:rsidRPr="00CB7E46" w:rsidRDefault="00A04069" w:rsidP="00A04069">
            <w:pPr>
              <w:pStyle w:val="BodyText"/>
            </w:pPr>
            <w:r w:rsidRPr="00CB7E46">
              <w:t>Data Protection, Security and Hosting</w:t>
            </w:r>
          </w:p>
        </w:tc>
        <w:tc>
          <w:tcPr>
            <w:tcW w:w="9639" w:type="dxa"/>
          </w:tcPr>
          <w:p w14:paraId="6FB7E7F2" w14:textId="10AC5D43" w:rsidR="00A04069" w:rsidRPr="00CB7E46" w:rsidRDefault="00A04069" w:rsidP="00A04069">
            <w:pPr>
              <w:pStyle w:val="BodyText"/>
            </w:pPr>
            <w:r w:rsidRPr="00CB7E46">
              <w:t>The system must allow the Trust to export all information without reliance on the supplier, and be backwards compatible with other system providers</w:t>
            </w:r>
          </w:p>
        </w:tc>
        <w:tc>
          <w:tcPr>
            <w:tcW w:w="1842" w:type="dxa"/>
          </w:tcPr>
          <w:p w14:paraId="7D4A14E3" w14:textId="036E411A" w:rsidR="00A04069" w:rsidRPr="00CB7E46" w:rsidRDefault="00A04069" w:rsidP="00A04069">
            <w:pPr>
              <w:pStyle w:val="BodyText"/>
              <w:jc w:val="center"/>
            </w:pPr>
            <w:r w:rsidRPr="00CB7E46">
              <w:rPr>
                <w:sz w:val="18"/>
                <w:szCs w:val="18"/>
              </w:rPr>
              <w:t>Essential</w:t>
            </w:r>
          </w:p>
        </w:tc>
      </w:tr>
      <w:tr w:rsidR="00A04069" w:rsidRPr="00CB7E46" w14:paraId="6F53CB6C" w14:textId="77777777" w:rsidTr="00704175">
        <w:tc>
          <w:tcPr>
            <w:tcW w:w="704" w:type="dxa"/>
          </w:tcPr>
          <w:p w14:paraId="1A88AFA7" w14:textId="6152D2A0" w:rsidR="00A04069" w:rsidRPr="00CB7E46" w:rsidRDefault="00A04069" w:rsidP="00A04069">
            <w:pPr>
              <w:pStyle w:val="BodyText"/>
            </w:pPr>
            <w:r w:rsidRPr="00CB7E46">
              <w:t>10.4</w:t>
            </w:r>
          </w:p>
        </w:tc>
        <w:tc>
          <w:tcPr>
            <w:tcW w:w="1985" w:type="dxa"/>
          </w:tcPr>
          <w:p w14:paraId="08C75551" w14:textId="096B5388" w:rsidR="00A04069" w:rsidRPr="00CB7E46" w:rsidRDefault="00A04069" w:rsidP="00A04069">
            <w:pPr>
              <w:pStyle w:val="BodyText"/>
            </w:pPr>
            <w:r w:rsidRPr="00CB7E46">
              <w:t>Data Protection, Security and Hosting</w:t>
            </w:r>
          </w:p>
        </w:tc>
        <w:tc>
          <w:tcPr>
            <w:tcW w:w="9639" w:type="dxa"/>
          </w:tcPr>
          <w:p w14:paraId="6220A804" w14:textId="2C51B3F8" w:rsidR="00A04069" w:rsidRPr="00CB7E46" w:rsidRDefault="00A04069" w:rsidP="00A04069">
            <w:pPr>
              <w:pStyle w:val="BodyText"/>
            </w:pPr>
            <w:r w:rsidRPr="00CB7E46">
              <w:t>The Trust must be notified of any data breach or security event affecting its information within 24 hours of detection</w:t>
            </w:r>
          </w:p>
        </w:tc>
        <w:tc>
          <w:tcPr>
            <w:tcW w:w="1842" w:type="dxa"/>
          </w:tcPr>
          <w:p w14:paraId="19DA8602" w14:textId="37C43519" w:rsidR="00A04069" w:rsidRPr="00CB7E46" w:rsidRDefault="00A04069" w:rsidP="00A04069">
            <w:pPr>
              <w:pStyle w:val="BodyText"/>
              <w:jc w:val="center"/>
            </w:pPr>
            <w:r w:rsidRPr="00CB7E46">
              <w:rPr>
                <w:sz w:val="18"/>
                <w:szCs w:val="18"/>
              </w:rPr>
              <w:t>Essential</w:t>
            </w:r>
          </w:p>
        </w:tc>
      </w:tr>
      <w:tr w:rsidR="00A04069" w:rsidRPr="00CB7E46" w14:paraId="4BCF03E0" w14:textId="77777777" w:rsidTr="00704175">
        <w:tc>
          <w:tcPr>
            <w:tcW w:w="704" w:type="dxa"/>
          </w:tcPr>
          <w:p w14:paraId="3106CF35" w14:textId="783088AF" w:rsidR="00A04069" w:rsidRPr="00CB7E46" w:rsidRDefault="00A04069" w:rsidP="00A04069">
            <w:pPr>
              <w:pStyle w:val="BodyText"/>
            </w:pPr>
            <w:r w:rsidRPr="00CB7E46">
              <w:t>10.5</w:t>
            </w:r>
          </w:p>
        </w:tc>
        <w:tc>
          <w:tcPr>
            <w:tcW w:w="1985" w:type="dxa"/>
          </w:tcPr>
          <w:p w14:paraId="6D47E12B" w14:textId="08025035" w:rsidR="00A04069" w:rsidRPr="00CB7E46" w:rsidRDefault="00A04069" w:rsidP="00A04069">
            <w:pPr>
              <w:pStyle w:val="BodyText"/>
            </w:pPr>
            <w:r w:rsidRPr="00CB7E46">
              <w:t>Data Protection, Security and Hosting</w:t>
            </w:r>
          </w:p>
        </w:tc>
        <w:tc>
          <w:tcPr>
            <w:tcW w:w="9639" w:type="dxa"/>
          </w:tcPr>
          <w:p w14:paraId="7996224F" w14:textId="0B97B9FD" w:rsidR="00A04069" w:rsidRPr="00CB7E46" w:rsidRDefault="00A04069" w:rsidP="00A04069">
            <w:pPr>
              <w:pStyle w:val="BodyText"/>
            </w:pPr>
            <w:r w:rsidRPr="00CB7E46">
              <w:t>Provide automated alerts for storage thresholds and retention risks</w:t>
            </w:r>
          </w:p>
        </w:tc>
        <w:tc>
          <w:tcPr>
            <w:tcW w:w="1842" w:type="dxa"/>
          </w:tcPr>
          <w:p w14:paraId="0FAF1BED" w14:textId="5C427E5F" w:rsidR="00A04069" w:rsidRPr="00CB7E46" w:rsidRDefault="00A04069" w:rsidP="00A04069">
            <w:pPr>
              <w:pStyle w:val="BodyText"/>
              <w:jc w:val="center"/>
              <w:rPr>
                <w:sz w:val="18"/>
                <w:szCs w:val="18"/>
              </w:rPr>
            </w:pPr>
            <w:r w:rsidRPr="00CB7E46">
              <w:rPr>
                <w:sz w:val="18"/>
                <w:szCs w:val="18"/>
              </w:rPr>
              <w:t>Desirable</w:t>
            </w:r>
          </w:p>
        </w:tc>
      </w:tr>
      <w:tr w:rsidR="00A04069" w:rsidRPr="00CB7E46" w14:paraId="4E1C96E8" w14:textId="77777777" w:rsidTr="00704175">
        <w:tc>
          <w:tcPr>
            <w:tcW w:w="704" w:type="dxa"/>
          </w:tcPr>
          <w:p w14:paraId="45FF4FA6" w14:textId="7D88E582" w:rsidR="00A04069" w:rsidRPr="00CB7E46" w:rsidRDefault="00A04069" w:rsidP="00A04069">
            <w:pPr>
              <w:pStyle w:val="BodyText"/>
            </w:pPr>
            <w:r w:rsidRPr="00CB7E46">
              <w:t>11.1</w:t>
            </w:r>
          </w:p>
        </w:tc>
        <w:tc>
          <w:tcPr>
            <w:tcW w:w="1985" w:type="dxa"/>
          </w:tcPr>
          <w:p w14:paraId="6E9F5C0F" w14:textId="26FF9FE3" w:rsidR="00A04069" w:rsidRPr="00CB7E46" w:rsidRDefault="00A04069" w:rsidP="00A04069">
            <w:pPr>
              <w:pStyle w:val="BodyText"/>
            </w:pPr>
            <w:r w:rsidRPr="00CB7E46">
              <w:t>System Integration</w:t>
            </w:r>
          </w:p>
        </w:tc>
        <w:tc>
          <w:tcPr>
            <w:tcW w:w="9639" w:type="dxa"/>
          </w:tcPr>
          <w:p w14:paraId="729B9399" w14:textId="4CF55D91" w:rsidR="00A04069" w:rsidRPr="00CB7E46" w:rsidRDefault="00A04069" w:rsidP="00A04069">
            <w:pPr>
              <w:pStyle w:val="BodyText"/>
            </w:pPr>
            <w:r w:rsidRPr="00CB7E46">
              <w:t>Support future integration with the Trust’s CAFM, BMS</w:t>
            </w:r>
            <w:r w:rsidR="00BA5900" w:rsidRPr="00CB7E46">
              <w:t>, ERP,</w:t>
            </w:r>
            <w:r w:rsidRPr="00CB7E46">
              <w:t xml:space="preserve"> and digital twin platforms (exact platforms TBC)</w:t>
            </w:r>
          </w:p>
        </w:tc>
        <w:tc>
          <w:tcPr>
            <w:tcW w:w="1842" w:type="dxa"/>
          </w:tcPr>
          <w:p w14:paraId="557A4101" w14:textId="3603725D" w:rsidR="00A04069" w:rsidRPr="00CB7E46" w:rsidRDefault="00E93739" w:rsidP="00A04069">
            <w:pPr>
              <w:pStyle w:val="BodyText"/>
              <w:jc w:val="center"/>
            </w:pPr>
            <w:r w:rsidRPr="00CB7E46">
              <w:rPr>
                <w:sz w:val="18"/>
                <w:szCs w:val="18"/>
              </w:rPr>
              <w:t>Desirable</w:t>
            </w:r>
          </w:p>
        </w:tc>
      </w:tr>
      <w:tr w:rsidR="00A04069" w:rsidRPr="00CB7E46" w14:paraId="0BE61CB7" w14:textId="77777777" w:rsidTr="00704175">
        <w:tc>
          <w:tcPr>
            <w:tcW w:w="704" w:type="dxa"/>
          </w:tcPr>
          <w:p w14:paraId="7C9986B3" w14:textId="3D2BD640" w:rsidR="00A04069" w:rsidRPr="00CB7E46" w:rsidRDefault="00A04069" w:rsidP="00A04069">
            <w:pPr>
              <w:pStyle w:val="BodyText"/>
            </w:pPr>
            <w:r w:rsidRPr="00CB7E46">
              <w:t>11.2</w:t>
            </w:r>
          </w:p>
        </w:tc>
        <w:tc>
          <w:tcPr>
            <w:tcW w:w="1985" w:type="dxa"/>
          </w:tcPr>
          <w:p w14:paraId="28D172D8" w14:textId="37A5A01B" w:rsidR="00A04069" w:rsidRPr="00CB7E46" w:rsidRDefault="00A04069" w:rsidP="00A04069">
            <w:pPr>
              <w:pStyle w:val="BodyText"/>
            </w:pPr>
            <w:r w:rsidRPr="00CB7E46">
              <w:t>System Integration</w:t>
            </w:r>
          </w:p>
        </w:tc>
        <w:tc>
          <w:tcPr>
            <w:tcW w:w="9639" w:type="dxa"/>
          </w:tcPr>
          <w:p w14:paraId="062F9F04" w14:textId="7790B51B" w:rsidR="00A04069" w:rsidRPr="00CB7E46" w:rsidRDefault="00A04069" w:rsidP="00A04069">
            <w:pPr>
              <w:pStyle w:val="BodyText"/>
            </w:pPr>
            <w:r w:rsidRPr="00CB7E46">
              <w:t xml:space="preserve">Allow scheduled or manual export of data for upload to and from other systems </w:t>
            </w:r>
          </w:p>
        </w:tc>
        <w:tc>
          <w:tcPr>
            <w:tcW w:w="1842" w:type="dxa"/>
          </w:tcPr>
          <w:p w14:paraId="6BF4080F" w14:textId="14BF9260" w:rsidR="00A04069" w:rsidRPr="00CB7E46" w:rsidRDefault="00A04069" w:rsidP="00A04069">
            <w:pPr>
              <w:pStyle w:val="BodyText"/>
              <w:jc w:val="center"/>
            </w:pPr>
            <w:r w:rsidRPr="00CB7E46">
              <w:rPr>
                <w:sz w:val="18"/>
                <w:szCs w:val="18"/>
              </w:rPr>
              <w:t>Essential</w:t>
            </w:r>
          </w:p>
        </w:tc>
      </w:tr>
      <w:tr w:rsidR="00A04069" w:rsidRPr="00CB7E46" w14:paraId="6426D99E" w14:textId="77777777" w:rsidTr="00704175">
        <w:tc>
          <w:tcPr>
            <w:tcW w:w="704" w:type="dxa"/>
          </w:tcPr>
          <w:p w14:paraId="294106E3" w14:textId="11CCD06F" w:rsidR="00A04069" w:rsidRPr="00CB7E46" w:rsidRDefault="00A04069" w:rsidP="00A04069">
            <w:pPr>
              <w:pStyle w:val="BodyText"/>
            </w:pPr>
            <w:r w:rsidRPr="00CB7E46">
              <w:t>11.3</w:t>
            </w:r>
          </w:p>
        </w:tc>
        <w:tc>
          <w:tcPr>
            <w:tcW w:w="1985" w:type="dxa"/>
          </w:tcPr>
          <w:p w14:paraId="3EB1E903" w14:textId="67FC0113" w:rsidR="00A04069" w:rsidRPr="00CB7E46" w:rsidRDefault="00A04069" w:rsidP="00A04069">
            <w:pPr>
              <w:pStyle w:val="BodyText"/>
            </w:pPr>
            <w:r w:rsidRPr="00CB7E46">
              <w:t>System Integration</w:t>
            </w:r>
          </w:p>
        </w:tc>
        <w:tc>
          <w:tcPr>
            <w:tcW w:w="9639" w:type="dxa"/>
          </w:tcPr>
          <w:p w14:paraId="4A44FAEC" w14:textId="4208D8D2" w:rsidR="00A04069" w:rsidRPr="00CB7E46" w:rsidRDefault="00A04069" w:rsidP="00A04069">
            <w:pPr>
              <w:pStyle w:val="BodyText"/>
            </w:pPr>
            <w:r w:rsidRPr="00CB7E46">
              <w:t>Provide an application programme interface (API) or equivalent method to enable approved data exchange</w:t>
            </w:r>
          </w:p>
        </w:tc>
        <w:tc>
          <w:tcPr>
            <w:tcW w:w="1842" w:type="dxa"/>
          </w:tcPr>
          <w:p w14:paraId="535AF99D" w14:textId="145F3722" w:rsidR="00A04069" w:rsidRPr="00CB7E46" w:rsidRDefault="00A04069" w:rsidP="00A04069">
            <w:pPr>
              <w:pStyle w:val="BodyText"/>
              <w:jc w:val="center"/>
            </w:pPr>
            <w:r w:rsidRPr="00CB7E46">
              <w:rPr>
                <w:sz w:val="18"/>
                <w:szCs w:val="18"/>
              </w:rPr>
              <w:t>Essential</w:t>
            </w:r>
          </w:p>
        </w:tc>
      </w:tr>
      <w:tr w:rsidR="00A04069" w:rsidRPr="00CB7E46" w14:paraId="223C16C1" w14:textId="77777777" w:rsidTr="00704175">
        <w:tc>
          <w:tcPr>
            <w:tcW w:w="704" w:type="dxa"/>
          </w:tcPr>
          <w:p w14:paraId="3E4C1FCD" w14:textId="4F1303C6" w:rsidR="00A04069" w:rsidRPr="00CB7E46" w:rsidRDefault="00A04069" w:rsidP="00A04069">
            <w:pPr>
              <w:pStyle w:val="BodyText"/>
            </w:pPr>
            <w:r w:rsidRPr="00CB7E46">
              <w:t>12.1</w:t>
            </w:r>
          </w:p>
        </w:tc>
        <w:tc>
          <w:tcPr>
            <w:tcW w:w="1985" w:type="dxa"/>
          </w:tcPr>
          <w:p w14:paraId="096CCF9F" w14:textId="4EC08C0B" w:rsidR="00A04069" w:rsidRPr="00CB7E46" w:rsidRDefault="00A04069" w:rsidP="00A04069">
            <w:pPr>
              <w:pStyle w:val="BodyText"/>
            </w:pPr>
            <w:r w:rsidRPr="00CB7E46">
              <w:t>Data and File Compatibility</w:t>
            </w:r>
          </w:p>
        </w:tc>
        <w:tc>
          <w:tcPr>
            <w:tcW w:w="9639" w:type="dxa"/>
          </w:tcPr>
          <w:p w14:paraId="2E65B991" w14:textId="3B42405C" w:rsidR="00A04069" w:rsidRPr="00CB7E46" w:rsidRDefault="00A04069" w:rsidP="00A04069">
            <w:pPr>
              <w:pStyle w:val="BodyText"/>
            </w:pPr>
            <w:r w:rsidRPr="00CB7E46">
              <w:t>Support import and export of IFC, COBie, PDF, XLSX, DWG, CSV, JSON, DGN, XML, GIS, and RVT file formats</w:t>
            </w:r>
          </w:p>
        </w:tc>
        <w:tc>
          <w:tcPr>
            <w:tcW w:w="1842" w:type="dxa"/>
          </w:tcPr>
          <w:p w14:paraId="0F8CA900" w14:textId="23D2C70E" w:rsidR="00A04069" w:rsidRPr="00CB7E46" w:rsidRDefault="00A04069" w:rsidP="00A04069">
            <w:pPr>
              <w:pStyle w:val="BodyText"/>
              <w:jc w:val="center"/>
            </w:pPr>
            <w:r w:rsidRPr="00CB7E46">
              <w:rPr>
                <w:sz w:val="18"/>
                <w:szCs w:val="18"/>
              </w:rPr>
              <w:t>Essential</w:t>
            </w:r>
          </w:p>
        </w:tc>
      </w:tr>
      <w:tr w:rsidR="00A04069" w:rsidRPr="00CB7E46" w14:paraId="3C22CDF0" w14:textId="77777777" w:rsidTr="00704175">
        <w:tc>
          <w:tcPr>
            <w:tcW w:w="704" w:type="dxa"/>
          </w:tcPr>
          <w:p w14:paraId="2B7A52C6" w14:textId="248572AD" w:rsidR="00A04069" w:rsidRPr="00CB7E46" w:rsidRDefault="00A04069" w:rsidP="00A04069">
            <w:pPr>
              <w:pStyle w:val="BodyText"/>
            </w:pPr>
            <w:r w:rsidRPr="00CB7E46">
              <w:t>12.2</w:t>
            </w:r>
          </w:p>
        </w:tc>
        <w:tc>
          <w:tcPr>
            <w:tcW w:w="1985" w:type="dxa"/>
          </w:tcPr>
          <w:p w14:paraId="0EC63B28" w14:textId="0F5FD075" w:rsidR="00A04069" w:rsidRPr="00CB7E46" w:rsidRDefault="00A04069" w:rsidP="00A04069">
            <w:pPr>
              <w:pStyle w:val="BodyText"/>
            </w:pPr>
            <w:r w:rsidRPr="00CB7E46">
              <w:t>Data and File Compatibility</w:t>
            </w:r>
          </w:p>
        </w:tc>
        <w:tc>
          <w:tcPr>
            <w:tcW w:w="9639" w:type="dxa"/>
          </w:tcPr>
          <w:p w14:paraId="65D831D4" w14:textId="657C423E" w:rsidR="00A04069" w:rsidRPr="00CB7E46" w:rsidRDefault="00A04069" w:rsidP="00A04069">
            <w:pPr>
              <w:pStyle w:val="BodyText"/>
            </w:pPr>
            <w:r w:rsidRPr="00CB7E46">
              <w:t>Support automatic look up from all document types, to automatically populating naming fields</w:t>
            </w:r>
          </w:p>
        </w:tc>
        <w:tc>
          <w:tcPr>
            <w:tcW w:w="1842" w:type="dxa"/>
          </w:tcPr>
          <w:p w14:paraId="31FC6E5E" w14:textId="2A9EDAB1" w:rsidR="00A04069" w:rsidRPr="00CB7E46" w:rsidRDefault="00A04069" w:rsidP="00A04069">
            <w:pPr>
              <w:pStyle w:val="BodyText"/>
              <w:jc w:val="center"/>
              <w:rPr>
                <w:sz w:val="18"/>
                <w:szCs w:val="18"/>
              </w:rPr>
            </w:pPr>
            <w:r w:rsidRPr="00CB7E46">
              <w:rPr>
                <w:sz w:val="18"/>
                <w:szCs w:val="18"/>
              </w:rPr>
              <w:t>Essential</w:t>
            </w:r>
          </w:p>
        </w:tc>
      </w:tr>
      <w:tr w:rsidR="00A04069" w:rsidRPr="00CB7E46" w14:paraId="6DA81E40" w14:textId="77777777" w:rsidTr="00704175">
        <w:tc>
          <w:tcPr>
            <w:tcW w:w="704" w:type="dxa"/>
          </w:tcPr>
          <w:p w14:paraId="0D039AA0" w14:textId="21B87B35" w:rsidR="00A04069" w:rsidRPr="00CB7E46" w:rsidRDefault="00A04069" w:rsidP="00A04069">
            <w:pPr>
              <w:pStyle w:val="BodyText"/>
            </w:pPr>
            <w:r w:rsidRPr="00CB7E46">
              <w:t>12.3</w:t>
            </w:r>
          </w:p>
        </w:tc>
        <w:tc>
          <w:tcPr>
            <w:tcW w:w="1985" w:type="dxa"/>
          </w:tcPr>
          <w:p w14:paraId="5E4F9B67" w14:textId="4BC9577D" w:rsidR="00A04069" w:rsidRPr="00CB7E46" w:rsidRDefault="00A04069" w:rsidP="00A04069">
            <w:pPr>
              <w:pStyle w:val="BodyText"/>
            </w:pPr>
            <w:r w:rsidRPr="00CB7E46">
              <w:t>Data and File Compatibility</w:t>
            </w:r>
          </w:p>
        </w:tc>
        <w:tc>
          <w:tcPr>
            <w:tcW w:w="9639" w:type="dxa"/>
          </w:tcPr>
          <w:p w14:paraId="2F09AFDC" w14:textId="23FE6F95" w:rsidR="00A04069" w:rsidRPr="00CB7E46" w:rsidRDefault="00A04069" w:rsidP="00A04069">
            <w:pPr>
              <w:pStyle w:val="BodyText"/>
            </w:pPr>
            <w:r w:rsidRPr="00CB7E46">
              <w:t xml:space="preserve">Maintain consistent metadata fields </w:t>
            </w:r>
            <w:r w:rsidRPr="00CB7E46">
              <w:rPr>
                <w:strike/>
              </w:rPr>
              <w:t>and naming conventions</w:t>
            </w:r>
            <w:r w:rsidRPr="00CB7E46">
              <w:t xml:space="preserve"> defined by the Trust and in-line with NHP guidelines</w:t>
            </w:r>
          </w:p>
        </w:tc>
        <w:tc>
          <w:tcPr>
            <w:tcW w:w="1842" w:type="dxa"/>
          </w:tcPr>
          <w:p w14:paraId="21AC64EA" w14:textId="682B244C" w:rsidR="00A04069" w:rsidRPr="00CB7E46" w:rsidRDefault="00A04069" w:rsidP="00A04069">
            <w:pPr>
              <w:pStyle w:val="BodyText"/>
              <w:jc w:val="center"/>
            </w:pPr>
            <w:r w:rsidRPr="00CB7E46">
              <w:rPr>
                <w:sz w:val="18"/>
                <w:szCs w:val="18"/>
              </w:rPr>
              <w:t>Essential</w:t>
            </w:r>
          </w:p>
        </w:tc>
      </w:tr>
      <w:tr w:rsidR="00A04069" w:rsidRPr="00CB7E46" w14:paraId="724E4E23" w14:textId="77777777" w:rsidTr="00704175">
        <w:tc>
          <w:tcPr>
            <w:tcW w:w="704" w:type="dxa"/>
          </w:tcPr>
          <w:p w14:paraId="1A9469A2" w14:textId="3C7F670C" w:rsidR="00A04069" w:rsidRPr="00CB7E46" w:rsidRDefault="00A04069" w:rsidP="00A04069">
            <w:pPr>
              <w:pStyle w:val="BodyText"/>
            </w:pPr>
            <w:r w:rsidRPr="00CB7E46">
              <w:t>12.4</w:t>
            </w:r>
          </w:p>
        </w:tc>
        <w:tc>
          <w:tcPr>
            <w:tcW w:w="1985" w:type="dxa"/>
          </w:tcPr>
          <w:p w14:paraId="4AA5276B" w14:textId="062E39EB" w:rsidR="00A04069" w:rsidRPr="00CB7E46" w:rsidRDefault="00A04069" w:rsidP="00A04069">
            <w:pPr>
              <w:pStyle w:val="BodyText"/>
            </w:pPr>
            <w:r w:rsidRPr="00CB7E46">
              <w:t>Data and File Compatibility</w:t>
            </w:r>
          </w:p>
        </w:tc>
        <w:tc>
          <w:tcPr>
            <w:tcW w:w="9639" w:type="dxa"/>
          </w:tcPr>
          <w:p w14:paraId="3CE61D39" w14:textId="6FFB4551" w:rsidR="00A04069" w:rsidRPr="00CB7E46" w:rsidRDefault="00A04069" w:rsidP="00A04069">
            <w:pPr>
              <w:pStyle w:val="BodyText"/>
            </w:pPr>
            <w:r w:rsidRPr="00CB7E46">
              <w:t>Retain links between graphical and non-graphical data during import and export</w:t>
            </w:r>
          </w:p>
        </w:tc>
        <w:tc>
          <w:tcPr>
            <w:tcW w:w="1842" w:type="dxa"/>
          </w:tcPr>
          <w:p w14:paraId="62FBD604" w14:textId="5A1C6AFF" w:rsidR="00A04069" w:rsidRPr="00CB7E46" w:rsidRDefault="00A04069" w:rsidP="00A04069">
            <w:pPr>
              <w:pStyle w:val="BodyText"/>
              <w:jc w:val="center"/>
            </w:pPr>
            <w:r w:rsidRPr="00CB7E46">
              <w:rPr>
                <w:sz w:val="18"/>
                <w:szCs w:val="18"/>
              </w:rPr>
              <w:t>Essential</w:t>
            </w:r>
          </w:p>
        </w:tc>
      </w:tr>
      <w:tr w:rsidR="00A04069" w:rsidRPr="00CB7E46" w14:paraId="56408543" w14:textId="77777777" w:rsidTr="00704175">
        <w:tc>
          <w:tcPr>
            <w:tcW w:w="704" w:type="dxa"/>
          </w:tcPr>
          <w:p w14:paraId="4A4C4D95" w14:textId="23E50FFA" w:rsidR="00A04069" w:rsidRPr="00CB7E46" w:rsidRDefault="00A04069" w:rsidP="00A04069">
            <w:pPr>
              <w:pStyle w:val="BodyText"/>
            </w:pPr>
            <w:r w:rsidRPr="00CB7E46">
              <w:lastRenderedPageBreak/>
              <w:t>12.5</w:t>
            </w:r>
          </w:p>
        </w:tc>
        <w:tc>
          <w:tcPr>
            <w:tcW w:w="1985" w:type="dxa"/>
          </w:tcPr>
          <w:p w14:paraId="6C493B45" w14:textId="3670A83D" w:rsidR="00A04069" w:rsidRPr="00CB7E46" w:rsidRDefault="00A04069" w:rsidP="00A04069">
            <w:pPr>
              <w:pStyle w:val="BodyText"/>
            </w:pPr>
            <w:r w:rsidRPr="00CB7E46">
              <w:t>Data and File Compatibility</w:t>
            </w:r>
          </w:p>
        </w:tc>
        <w:tc>
          <w:tcPr>
            <w:tcW w:w="9639" w:type="dxa"/>
          </w:tcPr>
          <w:p w14:paraId="5073C6B8" w14:textId="159F2F89" w:rsidR="00A04069" w:rsidRPr="00CB7E46" w:rsidRDefault="00A04069" w:rsidP="00A04069">
            <w:pPr>
              <w:pStyle w:val="BodyText"/>
            </w:pPr>
            <w:r w:rsidRPr="00CB7E46">
              <w:t>Ensure exported data retains version and approval history</w:t>
            </w:r>
          </w:p>
        </w:tc>
        <w:tc>
          <w:tcPr>
            <w:tcW w:w="1842" w:type="dxa"/>
          </w:tcPr>
          <w:p w14:paraId="049B560B" w14:textId="0F41AE5A" w:rsidR="00A04069" w:rsidRPr="00CB7E46" w:rsidRDefault="00A04069" w:rsidP="00A04069">
            <w:pPr>
              <w:pStyle w:val="BodyText"/>
              <w:jc w:val="center"/>
            </w:pPr>
            <w:r w:rsidRPr="00CB7E46">
              <w:rPr>
                <w:sz w:val="18"/>
                <w:szCs w:val="18"/>
              </w:rPr>
              <w:t>Essential</w:t>
            </w:r>
          </w:p>
        </w:tc>
      </w:tr>
      <w:tr w:rsidR="00A04069" w:rsidRPr="00CB7E46" w14:paraId="70FCD704" w14:textId="77777777" w:rsidTr="00704175">
        <w:tc>
          <w:tcPr>
            <w:tcW w:w="704" w:type="dxa"/>
          </w:tcPr>
          <w:p w14:paraId="2E8D8F40" w14:textId="0A27910A" w:rsidR="00A04069" w:rsidRPr="00CB7E46" w:rsidRDefault="00A04069" w:rsidP="00A04069">
            <w:pPr>
              <w:pStyle w:val="BodyText"/>
            </w:pPr>
            <w:r w:rsidRPr="00CB7E46">
              <w:t>12.6</w:t>
            </w:r>
          </w:p>
        </w:tc>
        <w:tc>
          <w:tcPr>
            <w:tcW w:w="1985" w:type="dxa"/>
          </w:tcPr>
          <w:p w14:paraId="07BD5DCC" w14:textId="68B40606" w:rsidR="00A04069" w:rsidRPr="00CB7E46" w:rsidRDefault="00A04069" w:rsidP="00A04069">
            <w:pPr>
              <w:pStyle w:val="BodyText"/>
            </w:pPr>
            <w:r w:rsidRPr="00CB7E46">
              <w:t>Data and File Compatibility</w:t>
            </w:r>
          </w:p>
        </w:tc>
        <w:tc>
          <w:tcPr>
            <w:tcW w:w="9639" w:type="dxa"/>
          </w:tcPr>
          <w:p w14:paraId="06C422E5" w14:textId="27672D3D" w:rsidR="00A04069" w:rsidRPr="00CB7E46" w:rsidRDefault="00A04069" w:rsidP="00A04069">
            <w:pPr>
              <w:pStyle w:val="BodyText"/>
            </w:pPr>
            <w:r w:rsidRPr="00CB7E46">
              <w:t>Allow comparison of metadata changes between file versions</w:t>
            </w:r>
          </w:p>
        </w:tc>
        <w:tc>
          <w:tcPr>
            <w:tcW w:w="1842" w:type="dxa"/>
          </w:tcPr>
          <w:p w14:paraId="2D7B5F1E" w14:textId="0A855AE4" w:rsidR="00A04069" w:rsidRPr="00CB7E46" w:rsidRDefault="00A04069" w:rsidP="00A04069">
            <w:pPr>
              <w:pStyle w:val="BodyText"/>
              <w:jc w:val="center"/>
              <w:rPr>
                <w:sz w:val="18"/>
                <w:szCs w:val="18"/>
              </w:rPr>
            </w:pPr>
            <w:r w:rsidRPr="00CB7E46">
              <w:rPr>
                <w:sz w:val="18"/>
                <w:szCs w:val="18"/>
              </w:rPr>
              <w:t>Desirable</w:t>
            </w:r>
          </w:p>
        </w:tc>
      </w:tr>
      <w:tr w:rsidR="00A04069" w:rsidRPr="00CB7E46" w14:paraId="6D205738" w14:textId="77777777" w:rsidTr="00704175">
        <w:tc>
          <w:tcPr>
            <w:tcW w:w="704" w:type="dxa"/>
          </w:tcPr>
          <w:p w14:paraId="51755821" w14:textId="1B9DE810" w:rsidR="00A04069" w:rsidRPr="00CB7E46" w:rsidRDefault="00A04069" w:rsidP="00A04069">
            <w:pPr>
              <w:pStyle w:val="BodyText"/>
            </w:pPr>
            <w:r w:rsidRPr="00CB7E46">
              <w:t>12.7</w:t>
            </w:r>
          </w:p>
        </w:tc>
        <w:tc>
          <w:tcPr>
            <w:tcW w:w="1985" w:type="dxa"/>
          </w:tcPr>
          <w:p w14:paraId="1DC2BB23" w14:textId="0A08947D" w:rsidR="00A04069" w:rsidRPr="00CB7E46" w:rsidRDefault="00A04069" w:rsidP="00A04069">
            <w:pPr>
              <w:pStyle w:val="BodyText"/>
            </w:pPr>
            <w:r w:rsidRPr="00CB7E46">
              <w:t>Data and File Compatibility</w:t>
            </w:r>
          </w:p>
        </w:tc>
        <w:tc>
          <w:tcPr>
            <w:tcW w:w="9639" w:type="dxa"/>
          </w:tcPr>
          <w:p w14:paraId="5291FCB0" w14:textId="65D10460" w:rsidR="00A04069" w:rsidRPr="00CB7E46" w:rsidRDefault="00A04069" w:rsidP="00A04069">
            <w:pPr>
              <w:pStyle w:val="BodyText"/>
            </w:pPr>
            <w:r w:rsidRPr="00CB7E46">
              <w:t>Assign unique container IDs to all documents and models in line with BS EN ISO 19650 and agreed naming convention defined in the project EIR</w:t>
            </w:r>
          </w:p>
        </w:tc>
        <w:tc>
          <w:tcPr>
            <w:tcW w:w="1842" w:type="dxa"/>
          </w:tcPr>
          <w:p w14:paraId="4597D703" w14:textId="6A2F3715" w:rsidR="00A04069" w:rsidRPr="00CB7E46" w:rsidRDefault="00A04069" w:rsidP="00A04069">
            <w:pPr>
              <w:pStyle w:val="BodyText"/>
              <w:jc w:val="center"/>
              <w:rPr>
                <w:sz w:val="18"/>
                <w:szCs w:val="18"/>
              </w:rPr>
            </w:pPr>
            <w:r w:rsidRPr="00CB7E46">
              <w:rPr>
                <w:sz w:val="18"/>
                <w:szCs w:val="18"/>
              </w:rPr>
              <w:t>Essential</w:t>
            </w:r>
          </w:p>
        </w:tc>
      </w:tr>
      <w:tr w:rsidR="00A04069" w:rsidRPr="00CB7E46" w14:paraId="495E3843" w14:textId="77777777" w:rsidTr="00704175">
        <w:tc>
          <w:tcPr>
            <w:tcW w:w="704" w:type="dxa"/>
          </w:tcPr>
          <w:p w14:paraId="1C10E97A" w14:textId="27E66E61" w:rsidR="00A04069" w:rsidRPr="00CB7E46" w:rsidRDefault="00A04069" w:rsidP="00A04069">
            <w:pPr>
              <w:pStyle w:val="BodyText"/>
            </w:pPr>
            <w:r w:rsidRPr="00CB7E46">
              <w:t>12.8</w:t>
            </w:r>
          </w:p>
        </w:tc>
        <w:tc>
          <w:tcPr>
            <w:tcW w:w="1985" w:type="dxa"/>
          </w:tcPr>
          <w:p w14:paraId="4FD99EC6" w14:textId="09AC07E2" w:rsidR="00A04069" w:rsidRPr="00CB7E46" w:rsidRDefault="00A04069" w:rsidP="00A04069">
            <w:pPr>
              <w:pStyle w:val="BodyText"/>
            </w:pPr>
            <w:r w:rsidRPr="00CB7E46">
              <w:t>Data and File Compatibility</w:t>
            </w:r>
          </w:p>
        </w:tc>
        <w:tc>
          <w:tcPr>
            <w:tcW w:w="9639" w:type="dxa"/>
          </w:tcPr>
          <w:p w14:paraId="6AACF2C6" w14:textId="463B5857" w:rsidR="00A04069" w:rsidRPr="00CB7E46" w:rsidRDefault="00A04069" w:rsidP="00A04069">
            <w:pPr>
              <w:pStyle w:val="BodyText"/>
            </w:pPr>
            <w:r w:rsidRPr="00CB7E46">
              <w:t>Ensure uploaded files are automatically tagged with their RIBA stage to maintain traceability across golden thread</w:t>
            </w:r>
          </w:p>
        </w:tc>
        <w:tc>
          <w:tcPr>
            <w:tcW w:w="1842" w:type="dxa"/>
          </w:tcPr>
          <w:p w14:paraId="07EA7A30" w14:textId="5F410687" w:rsidR="00A04069" w:rsidRPr="00CB7E46" w:rsidRDefault="00A04069" w:rsidP="00A04069">
            <w:pPr>
              <w:pStyle w:val="BodyText"/>
              <w:jc w:val="center"/>
              <w:rPr>
                <w:sz w:val="18"/>
                <w:szCs w:val="18"/>
              </w:rPr>
            </w:pPr>
            <w:r w:rsidRPr="00CB7E46">
              <w:rPr>
                <w:sz w:val="18"/>
                <w:szCs w:val="18"/>
              </w:rPr>
              <w:t>Desirable</w:t>
            </w:r>
          </w:p>
        </w:tc>
      </w:tr>
      <w:tr w:rsidR="00A04069" w:rsidRPr="00CB7E46" w14:paraId="63AA9F32" w14:textId="77777777" w:rsidTr="00704175">
        <w:tc>
          <w:tcPr>
            <w:tcW w:w="704" w:type="dxa"/>
          </w:tcPr>
          <w:p w14:paraId="614F7387" w14:textId="7DB218D6" w:rsidR="00A04069" w:rsidRPr="00CB7E46" w:rsidRDefault="00A04069" w:rsidP="00A04069">
            <w:pPr>
              <w:pStyle w:val="BodyText"/>
            </w:pPr>
            <w:r w:rsidRPr="00CB7E46">
              <w:t>13.1</w:t>
            </w:r>
          </w:p>
        </w:tc>
        <w:tc>
          <w:tcPr>
            <w:tcW w:w="1985" w:type="dxa"/>
          </w:tcPr>
          <w:p w14:paraId="400FF68F" w14:textId="623D8B5B" w:rsidR="00A04069" w:rsidRPr="00CB7E46" w:rsidRDefault="00A04069" w:rsidP="00A04069">
            <w:pPr>
              <w:pStyle w:val="BodyText"/>
            </w:pPr>
            <w:r w:rsidRPr="00CB7E46">
              <w:t>Interoperability Standards</w:t>
            </w:r>
          </w:p>
        </w:tc>
        <w:tc>
          <w:tcPr>
            <w:tcW w:w="9639" w:type="dxa"/>
          </w:tcPr>
          <w:p w14:paraId="3F7290BC" w14:textId="5D0B470F" w:rsidR="00A04069" w:rsidRPr="00CB7E46" w:rsidRDefault="00A04069" w:rsidP="00A04069">
            <w:pPr>
              <w:pStyle w:val="BodyText"/>
            </w:pPr>
            <w:r w:rsidRPr="00CB7E46">
              <w:t>Comply with open data principles of BS EN ISO 19650-4</w:t>
            </w:r>
          </w:p>
        </w:tc>
        <w:tc>
          <w:tcPr>
            <w:tcW w:w="1842" w:type="dxa"/>
          </w:tcPr>
          <w:p w14:paraId="29274C66" w14:textId="65CA73E2" w:rsidR="00A04069" w:rsidRPr="00CB7E46" w:rsidRDefault="00A04069" w:rsidP="00A04069">
            <w:pPr>
              <w:pStyle w:val="BodyText"/>
              <w:jc w:val="center"/>
            </w:pPr>
            <w:r w:rsidRPr="00CB7E46">
              <w:rPr>
                <w:sz w:val="18"/>
                <w:szCs w:val="18"/>
              </w:rPr>
              <w:t>Essential</w:t>
            </w:r>
          </w:p>
        </w:tc>
      </w:tr>
      <w:tr w:rsidR="00A04069" w:rsidRPr="00CB7E46" w14:paraId="22C78C71" w14:textId="77777777" w:rsidTr="00704175">
        <w:tc>
          <w:tcPr>
            <w:tcW w:w="704" w:type="dxa"/>
          </w:tcPr>
          <w:p w14:paraId="373F3200" w14:textId="31E538B8" w:rsidR="00A04069" w:rsidRPr="00CB7E46" w:rsidRDefault="00A04069" w:rsidP="00A04069">
            <w:pPr>
              <w:pStyle w:val="BodyText"/>
            </w:pPr>
            <w:r w:rsidRPr="00CB7E46">
              <w:t>13.2</w:t>
            </w:r>
          </w:p>
        </w:tc>
        <w:tc>
          <w:tcPr>
            <w:tcW w:w="1985" w:type="dxa"/>
          </w:tcPr>
          <w:p w14:paraId="0E6DFA1A" w14:textId="6E18032A" w:rsidR="00A04069" w:rsidRPr="00CB7E46" w:rsidRDefault="00A04069" w:rsidP="00A04069">
            <w:pPr>
              <w:pStyle w:val="BodyText"/>
            </w:pPr>
            <w:r w:rsidRPr="00CB7E46">
              <w:t>Interoperability Standards</w:t>
            </w:r>
          </w:p>
        </w:tc>
        <w:tc>
          <w:tcPr>
            <w:tcW w:w="9639" w:type="dxa"/>
          </w:tcPr>
          <w:p w14:paraId="2C207197" w14:textId="14B1E797" w:rsidR="00A04069" w:rsidRPr="00CB7E46" w:rsidRDefault="00A04069" w:rsidP="00A04069">
            <w:pPr>
              <w:pStyle w:val="BodyText"/>
            </w:pPr>
            <w:r w:rsidRPr="00CB7E46">
              <w:t>Use common data schemas and classification where possible (</w:t>
            </w:r>
            <w:proofErr w:type="spellStart"/>
            <w:r w:rsidRPr="00CB7E46">
              <w:t>e.g</w:t>
            </w:r>
            <w:proofErr w:type="spellEnd"/>
            <w:r w:rsidRPr="00CB7E46">
              <w:t xml:space="preserve"> </w:t>
            </w:r>
            <w:proofErr w:type="spellStart"/>
            <w:r w:rsidRPr="00CB7E46">
              <w:t>Uniclass</w:t>
            </w:r>
            <w:proofErr w:type="spellEnd"/>
            <w:r w:rsidRPr="00CB7E46">
              <w:t xml:space="preserve"> 2015)</w:t>
            </w:r>
          </w:p>
        </w:tc>
        <w:tc>
          <w:tcPr>
            <w:tcW w:w="1842" w:type="dxa"/>
          </w:tcPr>
          <w:p w14:paraId="73B285E5" w14:textId="22CC7FFE" w:rsidR="00A04069" w:rsidRPr="00CB7E46" w:rsidRDefault="00A04069" w:rsidP="00A04069">
            <w:pPr>
              <w:pStyle w:val="BodyText"/>
              <w:jc w:val="center"/>
            </w:pPr>
            <w:r w:rsidRPr="00CB7E46">
              <w:rPr>
                <w:sz w:val="18"/>
                <w:szCs w:val="18"/>
              </w:rPr>
              <w:t>Essential</w:t>
            </w:r>
          </w:p>
        </w:tc>
      </w:tr>
      <w:tr w:rsidR="00A04069" w:rsidRPr="00CB7E46" w14:paraId="7D052D02" w14:textId="77777777" w:rsidTr="00704175">
        <w:tc>
          <w:tcPr>
            <w:tcW w:w="704" w:type="dxa"/>
          </w:tcPr>
          <w:p w14:paraId="09D0F790" w14:textId="32FEE412" w:rsidR="00A04069" w:rsidRPr="00CB7E46" w:rsidRDefault="00A04069" w:rsidP="00A04069">
            <w:pPr>
              <w:pStyle w:val="BodyText"/>
            </w:pPr>
            <w:r w:rsidRPr="00CB7E46">
              <w:t>13.3</w:t>
            </w:r>
          </w:p>
        </w:tc>
        <w:tc>
          <w:tcPr>
            <w:tcW w:w="1985" w:type="dxa"/>
          </w:tcPr>
          <w:p w14:paraId="30B609FC" w14:textId="2A3E4BAF" w:rsidR="00A04069" w:rsidRPr="00CB7E46" w:rsidRDefault="00A04069" w:rsidP="00A04069">
            <w:pPr>
              <w:pStyle w:val="BodyText"/>
            </w:pPr>
            <w:r w:rsidRPr="00CB7E46">
              <w:t>Interoperability Standards</w:t>
            </w:r>
          </w:p>
        </w:tc>
        <w:tc>
          <w:tcPr>
            <w:tcW w:w="9639" w:type="dxa"/>
          </w:tcPr>
          <w:p w14:paraId="52A9C4A3" w14:textId="080E36DE" w:rsidR="00A04069" w:rsidRPr="00CB7E46" w:rsidRDefault="00A04069" w:rsidP="00A04069">
            <w:pPr>
              <w:pStyle w:val="BodyText"/>
            </w:pPr>
            <w:r w:rsidRPr="00CB7E46">
              <w:t>Avoid use of proprietary data structures that restrict future migration into other CCDE platforms</w:t>
            </w:r>
          </w:p>
        </w:tc>
        <w:tc>
          <w:tcPr>
            <w:tcW w:w="1842" w:type="dxa"/>
          </w:tcPr>
          <w:p w14:paraId="55E994FA" w14:textId="1A56F36A" w:rsidR="00A04069" w:rsidRPr="00CB7E46" w:rsidRDefault="00A04069" w:rsidP="00A04069">
            <w:pPr>
              <w:pStyle w:val="BodyText"/>
              <w:jc w:val="center"/>
            </w:pPr>
            <w:r w:rsidRPr="00CB7E46">
              <w:rPr>
                <w:sz w:val="18"/>
                <w:szCs w:val="18"/>
              </w:rPr>
              <w:t>Essential</w:t>
            </w:r>
          </w:p>
        </w:tc>
      </w:tr>
      <w:tr w:rsidR="00A04069" w:rsidRPr="00CB7E46" w14:paraId="1C55DAE6" w14:textId="77777777" w:rsidTr="00704175">
        <w:tc>
          <w:tcPr>
            <w:tcW w:w="704" w:type="dxa"/>
          </w:tcPr>
          <w:p w14:paraId="1F5FF42A" w14:textId="3A6792CE" w:rsidR="00A04069" w:rsidRPr="00CB7E46" w:rsidRDefault="00A04069" w:rsidP="00A04069">
            <w:pPr>
              <w:pStyle w:val="BodyText"/>
            </w:pPr>
            <w:r w:rsidRPr="00CB7E46">
              <w:t>13.4</w:t>
            </w:r>
          </w:p>
        </w:tc>
        <w:tc>
          <w:tcPr>
            <w:tcW w:w="1985" w:type="dxa"/>
          </w:tcPr>
          <w:p w14:paraId="3F26B80D" w14:textId="03BD2D24" w:rsidR="00A04069" w:rsidRPr="00CB7E46" w:rsidRDefault="00A04069" w:rsidP="00A04069">
            <w:pPr>
              <w:pStyle w:val="BodyText"/>
            </w:pPr>
            <w:r w:rsidRPr="00CB7E46">
              <w:t>Interoperability Standards</w:t>
            </w:r>
          </w:p>
        </w:tc>
        <w:tc>
          <w:tcPr>
            <w:tcW w:w="9639" w:type="dxa"/>
          </w:tcPr>
          <w:p w14:paraId="4B6FA32D" w14:textId="01585A83" w:rsidR="00A04069" w:rsidRPr="00CB7E46" w:rsidRDefault="00A04069" w:rsidP="00A04069">
            <w:pPr>
              <w:pStyle w:val="BodyText"/>
            </w:pPr>
            <w:r w:rsidRPr="00CB7E46">
              <w:t>Supports export to additional open formats where possible</w:t>
            </w:r>
          </w:p>
        </w:tc>
        <w:tc>
          <w:tcPr>
            <w:tcW w:w="1842" w:type="dxa"/>
          </w:tcPr>
          <w:p w14:paraId="14D3CC6B" w14:textId="1903016F" w:rsidR="00A04069" w:rsidRPr="00CB7E46" w:rsidRDefault="00A04069" w:rsidP="00A04069">
            <w:pPr>
              <w:pStyle w:val="BodyText"/>
              <w:jc w:val="center"/>
              <w:rPr>
                <w:sz w:val="18"/>
                <w:szCs w:val="18"/>
              </w:rPr>
            </w:pPr>
            <w:r w:rsidRPr="00CB7E46">
              <w:rPr>
                <w:sz w:val="18"/>
                <w:szCs w:val="18"/>
              </w:rPr>
              <w:t>Desirable</w:t>
            </w:r>
          </w:p>
        </w:tc>
      </w:tr>
    </w:tbl>
    <w:p w14:paraId="1D53C570" w14:textId="77777777" w:rsidR="00FB4DD4" w:rsidRPr="00CB7E46" w:rsidRDefault="00FB4DD4" w:rsidP="00F317E2">
      <w:pPr>
        <w:sectPr w:rsidR="00FB4DD4" w:rsidRPr="00CB7E46" w:rsidSect="00F317E2">
          <w:headerReference w:type="default" r:id="rId16"/>
          <w:headerReference w:type="first" r:id="rId17"/>
          <w:footerReference w:type="first" r:id="rId18"/>
          <w:pgSz w:w="16838" w:h="11906" w:orient="landscape" w:code="9"/>
          <w:pgMar w:top="1588" w:right="1021" w:bottom="1021" w:left="1588" w:header="680" w:footer="369" w:gutter="0"/>
          <w:cols w:space="708"/>
          <w:titlePg/>
          <w:docGrid w:linePitch="360"/>
        </w:sectPr>
      </w:pPr>
    </w:p>
    <w:p w14:paraId="54565E89" w14:textId="18B3313A" w:rsidR="00E70708" w:rsidRDefault="00323D56" w:rsidP="00E70708">
      <w:pPr>
        <w:pStyle w:val="Heading1"/>
      </w:pPr>
      <w:r w:rsidRPr="00CB7E46">
        <w:lastRenderedPageBreak/>
        <w:t>References</w:t>
      </w:r>
    </w:p>
    <w:p w14:paraId="6B2CF21E" w14:textId="354869E8" w:rsidR="00E91B4A" w:rsidRDefault="00E91B4A" w:rsidP="00E91B4A">
      <w:pPr>
        <w:pStyle w:val="BodyText"/>
      </w:pPr>
      <w:r>
        <w:t xml:space="preserve">The below sets out the key documents </w:t>
      </w:r>
      <w:r w:rsidR="00063B53">
        <w:t>for reference</w:t>
      </w:r>
      <w:r w:rsidR="00A14EDF">
        <w:t xml:space="preserve"> and the associated links on the Lead Consultant’s CDE. </w:t>
      </w:r>
      <w:r w:rsidR="00726189">
        <w:t xml:space="preserve">Should access be required for any of </w:t>
      </w:r>
      <w:r w:rsidR="007240D2">
        <w:t xml:space="preserve">the documents as part of the tender exercise, </w:t>
      </w:r>
      <w:r w:rsidR="00CE219F">
        <w:t>please contact</w:t>
      </w:r>
      <w:r w:rsidR="00B1728B">
        <w:t xml:space="preserve"> </w:t>
      </w:r>
      <w:r w:rsidR="00B1728B" w:rsidRPr="00B1728B">
        <w:t>Jim.O'Brien@mcht.nhs.uk</w:t>
      </w:r>
    </w:p>
    <w:p w14:paraId="3B6F029B" w14:textId="77777777" w:rsidR="002E206A" w:rsidRDefault="002E206A" w:rsidP="00E91B4A">
      <w:pPr>
        <w:pStyle w:val="BodyText"/>
      </w:pPr>
    </w:p>
    <w:p w14:paraId="47FD95BC" w14:textId="395627FE" w:rsidR="006D7B63" w:rsidRPr="00CB7E46" w:rsidRDefault="006F179B" w:rsidP="006D7B63">
      <w:pPr>
        <w:pStyle w:val="Heading2"/>
      </w:pPr>
      <w:r w:rsidRPr="00CB7E46">
        <w:t>BIM Strategy</w:t>
      </w:r>
      <w:r w:rsidR="00ED2731" w:rsidRPr="00CB7E46">
        <w:t xml:space="preserve"> </w:t>
      </w:r>
      <w:r w:rsidR="00323D56" w:rsidRPr="00CB7E46">
        <w:tab/>
      </w:r>
      <w:r w:rsidR="00323D56" w:rsidRPr="00CB7E46">
        <w:tab/>
      </w:r>
      <w:r w:rsidR="00323D56" w:rsidRPr="00CB7E46">
        <w:tab/>
      </w:r>
      <w:r w:rsidR="00323D56" w:rsidRPr="00CB7E46">
        <w:tab/>
      </w:r>
      <w:r w:rsidR="00323D56" w:rsidRPr="00CB7E46">
        <w:tab/>
      </w:r>
      <w:r w:rsidR="00323D56" w:rsidRPr="00CB7E46">
        <w:tab/>
      </w:r>
      <w:r w:rsidR="006C1E27" w:rsidRPr="00CB7E46">
        <w:tab/>
      </w:r>
      <w:hyperlink r:id="rId19" w:history="1">
        <w:r w:rsidRPr="0094702A">
          <w:rPr>
            <w:rStyle w:val="Hyperlink"/>
          </w:rPr>
          <w:t>LHC-OKA-XX-XX-RP-OI-</w:t>
        </w:r>
        <w:r w:rsidR="00E625C0" w:rsidRPr="0094702A">
          <w:rPr>
            <w:rStyle w:val="Hyperlink"/>
          </w:rPr>
          <w:t>60000</w:t>
        </w:r>
        <w:r w:rsidR="00C31012" w:rsidRPr="0094702A">
          <w:rPr>
            <w:rStyle w:val="Hyperlink"/>
          </w:rPr>
          <w:t>1</w:t>
        </w:r>
      </w:hyperlink>
    </w:p>
    <w:p w14:paraId="620E6228" w14:textId="74D1A94C" w:rsidR="0047791C" w:rsidRPr="00CB7E46" w:rsidRDefault="0047791C" w:rsidP="0047791C">
      <w:pPr>
        <w:pStyle w:val="Heading2"/>
      </w:pPr>
      <w:r w:rsidRPr="00CB7E46">
        <w:t xml:space="preserve">Information Container Naming Convention </w:t>
      </w:r>
      <w:r w:rsidR="00323D56" w:rsidRPr="00CB7E46">
        <w:tab/>
      </w:r>
      <w:r w:rsidR="00323D56" w:rsidRPr="00CB7E46">
        <w:tab/>
      </w:r>
      <w:r w:rsidR="006C1E27" w:rsidRPr="00CB7E46">
        <w:tab/>
      </w:r>
      <w:hyperlink r:id="rId20" w:history="1">
        <w:r w:rsidRPr="001E645F">
          <w:rPr>
            <w:rStyle w:val="Hyperlink"/>
          </w:rPr>
          <w:t>LHC-OKA-XX-XX-SD-OI-200005</w:t>
        </w:r>
      </w:hyperlink>
    </w:p>
    <w:p w14:paraId="538BA550" w14:textId="2C9BEC14" w:rsidR="00323D56" w:rsidRPr="00CB7E46" w:rsidRDefault="00323D56" w:rsidP="00323D56">
      <w:pPr>
        <w:pStyle w:val="Heading2"/>
      </w:pPr>
      <w:r w:rsidRPr="00CB7E46">
        <w:t xml:space="preserve">Organisational Information Requirements (OIR) </w:t>
      </w:r>
      <w:r w:rsidRPr="00CB7E46">
        <w:tab/>
      </w:r>
      <w:r w:rsidR="006C1E27" w:rsidRPr="00CB7E46">
        <w:tab/>
      </w:r>
      <w:hyperlink r:id="rId21" w:history="1">
        <w:r w:rsidRPr="009826AF">
          <w:rPr>
            <w:rStyle w:val="Hyperlink"/>
          </w:rPr>
          <w:t>LHC-OKA-XX-XX-</w:t>
        </w:r>
        <w:r w:rsidR="00685C54" w:rsidRPr="009826AF">
          <w:rPr>
            <w:rStyle w:val="Hyperlink"/>
          </w:rPr>
          <w:t>SH</w:t>
        </w:r>
        <w:r w:rsidRPr="009826AF">
          <w:rPr>
            <w:rStyle w:val="Hyperlink"/>
          </w:rPr>
          <w:t>-OI-600001</w:t>
        </w:r>
      </w:hyperlink>
    </w:p>
    <w:p w14:paraId="0E861AC9" w14:textId="2CA84697" w:rsidR="00323D56" w:rsidRPr="00CB7E46" w:rsidRDefault="00323D56" w:rsidP="00323D56">
      <w:pPr>
        <w:pStyle w:val="Heading2"/>
      </w:pPr>
      <w:r w:rsidRPr="00CB7E46">
        <w:t xml:space="preserve">Asset Information Requirements (AIR) </w:t>
      </w:r>
      <w:r w:rsidR="00685C54" w:rsidRPr="00CB7E46">
        <w:tab/>
      </w:r>
      <w:r w:rsidR="00685C54" w:rsidRPr="00CB7E46">
        <w:tab/>
      </w:r>
      <w:r w:rsidR="006C1E27" w:rsidRPr="00CB7E46">
        <w:tab/>
      </w:r>
      <w:hyperlink r:id="rId22" w:history="1">
        <w:r w:rsidRPr="00805883">
          <w:rPr>
            <w:rStyle w:val="Hyperlink"/>
          </w:rPr>
          <w:t>LHC-OKA-XX-XX-</w:t>
        </w:r>
        <w:r w:rsidR="00685C54" w:rsidRPr="00805883">
          <w:rPr>
            <w:rStyle w:val="Hyperlink"/>
          </w:rPr>
          <w:t>SH</w:t>
        </w:r>
        <w:r w:rsidRPr="00805883">
          <w:rPr>
            <w:rStyle w:val="Hyperlink"/>
          </w:rPr>
          <w:t>-OI-600002</w:t>
        </w:r>
      </w:hyperlink>
    </w:p>
    <w:p w14:paraId="171CA5D4" w14:textId="79B31C0A" w:rsidR="00323D56" w:rsidRPr="00CB7E46" w:rsidRDefault="00323D56" w:rsidP="00323D56">
      <w:pPr>
        <w:pStyle w:val="Heading2"/>
      </w:pPr>
      <w:r w:rsidRPr="00CB7E46">
        <w:t>Project Information Requirements (PIR)</w:t>
      </w:r>
      <w:r w:rsidR="00685C54" w:rsidRPr="00CB7E46">
        <w:tab/>
      </w:r>
      <w:r w:rsidR="00685C54" w:rsidRPr="00CB7E46">
        <w:tab/>
      </w:r>
      <w:r w:rsidR="006C1E27" w:rsidRPr="00CB7E46">
        <w:tab/>
      </w:r>
      <w:hyperlink r:id="rId23" w:history="1">
        <w:r w:rsidR="00685C54" w:rsidRPr="00A14EDF">
          <w:rPr>
            <w:rStyle w:val="Hyperlink"/>
          </w:rPr>
          <w:t>LHC-OKA-XX-XX-SH-OI-60000</w:t>
        </w:r>
        <w:r w:rsidR="0079336E" w:rsidRPr="00A14EDF">
          <w:rPr>
            <w:rStyle w:val="Hyperlink"/>
          </w:rPr>
          <w:t>3</w:t>
        </w:r>
      </w:hyperlink>
    </w:p>
    <w:p w14:paraId="58F6CBA0" w14:textId="7ADB7BBF" w:rsidR="00323D56" w:rsidRPr="00CB7E46" w:rsidRDefault="00323D56" w:rsidP="00323D56">
      <w:pPr>
        <w:pStyle w:val="Heading2"/>
      </w:pPr>
      <w:r w:rsidRPr="00CB7E46">
        <w:t>Exchange Information Requirements (EIR)</w:t>
      </w:r>
      <w:r w:rsidR="00685C54" w:rsidRPr="00CB7E46">
        <w:tab/>
      </w:r>
      <w:r w:rsidR="00685C54" w:rsidRPr="00CB7E46">
        <w:tab/>
      </w:r>
      <w:r w:rsidR="006C1E27" w:rsidRPr="00CB7E46">
        <w:tab/>
      </w:r>
      <w:hyperlink r:id="rId24" w:history="1">
        <w:r w:rsidR="00685C54" w:rsidRPr="00E91B4A">
          <w:rPr>
            <w:rStyle w:val="Hyperlink"/>
          </w:rPr>
          <w:t>LHC-OKA-XX-XX-</w:t>
        </w:r>
        <w:r w:rsidR="00E91B4A" w:rsidRPr="00E91B4A">
          <w:rPr>
            <w:rStyle w:val="Hyperlink"/>
          </w:rPr>
          <w:t>RP</w:t>
        </w:r>
        <w:r w:rsidR="00685C54" w:rsidRPr="00E91B4A">
          <w:rPr>
            <w:rStyle w:val="Hyperlink"/>
          </w:rPr>
          <w:t>-OI-200001</w:t>
        </w:r>
      </w:hyperlink>
    </w:p>
    <w:p w14:paraId="12BD8739" w14:textId="234D3D96" w:rsidR="00323D56" w:rsidRPr="00CB7E46" w:rsidRDefault="00323D56" w:rsidP="00323D56">
      <w:pPr>
        <w:pStyle w:val="Heading2"/>
      </w:pPr>
      <w:r w:rsidRPr="00CB7E46">
        <w:t>Exchange Information Requirements (EIR): Appendix A</w:t>
      </w:r>
      <w:r w:rsidR="00685C54" w:rsidRPr="00CB7E46">
        <w:tab/>
      </w:r>
      <w:hyperlink r:id="rId25" w:history="1">
        <w:r w:rsidR="00685C54" w:rsidRPr="00A64D59">
          <w:rPr>
            <w:rStyle w:val="Hyperlink"/>
          </w:rPr>
          <w:t>LHC-OKA-XX-XX-SH-OI-200002</w:t>
        </w:r>
      </w:hyperlink>
    </w:p>
    <w:p w14:paraId="60C27551" w14:textId="77777777" w:rsidR="00323D56" w:rsidRPr="00323D56" w:rsidRDefault="00323D56" w:rsidP="00323D56">
      <w:pPr>
        <w:pStyle w:val="BodyText"/>
      </w:pPr>
    </w:p>
    <w:p w14:paraId="2AD4AB1E" w14:textId="77777777" w:rsidR="00225148" w:rsidRPr="00225148" w:rsidRDefault="00225148" w:rsidP="00225148">
      <w:pPr>
        <w:pStyle w:val="BodyText"/>
      </w:pPr>
    </w:p>
    <w:sectPr w:rsidR="00225148" w:rsidRPr="00225148" w:rsidSect="00F317E2">
      <w:headerReference w:type="default" r:id="rId26"/>
      <w:headerReference w:type="first" r:id="rId27"/>
      <w:footerReference w:type="first" r:id="rId28"/>
      <w:pgSz w:w="11906" w:h="16838" w:code="9"/>
      <w:pgMar w:top="1021" w:right="1021" w:bottom="1588" w:left="1588" w:header="68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4079" w14:textId="77777777" w:rsidR="00083221" w:rsidRDefault="00083221" w:rsidP="00FE3324">
      <w:r>
        <w:separator/>
      </w:r>
    </w:p>
  </w:endnote>
  <w:endnote w:type="continuationSeparator" w:id="0">
    <w:p w14:paraId="11A04D18" w14:textId="77777777" w:rsidR="00083221" w:rsidRDefault="00083221" w:rsidP="00F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Poppins">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Poppins SemiBold">
    <w:charset w:val="00"/>
    <w:family w:val="auto"/>
    <w:pitch w:val="variable"/>
    <w:sig w:usb0="00008007"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BAEC" w14:textId="40D85CDE" w:rsidR="007E64CF" w:rsidRDefault="007E64CF" w:rsidP="004E6C59">
    <w:pPr>
      <w:pStyle w:val="Footeralt"/>
      <w:ind w:left="0"/>
    </w:pPr>
    <w:r>
      <w:rPr>
        <w:noProof/>
      </w:rPr>
      <mc:AlternateContent>
        <mc:Choice Requires="wpg">
          <w:drawing>
            <wp:anchor distT="0" distB="0" distL="114300" distR="114300" simplePos="0" relativeHeight="251658240" behindDoc="0" locked="1" layoutInCell="1" allowOverlap="1" wp14:anchorId="4A2C875B" wp14:editId="29519AEE">
              <wp:simplePos x="0" y="0"/>
              <wp:positionH relativeFrom="page">
                <wp:align>right</wp:align>
              </wp:positionH>
              <wp:positionV relativeFrom="page">
                <wp:align>bottom</wp:align>
              </wp:positionV>
              <wp:extent cx="540000" cy="360000"/>
              <wp:effectExtent l="0" t="0" r="0" b="21590"/>
              <wp:wrapNone/>
              <wp:docPr id="2035264046"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1970561616"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70181307"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26D41EB">
            <v:group id="Group 5" style="position:absolute;margin-left:-8.7pt;margin-top:0;width:42.5pt;height:28.35pt;z-index:251663360;mso-position-horizontal:right;mso-position-horizontal-relative:page;mso-position-vertical:bottom;mso-position-vertical-relative:page;mso-width-relative:margin;mso-height-relative:margin" coordsize="5400,3600" o:spid="_x0000_s1026" w14:anchorId="73207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t2KgMAAMIIAAAOAAAAZHJzL2Uyb0RvYy54bWy8Vm1P2zAQ/j5p/8Hy95GkLxQiUlSVgSYh&#10;QJSJz8axk0iO7dlu0+7X7+w0oYPyMqatlVI79+K7x8/d9eR0XQu0YsZWSmY4OYgxYpKqvJJFhr/f&#10;nX85wsg6InMilGQZ3jCLT6efP500OmUDVSqRM4PAibRpozNcOqfTKLK0ZDWxB0ozCUKuTE0cbE0R&#10;5YY04L0W0SCOD6NGmVwbRZm18PasFeJp8M85o+6ac8scEhmG2Fx4mvB88M9oekLSwhBdVnQbBvlA&#10;FDWpJBzauzojjqClqZ65qitqlFXcHVBVR4rzirKQA2STxE+yuTBqqUMuRdoUuocJoH2C04fd0qvV&#10;hdELfWMAiUYXgEXY+VzW3NT+F6JE6wDZpoeMrR2i8HI8iuGDEQXR8DCsA6S0BNyfWdHy66t2UXdo&#10;9FsojQZy2Mf87d/lvyiJZgFWm0L+NwZVOXD3eBKPDxP4YiRJDVxdOEOqonRorqQEJimDhp4wPhyw&#10;m8staDa1gN97EevAGh+PksC/PmmSamPdBVM18osMi0r6OElKVpfWwcmg2qn410KiBgIfTOAGvNQH&#10;1oYSVm4jWKt2yzjkCNeVBHehuthcGLQiUBeEUiZdElx4p6DtzXglRG8Yv2241femLFTenxj3FuFk&#10;JV1vXFdSmX2nu3UXMm/1OwTavD0EDyrfhEsK0ACF2sv751waTuLkKBnGk45Kt0AfIgvB0GiHQX3Z&#10;ddfW0f8jNfcyjQwc/hqNpDqHqw5l2zJqmEzGwaCXgHMhO3wD2V9i2GDfVXUM85drS5KzlnjJ2PeO&#10;ltc9JwPL95PwHez93yQUfd28QUJkVDt8rKbnFZT3JbHuhhiYNtARYIK6a3hwoaCi1XaFUanMz33v&#10;vT40QZBi1MD0yrD9sSSGYSS+SWiPx8lo5Mdd2IzGkwFszK7kYVcil/VcQSNIYFZrGpZe34luyY2q&#10;72HQzvypICKSwtkZps50m7lrpyqMaspms6AGI04TdykXmnatx7evu/U9MXrb4xxMkivVteRnra7V&#10;9byRarZ0ilehDz4W95aUobbD1IBBGSi0Hep+Eu/ug/7jX4/pLwAAAP//AwBQSwMEFAAGAAgAAAAh&#10;AJwrICzaAAAAAwEAAA8AAABkcnMvZG93bnJldi54bWxMj0FLw0AQhe+C/2EZwZvdREktaTalFPVU&#10;BFtBepsm0yQ0Oxuy2yT9945e9PLg8Yb3vslWk23VQL1vHBuIZxEo4sKVDVcGPvevDwtQPiCX2Dom&#10;A1fysMpvbzJMSzfyBw27UCkpYZ+igTqELtXaFzVZ9DPXEUt2cr3FILavdNnjKOW21Y9RNNcWG5aF&#10;Gjva1FScdxdr4G3Ecf0Uvwzb82lzPeyT969tTMbc303rJahAU/g7hh98QYdcmI7uwqVXrQF5JPyq&#10;ZItE3NFAMn8GnWf6P3v+DQAA//8DAFBLAQItABQABgAIAAAAIQC2gziS/gAAAOEBAAATAAAAAAAA&#10;AAAAAAAAAAAAAABbQ29udGVudF9UeXBlc10ueG1sUEsBAi0AFAAGAAgAAAAhADj9If/WAAAAlAEA&#10;AAsAAAAAAAAAAAAAAAAALwEAAF9yZWxzLy5yZWxzUEsBAi0AFAAGAAgAAAAhAGFli3YqAwAAwggA&#10;AA4AAAAAAAAAAAAAAAAALgIAAGRycy9lMm9Eb2MueG1sUEsBAi0AFAAGAAgAAAAhAJwrICzaAAAA&#10;AwEAAA8AAAAAAAAAAAAAAAAAhAUAAGRycy9kb3ducmV2LnhtbFBLBQYAAAAABAAEAPMAAACLBgAA&#10;AAA=&#10;">
              <v:line id="Straight Connector 3" style="position:absolute;visibility:visible;mso-wrap-style:square" o:spid="_x0000_s1027" strokecolor="#ee526c [3204]" strokeweight="1pt" o:connectortype="straight" from="0,0" to="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y1yQAAAOMAAAAPAAAAZHJzL2Rvd25yZXYueG1sRE/RasJA&#10;EHwv9B+OLfhWLxFMa+oppaD4IkFb9XXNrUlobi/mThP/3hMKZZ52Z2dmZzrvTS2u1LrKsoJ4GIEg&#10;zq2uuFDw8714fQfhPLLG2jIpuJGD+ez5aYqpth1v6Lr1hQgm7FJUUHrfpFK6vCSDbmgb4sCdbGvQ&#10;h7EtpG6xC+amlqMoSqTBikNCiQ19lZT/bi9GwSjLzOF0jM9ar5Mi2+9q2S13Sg1e+s8PEJ56/3/8&#10;p17p8P7kLRoncQA8OoUFyNkdAAD//wMAUEsBAi0AFAAGAAgAAAAhANvh9svuAAAAhQEAABMAAAAA&#10;AAAAAAAAAAAAAAAAAFtDb250ZW50X1R5cGVzXS54bWxQSwECLQAUAAYACAAAACEAWvQsW78AAAAV&#10;AQAACwAAAAAAAAAAAAAAAAAfAQAAX3JlbHMvLnJlbHNQSwECLQAUAAYACAAAACEAYoostckAAADj&#10;AAAADwAAAAAAAAAAAAAAAAAHAgAAZHJzL2Rvd25yZXYueG1sUEsFBgAAAAADAAMAtwAAAP0CAAAA&#10;AA==&#10;">
                <v:stroke joinstyle="miter"/>
              </v:line>
              <v:rect id="Rectangle 4" style="position:absolute;width:5400;height:3600;visibility:visible;mso-wrap-style:square;v-text-anchor:middle" o:spid="_x0000_s1028" filled="f" strok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mcyQAAAOIAAAAPAAAAZHJzL2Rvd25yZXYueG1sRI9fa8Iw&#10;FMXfB36HcIW9zaQTplSjDGXdcE9zQ/Dt0lzbuuamNLGt394Igz0ezp8fZ7kebC06an3lWEMyUSCI&#10;c2cqLjT8fL89zUH4gGywdkwaruRhvRo9LDE1rucv6vahEHGEfYoayhCaVEqfl2TRT1xDHL2Tay2G&#10;KNtCmhb7OG5r+azUi7RYcSSU2NCmpPx3f7GRm31Wh0x1780lO/Z97re7kzxr/TgeXhcgAg3hP/zX&#10;/jAapjOVzJOpmsH9UrwDcnUDAAD//wMAUEsBAi0AFAAGAAgAAAAhANvh9svuAAAAhQEAABMAAAAA&#10;AAAAAAAAAAAAAAAAAFtDb250ZW50X1R5cGVzXS54bWxQSwECLQAUAAYACAAAACEAWvQsW78AAAAV&#10;AQAACwAAAAAAAAAAAAAAAAAfAQAAX3JlbHMvLnJlbHNQSwECLQAUAAYACAAAACEACOIJnMkAAADi&#10;AAAADwAAAAAAAAAAAAAAAAAHAgAAZHJzL2Rvd25yZXYueG1sUEsFBgAAAAADAAMAtwAAAP0CAAAA&#10;AA==&#10;"/>
              <w10:wrap anchorx="page" anchory="page"/>
              <w10:anchorlock/>
            </v:group>
          </w:pict>
        </mc:Fallback>
      </mc:AlternateContent>
    </w:r>
    <w:r w:rsidR="004E6C59">
      <w:t xml:space="preserve"> </w: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sidRPr="00C53BFD">
      <w:rPr>
        <w:noProof/>
        <w:color w:val="333333" w:themeColor="text2"/>
        <w:sz w:val="20"/>
      </w:rPr>
      <w:t>1</w:t>
    </w:r>
    <w:r w:rsidRPr="00C53BFD">
      <w:rPr>
        <w:color w:val="333333" w:themeColor="text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4927"/>
      <w:gridCol w:w="4927"/>
    </w:tblGrid>
    <w:tr w:rsidR="00F928AE" w14:paraId="6DE2AE46" w14:textId="77777777" w:rsidTr="00F928AE">
      <w:tc>
        <w:tcPr>
          <w:tcW w:w="9854" w:type="dxa"/>
          <w:gridSpan w:val="2"/>
          <w:tcMar>
            <w:left w:w="0" w:type="dxa"/>
          </w:tcMar>
        </w:tcPr>
        <w:p w14:paraId="5A5AF12A" w14:textId="2A28724F" w:rsidR="00F928AE" w:rsidRPr="003C387C" w:rsidRDefault="00F928AE" w:rsidP="00F928AE">
          <w:pPr>
            <w:pStyle w:val="BodyText"/>
          </w:pPr>
        </w:p>
      </w:tc>
    </w:tr>
    <w:tr w:rsidR="00F928AE" w:rsidRPr="00453DB9" w14:paraId="34455049" w14:textId="77777777" w:rsidTr="00F928AE">
      <w:tc>
        <w:tcPr>
          <w:tcW w:w="4927" w:type="dxa"/>
          <w:tcBorders>
            <w:left w:val="single" w:sz="8" w:space="0" w:color="DADADA" w:themeColor="background2"/>
            <w:right w:val="single" w:sz="8" w:space="0" w:color="DADADA" w:themeColor="background2"/>
          </w:tcBorders>
        </w:tcPr>
        <w:p w14:paraId="6528239E" w14:textId="2B391FB4" w:rsidR="00F928AE" w:rsidRPr="003C387C" w:rsidRDefault="00F928AE" w:rsidP="00F928AE">
          <w:pPr>
            <w:tabs>
              <w:tab w:val="left" w:pos="993"/>
            </w:tabs>
            <w:rPr>
              <w:sz w:val="14"/>
              <w:szCs w:val="14"/>
            </w:rPr>
          </w:pPr>
        </w:p>
      </w:tc>
      <w:tc>
        <w:tcPr>
          <w:tcW w:w="4927" w:type="dxa"/>
          <w:tcBorders>
            <w:left w:val="single" w:sz="8" w:space="0" w:color="DADADA" w:themeColor="background2"/>
          </w:tcBorders>
        </w:tcPr>
        <w:p w14:paraId="0C264C2F" w14:textId="0E3258C3" w:rsidR="00F928AE" w:rsidRPr="003C387C" w:rsidRDefault="00F928AE" w:rsidP="00F928AE">
          <w:pPr>
            <w:tabs>
              <w:tab w:val="left" w:pos="1247"/>
            </w:tabs>
            <w:rPr>
              <w:sz w:val="14"/>
              <w:szCs w:val="14"/>
              <w:lang w:val="fr-FR"/>
            </w:rPr>
          </w:pPr>
        </w:p>
      </w:tc>
    </w:tr>
  </w:tbl>
  <w:p w14:paraId="6225D69C" w14:textId="77777777" w:rsidR="00F928AE" w:rsidRPr="00F928AE" w:rsidRDefault="00F928AE" w:rsidP="007270E2">
    <w:pPr>
      <w:pStyle w:val="Footeralt"/>
      <w:rPr>
        <w:lang w:val="fr-FR"/>
      </w:rPr>
    </w:pPr>
  </w:p>
  <w:p w14:paraId="60A7138F" w14:textId="05BF8252" w:rsidR="007270E2" w:rsidRPr="007270E2" w:rsidRDefault="007270E2" w:rsidP="007270E2">
    <w:pPr>
      <w:pStyle w:val="Footeralt"/>
    </w:pPr>
    <w:r>
      <w:rPr>
        <w:noProof/>
      </w:rPr>
      <mc:AlternateContent>
        <mc:Choice Requires="wpg">
          <w:drawing>
            <wp:anchor distT="0" distB="0" distL="114300" distR="114300" simplePos="0" relativeHeight="251658243" behindDoc="0" locked="1" layoutInCell="1" allowOverlap="1" wp14:anchorId="291DDFBE" wp14:editId="7A1D4CDE">
              <wp:simplePos x="0" y="0"/>
              <wp:positionH relativeFrom="page">
                <wp:align>right</wp:align>
              </wp:positionH>
              <wp:positionV relativeFrom="page">
                <wp:align>bottom</wp:align>
              </wp:positionV>
              <wp:extent cx="540000" cy="360000"/>
              <wp:effectExtent l="0" t="0" r="0" b="21590"/>
              <wp:wrapNone/>
              <wp:docPr id="127850198"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199329479"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98686268"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7916FDC">
            <v:group id="Group 5" style="position:absolute;margin-left:-8.7pt;margin-top:0;width:42.5pt;height:28.35pt;z-index:251671552;mso-position-horizontal:right;mso-position-horizontal-relative:page;mso-position-vertical:bottom;mso-position-vertical-relative:page;mso-width-relative:margin;mso-height-relative:margin" coordsize="5400,3600" o:spid="_x0000_s1026" w14:anchorId="7320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1LAMAAMIIAAAOAAAAZHJzL2Uyb0RvYy54bWy8VltP2zAUfp+0/2D5faTpjTYiRVUZaBIC&#10;RJl4No6dRHJsz3abdr9+x04TOiiXMW08GDvn4nM+f+ecnpxuKoHWzNhSyRTHRz2MmKQqK2We4u93&#10;518mGFlHZEaEkizFW2bx6ezzp5NaJ6yvCiUyZhA4kTapdYoL53QSRZYWrCL2SGkmQciVqYiDo8mj&#10;zJAavFci6vd646hWJtNGUWYtfD1rhHgW/HPOqLvm3DKHRIohNhdWE9YHv0azE5LkhuiipLswyAei&#10;qEgp4dLO1RlxBK1M+cxVVVKjrOLuiKoqUpyXlIUcIJu49ySbC6NWOuSSJ3WuO5gA2ic4fdgtvVpf&#10;GL3UNwaQqHUOWISTz2XDTeX/Q5RoEyDbdpCxjUMUPo6GPfjDiIJoMA77ACktAPdnVrT4+qpd1F4a&#10;/RZKrYEc9jF/+3f5LwuiWYDVJpD/jUFlBtydTgf96fB4ipEkFVB16Qwp88KhhZISiKQMGni++GjA&#10;bCF3mNnEAnzvBazFajQdxoF+Xc4k0ca6C6Yq5DcpFqX0YZKErC+tg5tBtVXxn4VENcTdP4YH8FIf&#10;WBNK2LmtYI3aLeOQIrxWHNyF4mILYdCaQFkQSpl0cXDhnYK2N+OlEJ1h723Dnb43ZaHw/sS4swg3&#10;K+k646qUyhy63W3akHmj3yLQ5O0heFDZNjxSgAYY1Dzev6fSZDoZT8b9MTS/hku3wB8ic8HQcI9C&#10;Xdm179bS/yM19zKPDFz+Go+kOoe3DmXbUGoQH4+CQScB50K2AAe2v0Sx/qG3ainmX9cWJGMN8+KR&#10;7x0NsTtSBpofZuE76Pu/WSi6wnmDhcioZvhYTc9LqO9LYt0NMTBtoCXABHXXsHChoKTVbodRoczP&#10;Q9+9PjRBkGJUw/RKsf2xIoZhJL5JaI/TeDj04y4chqPjPhzMvuRhXyJX1UJBJ4hhVmsatl7fiXbL&#10;jaruYdDO/a0gIpLC3SmmzrSHhWumKoxqyubzoAYjThN3KZeatr3H96+7zT0xetfkHEySK9W25Ge9&#10;rtH1vJFqvnKKl6ERPlb3jpShuMPUgEEZKLQb6n4S75+D/uNPj9kvAAAA//8DAFBLAwQUAAYACAAA&#10;ACEAnCsgLNoAAAADAQAADwAAAGRycy9kb3ducmV2LnhtbEyPQUvDQBCF74L/YRnBm91ESS1pNqUU&#10;9VQEW0F6mybTJDQ7G7LbJP33jl708uDxhve+yVaTbdVAvW8cG4hnESjiwpUNVwY+968PC1A+IJfY&#10;OiYDV/Kwym9vMkxLN/IHDbtQKSlhn6KBOoQu1doXNVn0M9cRS3ZyvcUgtq902eMo5bbVj1E01xYb&#10;loUaO9rUVJx3F2vgbcRx/RS/DNvzaXM97JP3r21MxtzfTeslqEBT+DuGH3xBh1yYju7CpVetAXkk&#10;/Kpki0Tc0UAyfwadZ/o/e/4NAAD//wMAUEsBAi0AFAAGAAgAAAAhALaDOJL+AAAA4QEAABMAAAAA&#10;AAAAAAAAAAAAAAAAAFtDb250ZW50X1R5cGVzXS54bWxQSwECLQAUAAYACAAAACEAOP0h/9YAAACU&#10;AQAACwAAAAAAAAAAAAAAAAAvAQAAX3JlbHMvLnJlbHNQSwECLQAUAAYACAAAACEAv6E5dSwDAADC&#10;CAAADgAAAAAAAAAAAAAAAAAuAgAAZHJzL2Uyb0RvYy54bWxQSwECLQAUAAYACAAAACEAnCsgLNoA&#10;AAADAQAADwAAAAAAAAAAAAAAAACGBQAAZHJzL2Rvd25yZXYueG1sUEsFBgAAAAAEAAQA8wAAAI0G&#10;AAAAAA==&#10;">
              <v:line id="Straight Connector 3" style="position:absolute;visibility:visible;mso-wrap-style:square" o:spid="_x0000_s1027" strokecolor="#ee526c [3204]" strokeweight="1pt" o:connectortype="straight" from="0,0" to="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ObxwAAAOIAAAAPAAAAZHJzL2Rvd25yZXYueG1sRE/LasJA&#10;FN0X/IfhCt3VialYEx2lFFq6kaD1sb1mrklo5k6amZr0752C4PJw3otVb2pxodZVlhWMRxEI4tzq&#10;igsFu6/3pxkI55E11pZJwR85WC0HDwtMte14Q5etL0QIYZeigtL7JpXS5SUZdCPbEAfubFuDPsC2&#10;kLrFLoSbWsZRNJUGKw4NJTb0VlL+vf01CuIsM8fzafyj9XpaZId9LbuPvVKPw/51DsJT7+/im/tT&#10;h/lJ8hwnk5cE/i8FDHJ5BQAA//8DAFBLAQItABQABgAIAAAAIQDb4fbL7gAAAIUBAAATAAAAAAAA&#10;AAAAAAAAAAAAAABbQ29udGVudF9UeXBlc10ueG1sUEsBAi0AFAAGAAgAAAAhAFr0LFu/AAAAFQEA&#10;AAsAAAAAAAAAAAAAAAAAHwEAAF9yZWxzLy5yZWxzUEsBAi0AFAAGAAgAAAAhAFtYY5vHAAAA4gAA&#10;AA8AAAAAAAAAAAAAAAAABwIAAGRycy9kb3ducmV2LnhtbFBLBQYAAAAAAwADALcAAAD7AgAAAAA=&#10;">
                <v:stroke joinstyle="miter"/>
              </v:line>
              <v:rect id="Rectangle 4" style="position:absolute;width:5400;height:3600;visibility:visible;mso-wrap-style:square;v-text-anchor:middle" o:spid="_x0000_s1028" filled="f" strok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unygAAAOMAAAAPAAAAZHJzL2Rvd25yZXYueG1sRI9NT8Mw&#10;DIbvSPsPkSdxY+l2qEq3bJqYKAhObAhpN6vx2o7GqZqsLf8eH5A42n4/Hm92k2vVQH1oPBtYLhJQ&#10;xKW3DVcGPk/PDxmoEJEttp7JwA8F2G1ndxvMrR/5g4ZjrJSEcMjRQB1jl2sdypochoXviOV28b3D&#10;KGNfadvjKOGu1askSbXDhqWhxo6eaiq/jzcnvcV781Ukw0t3K87jWIbD20VfjbmfT/s1qEhT/Bf/&#10;uV+t4GePWZqlq1Sg5SdZgN7+AgAA//8DAFBLAQItABQABgAIAAAAIQDb4fbL7gAAAIUBAAATAAAA&#10;AAAAAAAAAAAAAAAAAABbQ29udGVudF9UeXBlc10ueG1sUEsBAi0AFAAGAAgAAAAhAFr0LFu/AAAA&#10;FQEAAAsAAAAAAAAAAAAAAAAAHwEAAF9yZWxzLy5yZWxzUEsBAi0AFAAGAAgAAAAhABrOS6fKAAAA&#10;4wAAAA8AAAAAAAAAAAAAAAAABwIAAGRycy9kb3ducmV2LnhtbFBLBQYAAAAAAwADALcAAAD+AgAA&#10;AAA=&#10;"/>
              <w10:wrap anchorx="page" anchory="page"/>
              <w10:anchorlock/>
            </v:group>
          </w:pict>
        </mc:Fallback>
      </mc:AlternateConten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Pr>
        <w:color w:val="333333" w:themeColor="text2"/>
        <w:sz w:val="20"/>
      </w:rPr>
      <w:t>2</w:t>
    </w:r>
    <w:r w:rsidRPr="00C53BFD">
      <w:rPr>
        <w:color w:val="333333" w:themeColor="text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0A2" w14:textId="77777777" w:rsidR="00D0435B" w:rsidRPr="00F928AE" w:rsidRDefault="00D0435B" w:rsidP="007270E2">
    <w:pPr>
      <w:pStyle w:val="Footeralt"/>
      <w:rPr>
        <w:lang w:val="fr-FR"/>
      </w:rPr>
    </w:pPr>
  </w:p>
  <w:p w14:paraId="4DA829B0" w14:textId="77777777" w:rsidR="00D0435B" w:rsidRPr="007270E2" w:rsidRDefault="00D0435B" w:rsidP="007270E2">
    <w:pPr>
      <w:pStyle w:val="Footeralt"/>
    </w:pPr>
    <w:r>
      <w:rPr>
        <w:noProof/>
      </w:rPr>
      <mc:AlternateContent>
        <mc:Choice Requires="wpg">
          <w:drawing>
            <wp:anchor distT="0" distB="0" distL="114300" distR="114300" simplePos="0" relativeHeight="251658249" behindDoc="0" locked="1" layoutInCell="1" allowOverlap="1" wp14:anchorId="47541FAD" wp14:editId="0150086B">
              <wp:simplePos x="0" y="0"/>
              <wp:positionH relativeFrom="page">
                <wp:align>right</wp:align>
              </wp:positionH>
              <wp:positionV relativeFrom="page">
                <wp:align>bottom</wp:align>
              </wp:positionV>
              <wp:extent cx="540000" cy="360000"/>
              <wp:effectExtent l="0" t="0" r="0" b="21590"/>
              <wp:wrapNone/>
              <wp:docPr id="157528510"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1377719094"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968460116"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70FF2B8">
            <v:group id="Group 5" style="position:absolute;margin-left:-8.7pt;margin-top:0;width:42.5pt;height:28.35pt;z-index:251664389;mso-position-horizontal:right;mso-position-horizontal-relative:page;mso-position-vertical:bottom;mso-position-vertical-relative:page;mso-width-relative:margin;mso-height-relative:margin" coordsize="5400,3600" o:spid="_x0000_s1026" w14:anchorId="50C35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GoKwMAAMIIAAAOAAAAZHJzL2Uyb0RvYy54bWy8VltP2zAUfp+0/2D5fSRp05ZGpKgqA01C&#10;gCgTz8ZxLpJje7bbtPv1O3aa0EG5jGnjwdg5F5/z+Tvn9OR0U3O0ZtpUUqQ4OgoxYoLKrBJFir/f&#10;nX85xshYIjLCpWAp3jKDT2efP500KmEDWUqeMY3AiTBJo1JcWquSIDC0ZDUxR1IxAcJc6ppYOOoi&#10;yDRpwHvNg0EYjoNG6kxpSZkx8PWsFeKZ95/njNrrPDfMIp5iiM36Vfv1wa3B7IQkhSaqrOguDPKB&#10;KGpSCbi0d3VGLEErXT1zVVdUSyNze0RlHcg8ryjzOUA2UfgkmwstV8rnUiRNoXqYANonOH3YLb1a&#10;X2i1VDcakGhUAVj4k8tlk+va/Yco0cZDtu0hYxuLKHwcxSH8YURBNBz7vYeUloD7Mytafn3VLugu&#10;DX4LpVFADvOYv/m7/JclUczDahLI/0ajKgPuDieTSTQNpzFGgtTA1aXVpCpKixZSCGCS1GjoCOPC&#10;AbuF2IFmEgP4vRexDqzRNI48//qkSaK0sRdM1shtUswr4eIkCVlfGgs3g2qn4j5zgRoIfDCBF3BS&#10;F1gbit/ZLWet2i3LIUd4rsi789XFFlyjNYG6IJQyYSPvwjkFbWeWV5z3huHbhjt9Z8p85f2JcW/h&#10;b5bC9sZ1JaQ+dLvddCHnrX6HQJu3g+BBZlv/SB4aoFD7eP+cS9PxcTwOo2jcUekW6ENEwRmK9xjU&#10;l133bB39P1JzL9NIw+Wv0UjIc3hqX7Yto4bRZOQNegk456LD15P9JYYNDj1VxzD3uKYkGWuJF41c&#10;72h53XPSs/wwCd/B3v9NQt7XzRskRFq2w8coel5BeV8SY2+IhmkDHQEmqL2GJecSKlrudhiVUv88&#10;9N3pQxMEKUYNTK8Umx8rohlG/JuA9jiN4tiNO3+IR5MBHPS+5GFfIlb1QkIjiGBWK+q3Tt/ybptr&#10;Wd/DoJ27W0FEBIW7U0yt7g4L205VGNWUzedeDUacIvZSLBXtWo9rX3ebe6LVrsdZmCRXsmvJz1pd&#10;q+t4I+R8ZWVe+T74WNw7Uvra9lMDBqWn0G6ou0m8f/b6jz89Zr8AAAD//wMAUEsDBBQABgAIAAAA&#10;IQCcKyAs2gAAAAMBAAAPAAAAZHJzL2Rvd25yZXYueG1sTI9BS8NAEIXvgv9hGcGb3URJLWk2pRT1&#10;VARbQXqbJtMkNDsbstsk/feOXvTy4PGG977JVpNt1UC9bxwbiGcRKOLClQ1XBj73rw8LUD4gl9g6&#10;JgNX8rDKb28yTEs38gcNu1ApKWGfooE6hC7V2hc1WfQz1xFLdnK9xSC2r3TZ4yjlttWPUTTXFhuW&#10;hRo72tRUnHcXa+BtxHH9FL8M2/Npcz3sk/evbUzG3N9N6yWoQFP4O4YffEGHXJiO7sKlV60BeST8&#10;qmSLRNzRQDJ/Bp1n+j97/g0AAP//AwBQSwECLQAUAAYACAAAACEAtoM4kv4AAADhAQAAEwAAAAAA&#10;AAAAAAAAAAAAAAAAW0NvbnRlbnRfVHlwZXNdLnhtbFBLAQItABQABgAIAAAAIQA4/SH/1gAAAJQB&#10;AAALAAAAAAAAAAAAAAAAAC8BAABfcmVscy8ucmVsc1BLAQItABQABgAIAAAAIQAjHGGoKwMAAMII&#10;AAAOAAAAAAAAAAAAAAAAAC4CAABkcnMvZTJvRG9jLnhtbFBLAQItABQABgAIAAAAIQCcKyAs2gAA&#10;AAMBAAAPAAAAAAAAAAAAAAAAAIUFAABkcnMvZG93bnJldi54bWxQSwUGAAAAAAQABADzAAAAjAYA&#10;AAAA&#10;">
              <v:line id="Straight Connector 3" style="position:absolute;visibility:visible;mso-wrap-style:square" o:spid="_x0000_s1027" strokecolor="#ee526c [3204]" strokeweight="1pt" o:connectortype="straight" from="0,0" to="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ryAAAAOMAAAAPAAAAZHJzL2Rvd25yZXYueG1sRE/NasJA&#10;EL4XfIdlCr3VTWwxmrpKKSi9lKCteh2zYxLMzsbsatK37xYEj/P9z2zRm1pcqXWVZQXxMAJBnFtd&#10;caHg53v5PAHhPLLG2jIp+CUHi/ngYYapth2v6brxhQgh7FJUUHrfpFK6vCSDbmgb4sAdbWvQh7Mt&#10;pG6xC+GmlqMoGkuDFYeGEhv6KCk/bS5GwSjLzP54iM9af42LbLetZbfaKvX02L+/gfDU+7v45v7U&#10;Yf5LkiTxNJq+wv9PAQA5/wMAAP//AwBQSwECLQAUAAYACAAAACEA2+H2y+4AAACFAQAAEwAAAAAA&#10;AAAAAAAAAAAAAAAAW0NvbnRlbnRfVHlwZXNdLnhtbFBLAQItABQABgAIAAAAIQBa9CxbvwAAABUB&#10;AAALAAAAAAAAAAAAAAAAAB8BAABfcmVscy8ucmVsc1BLAQItABQABgAIAAAAIQBJgqGryAAAAOMA&#10;AAAPAAAAAAAAAAAAAAAAAAcCAABkcnMvZG93bnJldi54bWxQSwUGAAAAAAMAAwC3AAAA/AIAAAAA&#10;">
                <v:stroke joinstyle="miter"/>
              </v:line>
              <v:rect id="Rectangle 4" style="position:absolute;width:5400;height:3600;visibility:visible;mso-wrap-style:square;v-text-anchor:middle" o:spid="_x0000_s1028" filled="f" strok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ByQAAAOIAAAAPAAAAZHJzL2Rvd25yZXYueG1sRI9LS8NA&#10;FIX3gv9huII7OxMpoaadFFEai65aRejukrl5aOZOyEyT9N87guDycB4fZ7OdbSdGGnzrWEOyUCCI&#10;S2darjV8vO/uViB8QDbYOSYNF/Kwza+vNpgZN/GBxmOoRRxhn6GGJoQ+k9KXDVn0C9cTR69yg8UQ&#10;5VBLM+AUx20n75VKpcWWI6HBnp4aKr+PZxu5xVv7WajxpT8Xp2kq/fNrJb+0vr2ZH9cgAs3hP/zX&#10;3hsND+lqmaokSeH3UrwDMv8BAAD//wMAUEsBAi0AFAAGAAgAAAAhANvh9svuAAAAhQEAABMAAAAA&#10;AAAAAAAAAAAAAAAAAFtDb250ZW50X1R5cGVzXS54bWxQSwECLQAUAAYACAAAACEAWvQsW78AAAAV&#10;AQAACwAAAAAAAAAAAAAAAAAfAQAAX3JlbHMvLnJlbHNQSwECLQAUAAYACAAAACEA6vwlwckAAADi&#10;AAAADwAAAAAAAAAAAAAAAAAHAgAAZHJzL2Rvd25yZXYueG1sUEsFBgAAAAADAAMAtwAAAP0CAAAA&#10;AA==&#10;"/>
              <w10:wrap anchorx="page" anchory="page"/>
              <w10:anchorlock/>
            </v:group>
          </w:pict>
        </mc:Fallback>
      </mc:AlternateConten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Pr>
        <w:color w:val="333333" w:themeColor="text2"/>
        <w:sz w:val="20"/>
      </w:rPr>
      <w:t>2</w:t>
    </w:r>
    <w:r w:rsidRPr="00C53BFD">
      <w:rPr>
        <w:color w:val="333333" w:themeColor="text2"/>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EBA" w14:textId="77777777" w:rsidR="00D76DC1" w:rsidRPr="00F928AE" w:rsidRDefault="00D76DC1" w:rsidP="007270E2">
    <w:pPr>
      <w:pStyle w:val="Footeralt"/>
      <w:rPr>
        <w:lang w:val="fr-FR"/>
      </w:rPr>
    </w:pPr>
  </w:p>
  <w:p w14:paraId="2CD20CFE" w14:textId="77777777" w:rsidR="00D76DC1" w:rsidRPr="007270E2" w:rsidRDefault="00D76DC1" w:rsidP="007270E2">
    <w:pPr>
      <w:pStyle w:val="Footeralt"/>
    </w:pPr>
    <w:r>
      <w:rPr>
        <w:noProof/>
      </w:rPr>
      <mc:AlternateContent>
        <mc:Choice Requires="wpg">
          <w:drawing>
            <wp:anchor distT="0" distB="0" distL="114300" distR="114300" simplePos="0" relativeHeight="251658245" behindDoc="0" locked="1" layoutInCell="1" allowOverlap="1" wp14:anchorId="697BF04D" wp14:editId="52BE97B5">
              <wp:simplePos x="0" y="0"/>
              <wp:positionH relativeFrom="page">
                <wp:align>right</wp:align>
              </wp:positionH>
              <wp:positionV relativeFrom="page">
                <wp:align>bottom</wp:align>
              </wp:positionV>
              <wp:extent cx="540000" cy="360000"/>
              <wp:effectExtent l="0" t="0" r="0" b="21590"/>
              <wp:wrapNone/>
              <wp:docPr id="800750949" name="Group 5"/>
              <wp:cNvGraphicFramePr/>
              <a:graphic xmlns:a="http://schemas.openxmlformats.org/drawingml/2006/main">
                <a:graphicData uri="http://schemas.microsoft.com/office/word/2010/wordprocessingGroup">
                  <wpg:wgp>
                    <wpg:cNvGrpSpPr/>
                    <wpg:grpSpPr>
                      <a:xfrm>
                        <a:off x="0" y="0"/>
                        <a:ext cx="540000" cy="360000"/>
                        <a:chOff x="0" y="0"/>
                        <a:chExt cx="540000" cy="360000"/>
                      </a:xfrm>
                    </wpg:grpSpPr>
                    <wps:wsp>
                      <wps:cNvPr id="608923522" name="Straight Connector 3"/>
                      <wps:cNvCnPr/>
                      <wps:spPr>
                        <a:xfrm>
                          <a:off x="0" y="0"/>
                          <a:ext cx="0" cy="35941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258741688" name="Rectangle 4"/>
                      <wps:cNvSpPr/>
                      <wps:spPr>
                        <a:xfrm>
                          <a:off x="0" y="0"/>
                          <a:ext cx="540000" cy="360000"/>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83139CB">
            <v:group id="Group 5" style="position:absolute;margin-left:-8.7pt;margin-top:0;width:42.5pt;height:28.35pt;z-index:251658245;mso-position-horizontal:right;mso-position-horizontal-relative:page;mso-position-vertical:bottom;mso-position-vertical-relative:page;mso-width-relative:margin;mso-height-relative:margin" coordsize="5400,3600" o:spid="_x0000_s1026" w14:anchorId="273D7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uiLAMAAMIIAAAOAAAAZHJzL2Uyb0RvYy54bWy8VllPGzEQfq/U/2D5vWx2c7Jig6JQUCUE&#10;iFDxbLzeQ/Laru1kk/76jr0HKYSjVC0Pxt45PPP5m5mcnG4rjjZMm1KKBIdHA4yYoDItRZ7g73fn&#10;X2YYGUtESrgULME7ZvDp/POnk1rFLJKF5CnTCJwIE9cqwYW1Kg4CQwtWEXMkFRMgzKSuiIWjzoNU&#10;kxq8VzyIBoNJUEudKi0pMwa+njVCPPf+s4xRe51lhlnEEwyxWb9qvz64NZifkDjXRBUlbcMgH4ii&#10;IqWAS3tXZ8QStNblM1dVSbU0MrNHVFaBzLKSMp8DZBMOnmRzoeVa+VzyuM5VDxNA+wSnD7ulV5sL&#10;rVbqRgMStcoBC39yuWwzXbn/ECXaesh2PWRsaxGFj+PRAP4woiAaTvzeQ0oLwP2ZFS2+vmoXdJcG&#10;v4VSKyCHeczf/F3+q4Io5mE1MeR/o1GZJngymB1Hw3EUYSRIBVRdWU3KvLBoKYUAIkmNho4vLhow&#10;W4oWMxMbgO+9gHVYjY9HoadfnzOJlTb2gskKuU2CeSlcmCQmm0tj4WZQ7VTcZy5QDTUXTeEBnNQF&#10;1oTid3bHWaN2yzJIEV4r9O58cbEl12hDoCwIpUzY0LtwTkHbmWUl573h4G3DVt+ZMl94f2LcW/ib&#10;pbC9cVUKqQ/dbrddyFmj3yHQ5O0geJDpzj+ShwYY1DzeP6dSGI1n01E4mUHza7h0C/whIucMjfYo&#10;1Jdd924d/T9Scy/zSMPlr/FIyHN4a1+2DaWG4XTsDXoJOOeiA9iz/SWKRYfeqqOYe11TkJQ1zAvH&#10;rnc0xO5J6Wl+mIXvoO//ZiHvC+cNFiItm+FjFD0vob4vibE3RMO0gZYAE9Rew5JxCSUt2x1GhdQ/&#10;D313+tAEQYpRDdMrwebHmmiGEf8moD0eh6ORG3f+MBpPIzjofcnDvkSsq6WEThDCrFbUb52+5d02&#10;07K6h0G7cLeCiAgKdyeYWt0dlraZqjCqKVssvBqMOEXspVgp2vUe17/utvdEq7bJWZgkV7Jryc96&#10;XaPreCPkYm1lVvpG+FjdLSl9cfupAYPSU6gd6m4S75+9/uNPj/kvAAAA//8DAFBLAwQUAAYACAAA&#10;ACEAnCsgLNoAAAADAQAADwAAAGRycy9kb3ducmV2LnhtbEyPQUvDQBCF74L/YRnBm91ESS1pNqUU&#10;9VQEW0F6mybTJDQ7G7LbJP33jl708uDxhve+yVaTbdVAvW8cG4hnESjiwpUNVwY+968PC1A+IJfY&#10;OiYDV/Kwym9vMkxLN/IHDbtQKSlhn6KBOoQu1doXNVn0M9cRS3ZyvcUgtq902eMo5bbVj1E01xYb&#10;loUaO9rUVJx3F2vgbcRx/RS/DNvzaXM97JP3r21MxtzfTeslqEBT+DuGH3xBh1yYju7CpVetAXkk&#10;/Kpki0Tc0UAyfwadZ/o/e/4NAAD//wMAUEsBAi0AFAAGAAgAAAAhALaDOJL+AAAA4QEAABMAAAAA&#10;AAAAAAAAAAAAAAAAAFtDb250ZW50X1R5cGVzXS54bWxQSwECLQAUAAYACAAAACEAOP0h/9YAAACU&#10;AQAACwAAAAAAAAAAAAAAAAAvAQAAX3JlbHMvLnJlbHNQSwECLQAUAAYACAAAACEABcMroiwDAADC&#10;CAAADgAAAAAAAAAAAAAAAAAuAgAAZHJzL2Uyb0RvYy54bWxQSwECLQAUAAYACAAAACEAnCsgLNoA&#10;AAADAQAADwAAAAAAAAAAAAAAAACGBQAAZHJzL2Rvd25yZXYueG1sUEsFBgAAAAAEAAQA8wAAAI0G&#10;AAAAAA==&#10;">
              <v:line id="Straight Connector 3" style="position:absolute;visibility:visible;mso-wrap-style:square" o:spid="_x0000_s1027" strokecolor="#ee526c [3204]" strokeweight="1pt" o:connectortype="straight" from="0,0" to="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fvywAAAOIAAAAPAAAAZHJzL2Rvd25yZXYueG1sRI/NasMw&#10;EITvhb6D2EJvjRyVmsSJEkohIZdimubnurE2tqm1ci0ldt++KgR6HGbmG2a+HGwjrtT52rGG8SgB&#10;QVw4U3OpYfe5epqA8AHZYOOYNPyQh+Xi/m6OmXE9f9B1G0oRIewz1FCF0GZS+qIii37kWuLonV1n&#10;MUTZldJ02Ee4baRKklRarDkuVNjSW0XF1/ZiNag8t8fzafxtzHta5od9I/v1XuvHh+F1BiLQEP7D&#10;t/bGaEiTyVQ9vygFf5fiHZCLXwAAAP//AwBQSwECLQAUAAYACAAAACEA2+H2y+4AAACFAQAAEwAA&#10;AAAAAAAAAAAAAAAAAAAAW0NvbnRlbnRfVHlwZXNdLnhtbFBLAQItABQABgAIAAAAIQBa9CxbvwAA&#10;ABUBAAALAAAAAAAAAAAAAAAAAB8BAABfcmVscy8ucmVsc1BLAQItABQABgAIAAAAIQDQgafvywAA&#10;AOIAAAAPAAAAAAAAAAAAAAAAAAcCAABkcnMvZG93bnJldi54bWxQSwUGAAAAAAMAAwC3AAAA/wIA&#10;AAAA&#10;">
                <v:stroke joinstyle="miter"/>
              </v:line>
              <v:rect id="Rectangle 4" style="position:absolute;width:5400;height:3600;visibility:visible;mso-wrap-style:square;v-text-anchor:middle" o:spid="_x0000_s1028" filled="f" strok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hIywAAAOMAAAAPAAAAZHJzL2Rvd25yZXYueG1sRI9NT8JA&#10;EIbvJP6HzZh4ky1EsSksxGisBk8iIeE26Q5ttTvbdJe2/nvmYMJxZt6PZ1ab0TWqpy7Ung3Mpgko&#10;4sLbmksD+++3+xRUiMgWG89k4I8CbNY3kxVm1g/8Rf0ulkpCOGRooIqxzbQORUUOw9S3xHI7+c5h&#10;lLErte1wkHDX6HmSLLTDmqWhwpZeKip+d2cnvflnfciT/r0958dhKMLr9qR/jLm7HZ+XoCKN8Sr+&#10;d39YwZ8/pk8Ps0Uq0PKTLECvLwAAAP//AwBQSwECLQAUAAYACAAAACEA2+H2y+4AAACFAQAAEwAA&#10;AAAAAAAAAAAAAAAAAAAAW0NvbnRlbnRfVHlwZXNdLnhtbFBLAQItABQABgAIAAAAIQBa9CxbvwAA&#10;ABUBAAALAAAAAAAAAAAAAAAAAB8BAABfcmVscy8ucmVsc1BLAQItABQABgAIAAAAIQB56lhIywAA&#10;AOMAAAAPAAAAAAAAAAAAAAAAAAcCAABkcnMvZG93bnJldi54bWxQSwUGAAAAAAMAAwC3AAAA/wIA&#10;AAAA&#10;"/>
              <w10:wrap anchorx="page" anchory="page"/>
              <w10:anchorlock/>
            </v:group>
          </w:pict>
        </mc:Fallback>
      </mc:AlternateContent>
    </w:r>
    <w:r>
      <w:ptab w:relativeTo="margin" w:alignment="right" w:leader="none"/>
    </w:r>
    <w:r w:rsidRPr="00C53BFD">
      <w:rPr>
        <w:color w:val="333333" w:themeColor="text2"/>
        <w:sz w:val="20"/>
      </w:rPr>
      <w:fldChar w:fldCharType="begin"/>
    </w:r>
    <w:r w:rsidRPr="00C53BFD">
      <w:rPr>
        <w:color w:val="333333" w:themeColor="text2"/>
        <w:sz w:val="20"/>
      </w:rPr>
      <w:instrText xml:space="preserve"> PAGE  \* Arabic  \* MERGEFORMAT </w:instrText>
    </w:r>
    <w:r w:rsidRPr="00C53BFD">
      <w:rPr>
        <w:color w:val="333333" w:themeColor="text2"/>
        <w:sz w:val="20"/>
      </w:rPr>
      <w:fldChar w:fldCharType="separate"/>
    </w:r>
    <w:r>
      <w:rPr>
        <w:color w:val="333333" w:themeColor="text2"/>
        <w:sz w:val="20"/>
      </w:rPr>
      <w:t>2</w:t>
    </w:r>
    <w:r w:rsidRPr="00C53BFD">
      <w:rPr>
        <w:color w:val="333333" w:themeColor="text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5B40" w14:textId="77777777" w:rsidR="00083221" w:rsidRDefault="00083221" w:rsidP="00FE3324">
      <w:r>
        <w:separator/>
      </w:r>
    </w:p>
  </w:footnote>
  <w:footnote w:type="continuationSeparator" w:id="0">
    <w:p w14:paraId="4E56E63A" w14:textId="77777777" w:rsidR="00083221" w:rsidRDefault="00083221" w:rsidP="00F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7949B4B7" w14:paraId="109375EA" w14:textId="77777777" w:rsidTr="7949B4B7">
      <w:trPr>
        <w:trHeight w:val="300"/>
      </w:trPr>
      <w:tc>
        <w:tcPr>
          <w:tcW w:w="3095" w:type="dxa"/>
        </w:tcPr>
        <w:p w14:paraId="0EB2A22D" w14:textId="0F17C823" w:rsidR="7949B4B7" w:rsidRDefault="7949B4B7" w:rsidP="7949B4B7">
          <w:pPr>
            <w:pStyle w:val="Header"/>
            <w:ind w:left="-115"/>
          </w:pPr>
        </w:p>
      </w:tc>
      <w:tc>
        <w:tcPr>
          <w:tcW w:w="3095" w:type="dxa"/>
        </w:tcPr>
        <w:p w14:paraId="0FD2B95E" w14:textId="381A4133" w:rsidR="7949B4B7" w:rsidRDefault="7949B4B7" w:rsidP="7949B4B7">
          <w:pPr>
            <w:pStyle w:val="Header"/>
            <w:jc w:val="center"/>
          </w:pPr>
        </w:p>
      </w:tc>
      <w:tc>
        <w:tcPr>
          <w:tcW w:w="3095" w:type="dxa"/>
        </w:tcPr>
        <w:p w14:paraId="6C1B5F05" w14:textId="47B5A2FA" w:rsidR="7949B4B7" w:rsidRDefault="7949B4B7" w:rsidP="7949B4B7">
          <w:pPr>
            <w:pStyle w:val="Header"/>
            <w:ind w:right="-115"/>
            <w:jc w:val="right"/>
          </w:pPr>
        </w:p>
      </w:tc>
    </w:tr>
  </w:tbl>
  <w:p w14:paraId="5125DFAA" w14:textId="63C4CDE3" w:rsidR="7949B4B7" w:rsidRDefault="7949B4B7" w:rsidP="7949B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7DEC" w14:textId="77777777" w:rsidR="00BF1DD5" w:rsidRDefault="00BF1DD5">
    <w:pPr>
      <w:pStyle w:val="Header"/>
    </w:pPr>
  </w:p>
  <w:p w14:paraId="5E559E06" w14:textId="77777777" w:rsidR="00BF1DD5" w:rsidRDefault="00BF1DD5">
    <w:pPr>
      <w:pStyle w:val="Header"/>
    </w:pPr>
  </w:p>
  <w:p w14:paraId="159C3D79" w14:textId="77777777" w:rsidR="00BF1DD5" w:rsidRDefault="00BF1DD5">
    <w:pPr>
      <w:pStyle w:val="Header"/>
    </w:pPr>
  </w:p>
  <w:p w14:paraId="25EF1703" w14:textId="77777777" w:rsidR="00BF1DD5" w:rsidRDefault="00BF1DD5" w:rsidP="007270E2">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9"/>
      <w:gridCol w:w="3099"/>
      <w:gridCol w:w="3099"/>
    </w:tblGrid>
    <w:tr w:rsidR="7949B4B7" w14:paraId="07160E02" w14:textId="77777777" w:rsidTr="7949B4B7">
      <w:trPr>
        <w:trHeight w:val="300"/>
      </w:trPr>
      <w:tc>
        <w:tcPr>
          <w:tcW w:w="4740" w:type="dxa"/>
        </w:tcPr>
        <w:p w14:paraId="35AD14E3" w14:textId="19C42657" w:rsidR="7949B4B7" w:rsidRDefault="7949B4B7" w:rsidP="7949B4B7">
          <w:pPr>
            <w:pStyle w:val="Header"/>
            <w:ind w:left="-115"/>
          </w:pPr>
        </w:p>
      </w:tc>
      <w:tc>
        <w:tcPr>
          <w:tcW w:w="4740" w:type="dxa"/>
        </w:tcPr>
        <w:p w14:paraId="5EB61485" w14:textId="06435BBC" w:rsidR="7949B4B7" w:rsidRDefault="7949B4B7" w:rsidP="7949B4B7">
          <w:pPr>
            <w:pStyle w:val="Header"/>
            <w:jc w:val="center"/>
          </w:pPr>
        </w:p>
      </w:tc>
      <w:tc>
        <w:tcPr>
          <w:tcW w:w="4740" w:type="dxa"/>
        </w:tcPr>
        <w:p w14:paraId="73C42820" w14:textId="3939915F" w:rsidR="7949B4B7" w:rsidRDefault="7949B4B7" w:rsidP="7949B4B7">
          <w:pPr>
            <w:pStyle w:val="Header"/>
            <w:ind w:right="-115"/>
            <w:jc w:val="right"/>
          </w:pPr>
        </w:p>
      </w:tc>
    </w:tr>
  </w:tbl>
  <w:p w14:paraId="29E5342F" w14:textId="599D27EE" w:rsidR="7949B4B7" w:rsidRDefault="7949B4B7" w:rsidP="7949B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E5FF" w14:textId="4DA4A0D5" w:rsidR="00D0435B" w:rsidRDefault="00D0435B" w:rsidP="00616C61">
    <w:pPr>
      <w:pStyle w:val="Header"/>
      <w:tabs>
        <w:tab w:val="clear" w:pos="4513"/>
        <w:tab w:val="clear" w:pos="9026"/>
        <w:tab w:val="left" w:pos="10728"/>
      </w:tabs>
    </w:pPr>
    <w:r>
      <w:rPr>
        <w:noProof/>
      </w:rPr>
      <mc:AlternateContent>
        <mc:Choice Requires="wps">
          <w:drawing>
            <wp:anchor distT="0" distB="0" distL="114300" distR="114300" simplePos="0" relativeHeight="251658247" behindDoc="0" locked="1" layoutInCell="1" allowOverlap="1" wp14:anchorId="40EA0644" wp14:editId="3FBADEA0">
              <wp:simplePos x="0" y="0"/>
              <wp:positionH relativeFrom="page">
                <wp:posOffset>648335</wp:posOffset>
              </wp:positionH>
              <wp:positionV relativeFrom="page">
                <wp:posOffset>1260475</wp:posOffset>
              </wp:positionV>
              <wp:extent cx="864000" cy="0"/>
              <wp:effectExtent l="0" t="0" r="0" b="0"/>
              <wp:wrapNone/>
              <wp:docPr id="895950815" name="Straight Connector 1"/>
              <wp:cNvGraphicFramePr/>
              <a:graphic xmlns:a="http://schemas.openxmlformats.org/drawingml/2006/main">
                <a:graphicData uri="http://schemas.microsoft.com/office/word/2010/wordprocessingShape">
                  <wps:wsp>
                    <wps:cNvCnPr/>
                    <wps:spPr>
                      <a:xfrm>
                        <a:off x="0" y="0"/>
                        <a:ext cx="86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6C164" id="Straight Connector 1"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1.05pt,99.25pt" to="119.1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KowEAAKQDAAAOAAAAZHJzL2Uyb0RvYy54bWysU02P2yAQvVfqf0DcGztRtV1Zcfawq91L&#10;1a768QNYPMRIwKCBxs6/70ASp2orVa16wcDMezPvMd7ezd6JA1CyGHq5XrVSQNA42LDv5dcvj29u&#10;pUhZhUE5DNDLIyR5t3v9ajvFDjY4ohuABJOE1E2xl2POsWuapEfwKq0wQuCgQfIq85H2zUBqYnbv&#10;mk3b3jQT0hAJNaTEtw+noNxVfmNA54/GJMjC9ZJ7y3Wlur6UtdltVbcnFUerz22of+jCKxu46EL1&#10;oLIS38j+QuWtJkxo8kqjb9AYq6FqYDXr9ic1n0cVoWphc1JcbEr/j1Z/ONyHZ2Ibppi6FJ+pqJgN&#10;+fLl/sRczTouZsGchebL25u3bcuW6kuoueIipfwE6EXZ9NLZUGSoTh3ep8y1OPWSUq5dEBMPz+Yd&#10;85XotZW6y0cHp7RPYIQduPi60tUpgXtH4qD4fZXWEPK6UhRSzi4wY51bgO2fgef8AoU6QX8DXhC1&#10;Moa8gL0NSL+rnudLy+aUf3HgpLtY8ILDsT5StYZHoVp4Htsyaz+eK/z6c+2+AwAA//8DAFBLAwQU&#10;AAYACAAAACEAUKUQiN8AAAALAQAADwAAAGRycy9kb3ducmV2LnhtbEyP3UrDQBCF7wXfYRnBO7tp&#10;REljNqUUf9AqttUHmGan2dDsbshu0/j2jiDo3ZyZw5nvFPPRtmKgPjTeKZhOEhDkKq8bVyv4/Hi4&#10;ykCEiE5j6x0p+KIA8/L8rMBc+5Pb0LCNteAQF3JUYGLscilDZchimPiOHN/2vrcYWfa11D2eONy2&#10;Mk2SW2mxcfzBYEdLQ9Vhe7QKlov7x7dnesLDCmfr1YsZ6v3ru1KXF+PiDkSkMf6Z4Qef0aFkpp0/&#10;Oh1EyzpJp2zlYZbdgGBHep2lIHa/G1kW8n+H8hsAAP//AwBQSwECLQAUAAYACAAAACEAtoM4kv4A&#10;AADhAQAAEwAAAAAAAAAAAAAAAAAAAAAAW0NvbnRlbnRfVHlwZXNdLnhtbFBLAQItABQABgAIAAAA&#10;IQA4/SH/1gAAAJQBAAALAAAAAAAAAAAAAAAAAC8BAABfcmVscy8ucmVsc1BLAQItABQABgAIAAAA&#10;IQBQ+6jKowEAAKQDAAAOAAAAAAAAAAAAAAAAAC4CAABkcnMvZTJvRG9jLnhtbFBLAQItABQABgAI&#10;AAAAIQBQpRCI3wAAAAsBAAAPAAAAAAAAAAAAAAAAAP0DAABkcnMvZG93bnJldi54bWxQSwUGAAAA&#10;AAQABADzAAAACQUAAAAA&#10;" strokecolor="#ee526c [3204]" strokeweight="1pt">
              <v:stroke joinstyle="miter"/>
              <w10:wrap anchorx="page" anchory="page"/>
              <w10:anchorlock/>
            </v:line>
          </w:pict>
        </mc:Fallback>
      </mc:AlternateContent>
    </w:r>
    <w:r w:rsidR="00616C61">
      <w:tab/>
    </w:r>
  </w:p>
  <w:p w14:paraId="55301F15" w14:textId="77777777" w:rsidR="00D0435B" w:rsidRDefault="00D0435B">
    <w:pPr>
      <w:pStyle w:val="Header"/>
    </w:pPr>
  </w:p>
  <w:p w14:paraId="3225525B" w14:textId="77777777" w:rsidR="00D0435B" w:rsidRDefault="00D0435B">
    <w:pPr>
      <w:pStyle w:val="Header"/>
    </w:pPr>
  </w:p>
  <w:p w14:paraId="5CD52BD9" w14:textId="77777777" w:rsidR="00D0435B" w:rsidRDefault="00D0435B">
    <w:pPr>
      <w:pStyle w:val="Header"/>
    </w:pPr>
  </w:p>
  <w:p w14:paraId="790005E9" w14:textId="77777777" w:rsidR="00D0435B" w:rsidRDefault="00D0435B" w:rsidP="007270E2">
    <w:pPr>
      <w:pStyle w:val="Heade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7949B4B7" w14:paraId="3285BD3B" w14:textId="77777777" w:rsidTr="7949B4B7">
      <w:trPr>
        <w:trHeight w:val="300"/>
      </w:trPr>
      <w:tc>
        <w:tcPr>
          <w:tcW w:w="3095" w:type="dxa"/>
        </w:tcPr>
        <w:p w14:paraId="381029F8" w14:textId="69AD0EC6" w:rsidR="7949B4B7" w:rsidRDefault="7949B4B7" w:rsidP="7949B4B7">
          <w:pPr>
            <w:pStyle w:val="Header"/>
            <w:ind w:left="-115"/>
          </w:pPr>
        </w:p>
      </w:tc>
      <w:tc>
        <w:tcPr>
          <w:tcW w:w="3095" w:type="dxa"/>
        </w:tcPr>
        <w:p w14:paraId="518DD4DE" w14:textId="3A0A4C7B" w:rsidR="7949B4B7" w:rsidRDefault="7949B4B7" w:rsidP="7949B4B7">
          <w:pPr>
            <w:pStyle w:val="Header"/>
            <w:jc w:val="center"/>
          </w:pPr>
        </w:p>
      </w:tc>
      <w:tc>
        <w:tcPr>
          <w:tcW w:w="3095" w:type="dxa"/>
        </w:tcPr>
        <w:p w14:paraId="7D49C097" w14:textId="3FEB399D" w:rsidR="7949B4B7" w:rsidRDefault="7949B4B7" w:rsidP="7949B4B7">
          <w:pPr>
            <w:pStyle w:val="Header"/>
            <w:ind w:right="-115"/>
            <w:jc w:val="right"/>
          </w:pPr>
        </w:p>
      </w:tc>
    </w:tr>
  </w:tbl>
  <w:p w14:paraId="61551C50" w14:textId="3678E743" w:rsidR="7949B4B7" w:rsidRDefault="7949B4B7" w:rsidP="7949B4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8450" w14:textId="77777777" w:rsidR="00D76DC1" w:rsidRDefault="00D76DC1">
    <w:pPr>
      <w:pStyle w:val="Header"/>
    </w:pPr>
  </w:p>
  <w:p w14:paraId="248DDB3D" w14:textId="77777777" w:rsidR="00D76DC1" w:rsidRDefault="00D7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4DC1FA5"/>
    <w:multiLevelType w:val="multilevel"/>
    <w:tmpl w:val="09AA2DF8"/>
    <w:numStyleLink w:val="BulletList"/>
  </w:abstractNum>
  <w:abstractNum w:abstractNumId="3" w15:restartNumberingAfterBreak="0">
    <w:nsid w:val="10195129"/>
    <w:multiLevelType w:val="hybridMultilevel"/>
    <w:tmpl w:val="C60C5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0789C"/>
    <w:multiLevelType w:val="multilevel"/>
    <w:tmpl w:val="09AA2DF8"/>
    <w:styleLink w:val="BulletList"/>
    <w:lvl w:ilvl="0">
      <w:start w:val="1"/>
      <w:numFmt w:val="bullet"/>
      <w:pStyle w:val="ListBullet"/>
      <w:lvlText w:val=""/>
      <w:lvlJc w:val="left"/>
      <w:pPr>
        <w:ind w:left="340" w:hanging="340"/>
      </w:pPr>
      <w:rPr>
        <w:rFonts w:ascii="Symbol" w:hAnsi="Symbol" w:cs="Symbol" w:hint="default"/>
        <w:color w:val="auto"/>
        <w:sz w:val="24"/>
        <w:szCs w:val="20"/>
      </w:rPr>
    </w:lvl>
    <w:lvl w:ilvl="1">
      <w:start w:val="1"/>
      <w:numFmt w:val="bullet"/>
      <w:pStyle w:val="ListBullet2"/>
      <w:lvlText w:val="⚪"/>
      <w:lvlJc w:val="left"/>
      <w:pPr>
        <w:ind w:left="340" w:hanging="340"/>
      </w:pPr>
      <w:rPr>
        <w:rFonts w:ascii="Work Sans" w:hAnsi="Work Sans" w:cs="Work Sans" w:hint="default"/>
        <w:color w:val="auto"/>
        <w:sz w:val="18"/>
        <w:szCs w:val="16"/>
      </w:rPr>
    </w:lvl>
    <w:lvl w:ilvl="2">
      <w:start w:val="1"/>
      <w:numFmt w:val="bullet"/>
      <w:pStyle w:val="ListBullet3"/>
      <w:lvlText w:val="–"/>
      <w:lvlJc w:val="left"/>
      <w:pPr>
        <w:ind w:left="680" w:hanging="340"/>
      </w:pPr>
      <w:rPr>
        <w:rFonts w:ascii="Poppins" w:hAnsi="Poppins"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0820CF"/>
    <w:multiLevelType w:val="multilevel"/>
    <w:tmpl w:val="2A06A902"/>
    <w:lvl w:ilvl="0">
      <w:start w:val="1"/>
      <w:numFmt w:val="decimal"/>
      <w:pStyle w:val="Heading1"/>
      <w:lvlText w:val="%1."/>
      <w:lvlJc w:val="left"/>
      <w:pPr>
        <w:ind w:left="0" w:hanging="567"/>
      </w:pPr>
      <w:rPr>
        <w:rFonts w:hint="default"/>
      </w:rPr>
    </w:lvl>
    <w:lvl w:ilvl="1">
      <w:start w:val="1"/>
      <w:numFmt w:val="decimal"/>
      <w:pStyle w:val="Heading2"/>
      <w:lvlText w:val="%1.%2"/>
      <w:lvlJc w:val="left"/>
      <w:pPr>
        <w:ind w:left="0" w:hanging="567"/>
      </w:pPr>
      <w:rPr>
        <w:rFonts w:hint="default"/>
      </w:rPr>
    </w:lvl>
    <w:lvl w:ilvl="2">
      <w:start w:val="1"/>
      <w:numFmt w:val="decimal"/>
      <w:pStyle w:val="Heading3"/>
      <w:lvlText w:val="%1.%2.%3"/>
      <w:lvlJc w:val="left"/>
      <w:pPr>
        <w:ind w:left="0" w:hanging="567"/>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2A230A"/>
    <w:multiLevelType w:val="hybridMultilevel"/>
    <w:tmpl w:val="FD50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EA23580"/>
    <w:multiLevelType w:val="hybridMultilevel"/>
    <w:tmpl w:val="49F49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A87344"/>
    <w:multiLevelType w:val="multilevel"/>
    <w:tmpl w:val="C57249F6"/>
    <w:styleLink w:val="HeadingNumList"/>
    <w:lvl w:ilvl="0">
      <w:start w:val="1"/>
      <w:numFmt w:val="decimal"/>
      <w:lvlText w:val="%1."/>
      <w:lvlJc w:val="left"/>
      <w:pPr>
        <w:ind w:left="0" w:hanging="567"/>
      </w:pPr>
      <w:rPr>
        <w:rFonts w:hint="default"/>
      </w:rPr>
    </w:lvl>
    <w:lvl w:ilvl="1">
      <w:start w:val="1"/>
      <w:numFmt w:val="decimal"/>
      <w:lvlText w:val="%1.%2"/>
      <w:lvlJc w:val="left"/>
      <w:pPr>
        <w:ind w:left="0" w:hanging="567"/>
      </w:pPr>
      <w:rPr>
        <w:rFonts w:hint="default"/>
      </w:rPr>
    </w:lvl>
    <w:lvl w:ilvl="2">
      <w:start w:val="1"/>
      <w:numFmt w:val="decimal"/>
      <w:lvlText w:val="%1.%2.%3"/>
      <w:lvlJc w:val="left"/>
      <w:pPr>
        <w:ind w:left="0"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FCF63B5"/>
    <w:multiLevelType w:val="hybridMultilevel"/>
    <w:tmpl w:val="C8EE09D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4899723">
    <w:abstractNumId w:val="10"/>
  </w:num>
  <w:num w:numId="2" w16cid:durableId="554775974">
    <w:abstractNumId w:val="9"/>
  </w:num>
  <w:num w:numId="3" w16cid:durableId="726606638">
    <w:abstractNumId w:val="10"/>
  </w:num>
  <w:num w:numId="4" w16cid:durableId="157768813">
    <w:abstractNumId w:val="4"/>
  </w:num>
  <w:num w:numId="5" w16cid:durableId="717705115">
    <w:abstractNumId w:val="7"/>
  </w:num>
  <w:num w:numId="6" w16cid:durableId="1031691104">
    <w:abstractNumId w:val="1"/>
  </w:num>
  <w:num w:numId="7" w16cid:durableId="501629753">
    <w:abstractNumId w:val="0"/>
  </w:num>
  <w:num w:numId="8" w16cid:durableId="906889383">
    <w:abstractNumId w:val="5"/>
  </w:num>
  <w:num w:numId="9" w16cid:durableId="1211306158">
    <w:abstractNumId w:val="2"/>
  </w:num>
  <w:num w:numId="10" w16cid:durableId="1677418714">
    <w:abstractNumId w:val="11"/>
  </w:num>
  <w:num w:numId="11" w16cid:durableId="1240745752">
    <w:abstractNumId w:val="6"/>
  </w:num>
  <w:num w:numId="12" w16cid:durableId="706754450">
    <w:abstractNumId w:val="3"/>
  </w:num>
  <w:num w:numId="13" w16cid:durableId="7044099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82"/>
    <w:rsid w:val="0000275A"/>
    <w:rsid w:val="00003D8D"/>
    <w:rsid w:val="000040D3"/>
    <w:rsid w:val="00005E32"/>
    <w:rsid w:val="00013869"/>
    <w:rsid w:val="00014868"/>
    <w:rsid w:val="00014A79"/>
    <w:rsid w:val="000205D6"/>
    <w:rsid w:val="00020914"/>
    <w:rsid w:val="00022AC4"/>
    <w:rsid w:val="0002491E"/>
    <w:rsid w:val="00024B50"/>
    <w:rsid w:val="0002500C"/>
    <w:rsid w:val="000255AD"/>
    <w:rsid w:val="00026464"/>
    <w:rsid w:val="00032E64"/>
    <w:rsid w:val="00034DF7"/>
    <w:rsid w:val="00036191"/>
    <w:rsid w:val="000369BF"/>
    <w:rsid w:val="00037B26"/>
    <w:rsid w:val="00041C9D"/>
    <w:rsid w:val="00043A4D"/>
    <w:rsid w:val="000519B8"/>
    <w:rsid w:val="00053365"/>
    <w:rsid w:val="00054642"/>
    <w:rsid w:val="00054E51"/>
    <w:rsid w:val="00055505"/>
    <w:rsid w:val="000634E3"/>
    <w:rsid w:val="00063B53"/>
    <w:rsid w:val="000709EA"/>
    <w:rsid w:val="000736AF"/>
    <w:rsid w:val="00075D2E"/>
    <w:rsid w:val="000829FF"/>
    <w:rsid w:val="00082C2A"/>
    <w:rsid w:val="00082DAC"/>
    <w:rsid w:val="00083221"/>
    <w:rsid w:val="00084771"/>
    <w:rsid w:val="000850D2"/>
    <w:rsid w:val="000912DF"/>
    <w:rsid w:val="00094292"/>
    <w:rsid w:val="00094887"/>
    <w:rsid w:val="00095144"/>
    <w:rsid w:val="00097A52"/>
    <w:rsid w:val="000A3740"/>
    <w:rsid w:val="000A3D76"/>
    <w:rsid w:val="000A5524"/>
    <w:rsid w:val="000A5551"/>
    <w:rsid w:val="000A6B08"/>
    <w:rsid w:val="000B34B3"/>
    <w:rsid w:val="000B3F26"/>
    <w:rsid w:val="000B5DC1"/>
    <w:rsid w:val="000B5E7D"/>
    <w:rsid w:val="000C0770"/>
    <w:rsid w:val="000C0B64"/>
    <w:rsid w:val="000C2D6B"/>
    <w:rsid w:val="000C6C96"/>
    <w:rsid w:val="000D007B"/>
    <w:rsid w:val="000D1D52"/>
    <w:rsid w:val="000E0B75"/>
    <w:rsid w:val="000E1474"/>
    <w:rsid w:val="000E4DB6"/>
    <w:rsid w:val="000E58B3"/>
    <w:rsid w:val="000E6854"/>
    <w:rsid w:val="000E77F3"/>
    <w:rsid w:val="000F0CF3"/>
    <w:rsid w:val="000F337D"/>
    <w:rsid w:val="000F4856"/>
    <w:rsid w:val="000F55A8"/>
    <w:rsid w:val="000F57DA"/>
    <w:rsid w:val="000F5985"/>
    <w:rsid w:val="000F6780"/>
    <w:rsid w:val="0010373A"/>
    <w:rsid w:val="00112606"/>
    <w:rsid w:val="00114568"/>
    <w:rsid w:val="001210B1"/>
    <w:rsid w:val="001304DE"/>
    <w:rsid w:val="00140C73"/>
    <w:rsid w:val="001412B1"/>
    <w:rsid w:val="00142BFC"/>
    <w:rsid w:val="00143EAB"/>
    <w:rsid w:val="00144E58"/>
    <w:rsid w:val="0014591F"/>
    <w:rsid w:val="00153B27"/>
    <w:rsid w:val="00156014"/>
    <w:rsid w:val="0015615B"/>
    <w:rsid w:val="00157692"/>
    <w:rsid w:val="001621BD"/>
    <w:rsid w:val="001624C0"/>
    <w:rsid w:val="00163EDB"/>
    <w:rsid w:val="00164D2D"/>
    <w:rsid w:val="00170723"/>
    <w:rsid w:val="001760FA"/>
    <w:rsid w:val="001A18C8"/>
    <w:rsid w:val="001A30C6"/>
    <w:rsid w:val="001A3AD0"/>
    <w:rsid w:val="001A3D7C"/>
    <w:rsid w:val="001A400B"/>
    <w:rsid w:val="001A6448"/>
    <w:rsid w:val="001B03FB"/>
    <w:rsid w:val="001B3B56"/>
    <w:rsid w:val="001B597F"/>
    <w:rsid w:val="001B6061"/>
    <w:rsid w:val="001B7E48"/>
    <w:rsid w:val="001C3B34"/>
    <w:rsid w:val="001C4ED3"/>
    <w:rsid w:val="001C59B1"/>
    <w:rsid w:val="001D1174"/>
    <w:rsid w:val="001D15B9"/>
    <w:rsid w:val="001D5067"/>
    <w:rsid w:val="001D598B"/>
    <w:rsid w:val="001D5EFB"/>
    <w:rsid w:val="001E208A"/>
    <w:rsid w:val="001E2CE8"/>
    <w:rsid w:val="001E2E48"/>
    <w:rsid w:val="001E4E34"/>
    <w:rsid w:val="001E645F"/>
    <w:rsid w:val="001E6B72"/>
    <w:rsid w:val="001E7936"/>
    <w:rsid w:val="001F4FC7"/>
    <w:rsid w:val="001F7B83"/>
    <w:rsid w:val="0021183B"/>
    <w:rsid w:val="002118E1"/>
    <w:rsid w:val="00212ACC"/>
    <w:rsid w:val="00214383"/>
    <w:rsid w:val="00217320"/>
    <w:rsid w:val="00224F47"/>
    <w:rsid w:val="00225148"/>
    <w:rsid w:val="00225A70"/>
    <w:rsid w:val="00225F50"/>
    <w:rsid w:val="00236BB9"/>
    <w:rsid w:val="00240F58"/>
    <w:rsid w:val="002504FA"/>
    <w:rsid w:val="0025120F"/>
    <w:rsid w:val="0025167F"/>
    <w:rsid w:val="00252FFD"/>
    <w:rsid w:val="00254C41"/>
    <w:rsid w:val="0026394E"/>
    <w:rsid w:val="00273741"/>
    <w:rsid w:val="00282A07"/>
    <w:rsid w:val="00285225"/>
    <w:rsid w:val="00290672"/>
    <w:rsid w:val="002913D5"/>
    <w:rsid w:val="002934EC"/>
    <w:rsid w:val="002963D0"/>
    <w:rsid w:val="002A30E0"/>
    <w:rsid w:val="002A3AB8"/>
    <w:rsid w:val="002A6690"/>
    <w:rsid w:val="002B0D72"/>
    <w:rsid w:val="002B1774"/>
    <w:rsid w:val="002C10D6"/>
    <w:rsid w:val="002C3E3F"/>
    <w:rsid w:val="002C3FDF"/>
    <w:rsid w:val="002C7486"/>
    <w:rsid w:val="002D0FB7"/>
    <w:rsid w:val="002D2722"/>
    <w:rsid w:val="002D2FAB"/>
    <w:rsid w:val="002D52BA"/>
    <w:rsid w:val="002D5DEF"/>
    <w:rsid w:val="002D60F9"/>
    <w:rsid w:val="002E186F"/>
    <w:rsid w:val="002E206A"/>
    <w:rsid w:val="002E2639"/>
    <w:rsid w:val="002E2E78"/>
    <w:rsid w:val="002E569D"/>
    <w:rsid w:val="002E7DEE"/>
    <w:rsid w:val="002F1458"/>
    <w:rsid w:val="002F7CD1"/>
    <w:rsid w:val="0030154A"/>
    <w:rsid w:val="003113B7"/>
    <w:rsid w:val="00314383"/>
    <w:rsid w:val="00315DFD"/>
    <w:rsid w:val="003205F4"/>
    <w:rsid w:val="00323D56"/>
    <w:rsid w:val="00324E5E"/>
    <w:rsid w:val="00327801"/>
    <w:rsid w:val="003313A0"/>
    <w:rsid w:val="00331820"/>
    <w:rsid w:val="003327B0"/>
    <w:rsid w:val="0034688A"/>
    <w:rsid w:val="0035119B"/>
    <w:rsid w:val="00352572"/>
    <w:rsid w:val="003562EF"/>
    <w:rsid w:val="0035655C"/>
    <w:rsid w:val="00356EED"/>
    <w:rsid w:val="0036344F"/>
    <w:rsid w:val="00363D44"/>
    <w:rsid w:val="003708E7"/>
    <w:rsid w:val="00371218"/>
    <w:rsid w:val="00371700"/>
    <w:rsid w:val="00375009"/>
    <w:rsid w:val="003776AE"/>
    <w:rsid w:val="003872F3"/>
    <w:rsid w:val="00390B55"/>
    <w:rsid w:val="00394147"/>
    <w:rsid w:val="003949D3"/>
    <w:rsid w:val="00394A6B"/>
    <w:rsid w:val="00395D0F"/>
    <w:rsid w:val="003968C1"/>
    <w:rsid w:val="003A4510"/>
    <w:rsid w:val="003A4AB4"/>
    <w:rsid w:val="003A4BDA"/>
    <w:rsid w:val="003A53A7"/>
    <w:rsid w:val="003A79BA"/>
    <w:rsid w:val="003B1038"/>
    <w:rsid w:val="003C09A6"/>
    <w:rsid w:val="003C30EA"/>
    <w:rsid w:val="003C387C"/>
    <w:rsid w:val="003C38DB"/>
    <w:rsid w:val="003C49EF"/>
    <w:rsid w:val="003C740C"/>
    <w:rsid w:val="003D38C6"/>
    <w:rsid w:val="003D5BA3"/>
    <w:rsid w:val="003D5BC6"/>
    <w:rsid w:val="003E3964"/>
    <w:rsid w:val="003E5CDF"/>
    <w:rsid w:val="00400306"/>
    <w:rsid w:val="00404510"/>
    <w:rsid w:val="004225E1"/>
    <w:rsid w:val="00425159"/>
    <w:rsid w:val="00426796"/>
    <w:rsid w:val="00426928"/>
    <w:rsid w:val="004322B9"/>
    <w:rsid w:val="00434248"/>
    <w:rsid w:val="004349B9"/>
    <w:rsid w:val="00440820"/>
    <w:rsid w:val="00443690"/>
    <w:rsid w:val="004443BC"/>
    <w:rsid w:val="0045245F"/>
    <w:rsid w:val="004531A0"/>
    <w:rsid w:val="00453DB9"/>
    <w:rsid w:val="00454C14"/>
    <w:rsid w:val="0045606B"/>
    <w:rsid w:val="00457F9D"/>
    <w:rsid w:val="00460677"/>
    <w:rsid w:val="004643F9"/>
    <w:rsid w:val="00474CB7"/>
    <w:rsid w:val="0047791C"/>
    <w:rsid w:val="004825B1"/>
    <w:rsid w:val="004828BB"/>
    <w:rsid w:val="00483CC0"/>
    <w:rsid w:val="00490E5D"/>
    <w:rsid w:val="004948CB"/>
    <w:rsid w:val="00494A04"/>
    <w:rsid w:val="004A087E"/>
    <w:rsid w:val="004A1479"/>
    <w:rsid w:val="004A7B45"/>
    <w:rsid w:val="004B027A"/>
    <w:rsid w:val="004B0F7D"/>
    <w:rsid w:val="004B3F57"/>
    <w:rsid w:val="004C27FE"/>
    <w:rsid w:val="004C3D98"/>
    <w:rsid w:val="004C6258"/>
    <w:rsid w:val="004D14B9"/>
    <w:rsid w:val="004D51ED"/>
    <w:rsid w:val="004D5EE1"/>
    <w:rsid w:val="004E01FC"/>
    <w:rsid w:val="004E655F"/>
    <w:rsid w:val="004E6C59"/>
    <w:rsid w:val="004F1DD2"/>
    <w:rsid w:val="004F2DD1"/>
    <w:rsid w:val="004F3FA7"/>
    <w:rsid w:val="005038BF"/>
    <w:rsid w:val="00507F4C"/>
    <w:rsid w:val="005102E7"/>
    <w:rsid w:val="005140E5"/>
    <w:rsid w:val="00520A22"/>
    <w:rsid w:val="00522CED"/>
    <w:rsid w:val="0052390C"/>
    <w:rsid w:val="00527FF3"/>
    <w:rsid w:val="00547444"/>
    <w:rsid w:val="005477B0"/>
    <w:rsid w:val="0055128A"/>
    <w:rsid w:val="00553FAD"/>
    <w:rsid w:val="00554644"/>
    <w:rsid w:val="005561FB"/>
    <w:rsid w:val="005602C0"/>
    <w:rsid w:val="00565720"/>
    <w:rsid w:val="005757B4"/>
    <w:rsid w:val="00582786"/>
    <w:rsid w:val="00583F86"/>
    <w:rsid w:val="0058703C"/>
    <w:rsid w:val="0059736B"/>
    <w:rsid w:val="005A1676"/>
    <w:rsid w:val="005A2429"/>
    <w:rsid w:val="005A6761"/>
    <w:rsid w:val="005A759F"/>
    <w:rsid w:val="005B6370"/>
    <w:rsid w:val="005C00CD"/>
    <w:rsid w:val="005C7D63"/>
    <w:rsid w:val="005D2942"/>
    <w:rsid w:val="005D585B"/>
    <w:rsid w:val="005E1C0E"/>
    <w:rsid w:val="005E25E6"/>
    <w:rsid w:val="005E2C83"/>
    <w:rsid w:val="005E3BB9"/>
    <w:rsid w:val="005E41A8"/>
    <w:rsid w:val="005E45EA"/>
    <w:rsid w:val="005E496F"/>
    <w:rsid w:val="005F1783"/>
    <w:rsid w:val="005F49D7"/>
    <w:rsid w:val="0060546B"/>
    <w:rsid w:val="00606131"/>
    <w:rsid w:val="00607AD7"/>
    <w:rsid w:val="006164E7"/>
    <w:rsid w:val="00616C61"/>
    <w:rsid w:val="00617D0D"/>
    <w:rsid w:val="00620841"/>
    <w:rsid w:val="00620AF7"/>
    <w:rsid w:val="00626E5A"/>
    <w:rsid w:val="00630E9E"/>
    <w:rsid w:val="0063219C"/>
    <w:rsid w:val="006322E6"/>
    <w:rsid w:val="00633A51"/>
    <w:rsid w:val="0063502F"/>
    <w:rsid w:val="006350F4"/>
    <w:rsid w:val="00641D84"/>
    <w:rsid w:val="006429AE"/>
    <w:rsid w:val="00645555"/>
    <w:rsid w:val="006515D1"/>
    <w:rsid w:val="0065371D"/>
    <w:rsid w:val="00660A7E"/>
    <w:rsid w:val="0066494D"/>
    <w:rsid w:val="006668AF"/>
    <w:rsid w:val="00666A0B"/>
    <w:rsid w:val="00672915"/>
    <w:rsid w:val="00676502"/>
    <w:rsid w:val="00683716"/>
    <w:rsid w:val="00683EE3"/>
    <w:rsid w:val="006840E8"/>
    <w:rsid w:val="00685C54"/>
    <w:rsid w:val="006A1554"/>
    <w:rsid w:val="006A189B"/>
    <w:rsid w:val="006A30E4"/>
    <w:rsid w:val="006A6166"/>
    <w:rsid w:val="006B1C1E"/>
    <w:rsid w:val="006B26B7"/>
    <w:rsid w:val="006B6908"/>
    <w:rsid w:val="006B7048"/>
    <w:rsid w:val="006C086F"/>
    <w:rsid w:val="006C1E27"/>
    <w:rsid w:val="006C2DCB"/>
    <w:rsid w:val="006C3B95"/>
    <w:rsid w:val="006C5182"/>
    <w:rsid w:val="006C534A"/>
    <w:rsid w:val="006C5F23"/>
    <w:rsid w:val="006D0B56"/>
    <w:rsid w:val="006D420B"/>
    <w:rsid w:val="006D569B"/>
    <w:rsid w:val="006D7B63"/>
    <w:rsid w:val="006F179B"/>
    <w:rsid w:val="00700584"/>
    <w:rsid w:val="00702262"/>
    <w:rsid w:val="00703CA6"/>
    <w:rsid w:val="00704072"/>
    <w:rsid w:val="00704175"/>
    <w:rsid w:val="00710AB8"/>
    <w:rsid w:val="007129BD"/>
    <w:rsid w:val="00720DD0"/>
    <w:rsid w:val="007214F0"/>
    <w:rsid w:val="00722A2A"/>
    <w:rsid w:val="007240D2"/>
    <w:rsid w:val="00726189"/>
    <w:rsid w:val="007270E2"/>
    <w:rsid w:val="00734EE6"/>
    <w:rsid w:val="007369A8"/>
    <w:rsid w:val="00740C28"/>
    <w:rsid w:val="00742C49"/>
    <w:rsid w:val="007430F5"/>
    <w:rsid w:val="007459DB"/>
    <w:rsid w:val="00747C83"/>
    <w:rsid w:val="007514C9"/>
    <w:rsid w:val="00753E56"/>
    <w:rsid w:val="007545E1"/>
    <w:rsid w:val="00755676"/>
    <w:rsid w:val="0076210C"/>
    <w:rsid w:val="00766B63"/>
    <w:rsid w:val="00773728"/>
    <w:rsid w:val="0077684E"/>
    <w:rsid w:val="00785BEC"/>
    <w:rsid w:val="00787237"/>
    <w:rsid w:val="00787EAD"/>
    <w:rsid w:val="0079196F"/>
    <w:rsid w:val="0079336E"/>
    <w:rsid w:val="00795F9E"/>
    <w:rsid w:val="007A1274"/>
    <w:rsid w:val="007A1BAB"/>
    <w:rsid w:val="007A4D99"/>
    <w:rsid w:val="007A65FC"/>
    <w:rsid w:val="007B4A70"/>
    <w:rsid w:val="007B6A5E"/>
    <w:rsid w:val="007B72D4"/>
    <w:rsid w:val="007C0490"/>
    <w:rsid w:val="007C11DC"/>
    <w:rsid w:val="007C61EF"/>
    <w:rsid w:val="007C7F0B"/>
    <w:rsid w:val="007D2EB8"/>
    <w:rsid w:val="007D52BA"/>
    <w:rsid w:val="007D5D32"/>
    <w:rsid w:val="007E1684"/>
    <w:rsid w:val="007E2D14"/>
    <w:rsid w:val="007E2D5A"/>
    <w:rsid w:val="007E466E"/>
    <w:rsid w:val="007E567D"/>
    <w:rsid w:val="007E590F"/>
    <w:rsid w:val="007E64CF"/>
    <w:rsid w:val="007F19C8"/>
    <w:rsid w:val="007F2F81"/>
    <w:rsid w:val="007F4811"/>
    <w:rsid w:val="007F5742"/>
    <w:rsid w:val="00800F1C"/>
    <w:rsid w:val="00802970"/>
    <w:rsid w:val="00803E4F"/>
    <w:rsid w:val="00805883"/>
    <w:rsid w:val="00815723"/>
    <w:rsid w:val="00816BF1"/>
    <w:rsid w:val="008213AC"/>
    <w:rsid w:val="00821A34"/>
    <w:rsid w:val="00823B65"/>
    <w:rsid w:val="00823FFA"/>
    <w:rsid w:val="0082704B"/>
    <w:rsid w:val="0082786D"/>
    <w:rsid w:val="00830DB8"/>
    <w:rsid w:val="00834A84"/>
    <w:rsid w:val="00834F8F"/>
    <w:rsid w:val="00836982"/>
    <w:rsid w:val="00840771"/>
    <w:rsid w:val="008419F2"/>
    <w:rsid w:val="008424B9"/>
    <w:rsid w:val="00843B92"/>
    <w:rsid w:val="00845A02"/>
    <w:rsid w:val="00847D66"/>
    <w:rsid w:val="00855AF4"/>
    <w:rsid w:val="00860AB9"/>
    <w:rsid w:val="00861CA4"/>
    <w:rsid w:val="00862D81"/>
    <w:rsid w:val="00864739"/>
    <w:rsid w:val="00864FFD"/>
    <w:rsid w:val="008738E2"/>
    <w:rsid w:val="00873F38"/>
    <w:rsid w:val="00873FF4"/>
    <w:rsid w:val="00882837"/>
    <w:rsid w:val="00882BB0"/>
    <w:rsid w:val="0088465F"/>
    <w:rsid w:val="00884DD7"/>
    <w:rsid w:val="00885ECD"/>
    <w:rsid w:val="00886AA1"/>
    <w:rsid w:val="00886CFF"/>
    <w:rsid w:val="00891B0F"/>
    <w:rsid w:val="00894FA9"/>
    <w:rsid w:val="00895A32"/>
    <w:rsid w:val="00896109"/>
    <w:rsid w:val="00896F55"/>
    <w:rsid w:val="008A26CC"/>
    <w:rsid w:val="008A301B"/>
    <w:rsid w:val="008A757C"/>
    <w:rsid w:val="008B0AC3"/>
    <w:rsid w:val="008B2DBF"/>
    <w:rsid w:val="008B7B38"/>
    <w:rsid w:val="008C33FD"/>
    <w:rsid w:val="008D397D"/>
    <w:rsid w:val="008D5177"/>
    <w:rsid w:val="008D6DCC"/>
    <w:rsid w:val="008D771E"/>
    <w:rsid w:val="008E21E1"/>
    <w:rsid w:val="008E252A"/>
    <w:rsid w:val="008E5030"/>
    <w:rsid w:val="008E6C91"/>
    <w:rsid w:val="008F0E65"/>
    <w:rsid w:val="008F383E"/>
    <w:rsid w:val="00901C5C"/>
    <w:rsid w:val="00902E2B"/>
    <w:rsid w:val="0090554B"/>
    <w:rsid w:val="00905E9B"/>
    <w:rsid w:val="009113BC"/>
    <w:rsid w:val="00911F37"/>
    <w:rsid w:val="00912EB4"/>
    <w:rsid w:val="00914FF0"/>
    <w:rsid w:val="00916A80"/>
    <w:rsid w:val="00924C12"/>
    <w:rsid w:val="009260F6"/>
    <w:rsid w:val="009326A8"/>
    <w:rsid w:val="00936B61"/>
    <w:rsid w:val="0094053C"/>
    <w:rsid w:val="00941C20"/>
    <w:rsid w:val="00945AB6"/>
    <w:rsid w:val="0094702A"/>
    <w:rsid w:val="00951C0A"/>
    <w:rsid w:val="00951FB7"/>
    <w:rsid w:val="00955BAF"/>
    <w:rsid w:val="00960E76"/>
    <w:rsid w:val="009658C7"/>
    <w:rsid w:val="00966FCA"/>
    <w:rsid w:val="00971B39"/>
    <w:rsid w:val="0098204C"/>
    <w:rsid w:val="009826AF"/>
    <w:rsid w:val="00985537"/>
    <w:rsid w:val="00990466"/>
    <w:rsid w:val="00992063"/>
    <w:rsid w:val="009927A4"/>
    <w:rsid w:val="00995B4E"/>
    <w:rsid w:val="0099733C"/>
    <w:rsid w:val="00997F1D"/>
    <w:rsid w:val="009A0013"/>
    <w:rsid w:val="009A097B"/>
    <w:rsid w:val="009A26BF"/>
    <w:rsid w:val="009A38C0"/>
    <w:rsid w:val="009A4F0D"/>
    <w:rsid w:val="009B27FF"/>
    <w:rsid w:val="009B6845"/>
    <w:rsid w:val="009B7CD0"/>
    <w:rsid w:val="009C0A34"/>
    <w:rsid w:val="009C5DFA"/>
    <w:rsid w:val="009E0083"/>
    <w:rsid w:val="009E1865"/>
    <w:rsid w:val="009E192D"/>
    <w:rsid w:val="009F522A"/>
    <w:rsid w:val="00A04069"/>
    <w:rsid w:val="00A12580"/>
    <w:rsid w:val="00A14850"/>
    <w:rsid w:val="00A14EDF"/>
    <w:rsid w:val="00A156B8"/>
    <w:rsid w:val="00A2164B"/>
    <w:rsid w:val="00A21E80"/>
    <w:rsid w:val="00A24B5A"/>
    <w:rsid w:val="00A33FB4"/>
    <w:rsid w:val="00A40D45"/>
    <w:rsid w:val="00A43AA9"/>
    <w:rsid w:val="00A43C8A"/>
    <w:rsid w:val="00A47FD8"/>
    <w:rsid w:val="00A525A9"/>
    <w:rsid w:val="00A5485E"/>
    <w:rsid w:val="00A64295"/>
    <w:rsid w:val="00A64D59"/>
    <w:rsid w:val="00A6603A"/>
    <w:rsid w:val="00A67A77"/>
    <w:rsid w:val="00A71D89"/>
    <w:rsid w:val="00A77DFB"/>
    <w:rsid w:val="00A85B92"/>
    <w:rsid w:val="00A96431"/>
    <w:rsid w:val="00A9659E"/>
    <w:rsid w:val="00AA03E7"/>
    <w:rsid w:val="00AA042F"/>
    <w:rsid w:val="00AA1240"/>
    <w:rsid w:val="00AA1D3C"/>
    <w:rsid w:val="00AA2967"/>
    <w:rsid w:val="00AB2887"/>
    <w:rsid w:val="00AB3B70"/>
    <w:rsid w:val="00AB4F4F"/>
    <w:rsid w:val="00AB6686"/>
    <w:rsid w:val="00AB7447"/>
    <w:rsid w:val="00AC40F3"/>
    <w:rsid w:val="00AC4FDB"/>
    <w:rsid w:val="00AC7057"/>
    <w:rsid w:val="00AC7A0C"/>
    <w:rsid w:val="00AC7F54"/>
    <w:rsid w:val="00AD235E"/>
    <w:rsid w:val="00AD38F6"/>
    <w:rsid w:val="00AE1360"/>
    <w:rsid w:val="00AE3606"/>
    <w:rsid w:val="00AE417C"/>
    <w:rsid w:val="00AE6B73"/>
    <w:rsid w:val="00AF6A4B"/>
    <w:rsid w:val="00AF6A7B"/>
    <w:rsid w:val="00B05C09"/>
    <w:rsid w:val="00B109EE"/>
    <w:rsid w:val="00B1271B"/>
    <w:rsid w:val="00B1414C"/>
    <w:rsid w:val="00B14183"/>
    <w:rsid w:val="00B157FB"/>
    <w:rsid w:val="00B15A00"/>
    <w:rsid w:val="00B16DE3"/>
    <w:rsid w:val="00B1728B"/>
    <w:rsid w:val="00B20E87"/>
    <w:rsid w:val="00B22BD5"/>
    <w:rsid w:val="00B22C8C"/>
    <w:rsid w:val="00B24639"/>
    <w:rsid w:val="00B264A9"/>
    <w:rsid w:val="00B26BF4"/>
    <w:rsid w:val="00B324BA"/>
    <w:rsid w:val="00B33D24"/>
    <w:rsid w:val="00B401AF"/>
    <w:rsid w:val="00B42377"/>
    <w:rsid w:val="00B462D8"/>
    <w:rsid w:val="00B50BC9"/>
    <w:rsid w:val="00B62394"/>
    <w:rsid w:val="00B6296C"/>
    <w:rsid w:val="00B62AE0"/>
    <w:rsid w:val="00B64388"/>
    <w:rsid w:val="00B70DB2"/>
    <w:rsid w:val="00B71AD0"/>
    <w:rsid w:val="00B728C8"/>
    <w:rsid w:val="00B73019"/>
    <w:rsid w:val="00B7524A"/>
    <w:rsid w:val="00B75CD2"/>
    <w:rsid w:val="00B86EF3"/>
    <w:rsid w:val="00B914DF"/>
    <w:rsid w:val="00B91D18"/>
    <w:rsid w:val="00B93A65"/>
    <w:rsid w:val="00B965F8"/>
    <w:rsid w:val="00BA1AF9"/>
    <w:rsid w:val="00BA1C1F"/>
    <w:rsid w:val="00BA5900"/>
    <w:rsid w:val="00BB0D82"/>
    <w:rsid w:val="00BC06A2"/>
    <w:rsid w:val="00BC5325"/>
    <w:rsid w:val="00BC6A7E"/>
    <w:rsid w:val="00BD3297"/>
    <w:rsid w:val="00BE011B"/>
    <w:rsid w:val="00BE03F1"/>
    <w:rsid w:val="00BE4B92"/>
    <w:rsid w:val="00BE4FCA"/>
    <w:rsid w:val="00BE668A"/>
    <w:rsid w:val="00BE6D4F"/>
    <w:rsid w:val="00BF1DD5"/>
    <w:rsid w:val="00BF58EE"/>
    <w:rsid w:val="00BF65C5"/>
    <w:rsid w:val="00BF7BEC"/>
    <w:rsid w:val="00C00E82"/>
    <w:rsid w:val="00C015F9"/>
    <w:rsid w:val="00C063C2"/>
    <w:rsid w:val="00C07821"/>
    <w:rsid w:val="00C10623"/>
    <w:rsid w:val="00C21400"/>
    <w:rsid w:val="00C21758"/>
    <w:rsid w:val="00C225B2"/>
    <w:rsid w:val="00C2397C"/>
    <w:rsid w:val="00C26CB3"/>
    <w:rsid w:val="00C27BD4"/>
    <w:rsid w:val="00C31012"/>
    <w:rsid w:val="00C314A6"/>
    <w:rsid w:val="00C32805"/>
    <w:rsid w:val="00C35082"/>
    <w:rsid w:val="00C36E2C"/>
    <w:rsid w:val="00C425F3"/>
    <w:rsid w:val="00C43861"/>
    <w:rsid w:val="00C44A6D"/>
    <w:rsid w:val="00C44ABC"/>
    <w:rsid w:val="00C47E09"/>
    <w:rsid w:val="00C53BFD"/>
    <w:rsid w:val="00C54E6D"/>
    <w:rsid w:val="00C55792"/>
    <w:rsid w:val="00C613C3"/>
    <w:rsid w:val="00C61FA3"/>
    <w:rsid w:val="00C654FB"/>
    <w:rsid w:val="00C66587"/>
    <w:rsid w:val="00C66FFE"/>
    <w:rsid w:val="00C76AD1"/>
    <w:rsid w:val="00C83800"/>
    <w:rsid w:val="00C8602A"/>
    <w:rsid w:val="00C92288"/>
    <w:rsid w:val="00C96EF4"/>
    <w:rsid w:val="00CA4765"/>
    <w:rsid w:val="00CB544F"/>
    <w:rsid w:val="00CB7E46"/>
    <w:rsid w:val="00CC06D0"/>
    <w:rsid w:val="00CC195F"/>
    <w:rsid w:val="00CC2DF9"/>
    <w:rsid w:val="00CC314E"/>
    <w:rsid w:val="00CC4674"/>
    <w:rsid w:val="00CC59BC"/>
    <w:rsid w:val="00CD20C3"/>
    <w:rsid w:val="00CD3227"/>
    <w:rsid w:val="00CD4B4A"/>
    <w:rsid w:val="00CD7092"/>
    <w:rsid w:val="00CD7A1C"/>
    <w:rsid w:val="00CE1E36"/>
    <w:rsid w:val="00CE219F"/>
    <w:rsid w:val="00CE6956"/>
    <w:rsid w:val="00CE6CAD"/>
    <w:rsid w:val="00CF0A60"/>
    <w:rsid w:val="00CF2516"/>
    <w:rsid w:val="00D034C3"/>
    <w:rsid w:val="00D0435B"/>
    <w:rsid w:val="00D05B1B"/>
    <w:rsid w:val="00D0699F"/>
    <w:rsid w:val="00D12BEB"/>
    <w:rsid w:val="00D147A5"/>
    <w:rsid w:val="00D17A57"/>
    <w:rsid w:val="00D210DE"/>
    <w:rsid w:val="00D27BD4"/>
    <w:rsid w:val="00D315B0"/>
    <w:rsid w:val="00D3232C"/>
    <w:rsid w:val="00D325F6"/>
    <w:rsid w:val="00D32D77"/>
    <w:rsid w:val="00D33F35"/>
    <w:rsid w:val="00D34DFE"/>
    <w:rsid w:val="00D377EE"/>
    <w:rsid w:val="00D45004"/>
    <w:rsid w:val="00D47513"/>
    <w:rsid w:val="00D47FF1"/>
    <w:rsid w:val="00D516F4"/>
    <w:rsid w:val="00D56C2B"/>
    <w:rsid w:val="00D614D4"/>
    <w:rsid w:val="00D61C21"/>
    <w:rsid w:val="00D64898"/>
    <w:rsid w:val="00D65198"/>
    <w:rsid w:val="00D6680B"/>
    <w:rsid w:val="00D70D70"/>
    <w:rsid w:val="00D70DF7"/>
    <w:rsid w:val="00D71290"/>
    <w:rsid w:val="00D74A5E"/>
    <w:rsid w:val="00D758BB"/>
    <w:rsid w:val="00D76AFB"/>
    <w:rsid w:val="00D76DC1"/>
    <w:rsid w:val="00D8024C"/>
    <w:rsid w:val="00D843A0"/>
    <w:rsid w:val="00D855F3"/>
    <w:rsid w:val="00D86122"/>
    <w:rsid w:val="00D9414E"/>
    <w:rsid w:val="00D9656C"/>
    <w:rsid w:val="00DA3875"/>
    <w:rsid w:val="00DA46E0"/>
    <w:rsid w:val="00DB18DA"/>
    <w:rsid w:val="00DB2BF8"/>
    <w:rsid w:val="00DB2CD6"/>
    <w:rsid w:val="00DB39FC"/>
    <w:rsid w:val="00DB4716"/>
    <w:rsid w:val="00DC0BAB"/>
    <w:rsid w:val="00DC140F"/>
    <w:rsid w:val="00DC2152"/>
    <w:rsid w:val="00DC419F"/>
    <w:rsid w:val="00DC4906"/>
    <w:rsid w:val="00DC6385"/>
    <w:rsid w:val="00DC70D9"/>
    <w:rsid w:val="00DC750C"/>
    <w:rsid w:val="00DD1D28"/>
    <w:rsid w:val="00DD222E"/>
    <w:rsid w:val="00DD7C89"/>
    <w:rsid w:val="00DF02CA"/>
    <w:rsid w:val="00DF19EB"/>
    <w:rsid w:val="00DF392A"/>
    <w:rsid w:val="00DF4FB5"/>
    <w:rsid w:val="00DF6353"/>
    <w:rsid w:val="00E0061F"/>
    <w:rsid w:val="00E00667"/>
    <w:rsid w:val="00E00F86"/>
    <w:rsid w:val="00E01040"/>
    <w:rsid w:val="00E01CA0"/>
    <w:rsid w:val="00E03ABD"/>
    <w:rsid w:val="00E04558"/>
    <w:rsid w:val="00E17000"/>
    <w:rsid w:val="00E21E46"/>
    <w:rsid w:val="00E22FCF"/>
    <w:rsid w:val="00E23C4C"/>
    <w:rsid w:val="00E24091"/>
    <w:rsid w:val="00E24A43"/>
    <w:rsid w:val="00E25B93"/>
    <w:rsid w:val="00E307B3"/>
    <w:rsid w:val="00E30DE6"/>
    <w:rsid w:val="00E31BEF"/>
    <w:rsid w:val="00E34886"/>
    <w:rsid w:val="00E34E95"/>
    <w:rsid w:val="00E46108"/>
    <w:rsid w:val="00E50F83"/>
    <w:rsid w:val="00E526B9"/>
    <w:rsid w:val="00E554D9"/>
    <w:rsid w:val="00E6033C"/>
    <w:rsid w:val="00E6191A"/>
    <w:rsid w:val="00E625C0"/>
    <w:rsid w:val="00E70708"/>
    <w:rsid w:val="00E70AB5"/>
    <w:rsid w:val="00E72F24"/>
    <w:rsid w:val="00E74CB2"/>
    <w:rsid w:val="00E7568F"/>
    <w:rsid w:val="00E75789"/>
    <w:rsid w:val="00E76832"/>
    <w:rsid w:val="00E80F54"/>
    <w:rsid w:val="00E84329"/>
    <w:rsid w:val="00E848C6"/>
    <w:rsid w:val="00E85796"/>
    <w:rsid w:val="00E90CAB"/>
    <w:rsid w:val="00E91B4A"/>
    <w:rsid w:val="00E93739"/>
    <w:rsid w:val="00E9428A"/>
    <w:rsid w:val="00E952A2"/>
    <w:rsid w:val="00E963B1"/>
    <w:rsid w:val="00E96D2C"/>
    <w:rsid w:val="00EA1CF8"/>
    <w:rsid w:val="00EA4800"/>
    <w:rsid w:val="00EA4FBD"/>
    <w:rsid w:val="00EA526F"/>
    <w:rsid w:val="00EB08BA"/>
    <w:rsid w:val="00EB4326"/>
    <w:rsid w:val="00EB542A"/>
    <w:rsid w:val="00EB5576"/>
    <w:rsid w:val="00EC2397"/>
    <w:rsid w:val="00EC448E"/>
    <w:rsid w:val="00EC5A03"/>
    <w:rsid w:val="00EC66F1"/>
    <w:rsid w:val="00ED1435"/>
    <w:rsid w:val="00ED2731"/>
    <w:rsid w:val="00ED688F"/>
    <w:rsid w:val="00ED7B7B"/>
    <w:rsid w:val="00EE0A68"/>
    <w:rsid w:val="00EE2DC7"/>
    <w:rsid w:val="00EE75A0"/>
    <w:rsid w:val="00EF33C5"/>
    <w:rsid w:val="00EF6528"/>
    <w:rsid w:val="00EF7FA8"/>
    <w:rsid w:val="00F00EEA"/>
    <w:rsid w:val="00F022C3"/>
    <w:rsid w:val="00F16A32"/>
    <w:rsid w:val="00F23364"/>
    <w:rsid w:val="00F317E2"/>
    <w:rsid w:val="00F32A19"/>
    <w:rsid w:val="00F346DA"/>
    <w:rsid w:val="00F357D4"/>
    <w:rsid w:val="00F40254"/>
    <w:rsid w:val="00F40E3B"/>
    <w:rsid w:val="00F52B17"/>
    <w:rsid w:val="00F548F3"/>
    <w:rsid w:val="00F57115"/>
    <w:rsid w:val="00F635B3"/>
    <w:rsid w:val="00F64177"/>
    <w:rsid w:val="00F672FD"/>
    <w:rsid w:val="00F73A92"/>
    <w:rsid w:val="00F74982"/>
    <w:rsid w:val="00F75521"/>
    <w:rsid w:val="00F77EAE"/>
    <w:rsid w:val="00F830CC"/>
    <w:rsid w:val="00F85CC2"/>
    <w:rsid w:val="00F910E6"/>
    <w:rsid w:val="00F928AE"/>
    <w:rsid w:val="00FA1941"/>
    <w:rsid w:val="00FA3EB7"/>
    <w:rsid w:val="00FA4377"/>
    <w:rsid w:val="00FB0B06"/>
    <w:rsid w:val="00FB4DD4"/>
    <w:rsid w:val="00FB5962"/>
    <w:rsid w:val="00FC0985"/>
    <w:rsid w:val="00FC3889"/>
    <w:rsid w:val="00FC6003"/>
    <w:rsid w:val="00FC7BCB"/>
    <w:rsid w:val="00FD5029"/>
    <w:rsid w:val="00FD65F2"/>
    <w:rsid w:val="00FE3324"/>
    <w:rsid w:val="00FE53CB"/>
    <w:rsid w:val="00FE6568"/>
    <w:rsid w:val="00FE7C29"/>
    <w:rsid w:val="00FF015D"/>
    <w:rsid w:val="2F01E557"/>
    <w:rsid w:val="7949B4B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7DAB"/>
  <w15:chartTrackingRefBased/>
  <w15:docId w15:val="{E5981526-6A6A-4492-B0CF-DB0313C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3333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823B65"/>
  </w:style>
  <w:style w:type="paragraph" w:styleId="Heading1">
    <w:name w:val="heading 1"/>
    <w:basedOn w:val="Normal"/>
    <w:next w:val="BodyText"/>
    <w:link w:val="Heading1Char"/>
    <w:uiPriority w:val="9"/>
    <w:qFormat/>
    <w:rsid w:val="000A3740"/>
    <w:pPr>
      <w:keepNext/>
      <w:keepLines/>
      <w:numPr>
        <w:numId w:val="8"/>
      </w:numPr>
      <w:spacing w:after="240"/>
      <w:outlineLvl w:val="0"/>
    </w:pPr>
    <w:rPr>
      <w:rFonts w:asciiTheme="majorHAnsi" w:eastAsiaTheme="majorEastAsia" w:hAnsiTheme="majorHAnsi" w:cstheme="majorBidi"/>
      <w:color w:val="auto"/>
      <w:szCs w:val="32"/>
    </w:rPr>
  </w:style>
  <w:style w:type="paragraph" w:styleId="Heading2">
    <w:name w:val="heading 2"/>
    <w:basedOn w:val="Normal"/>
    <w:next w:val="BodyText"/>
    <w:link w:val="Heading2Char"/>
    <w:uiPriority w:val="10"/>
    <w:qFormat/>
    <w:rsid w:val="000A3740"/>
    <w:pPr>
      <w:keepNext/>
      <w:keepLines/>
      <w:numPr>
        <w:ilvl w:val="1"/>
        <w:numId w:val="8"/>
      </w:numPr>
      <w:spacing w:before="240" w:after="240"/>
      <w:outlineLvl w:val="1"/>
    </w:pPr>
    <w:rPr>
      <w:rFonts w:eastAsiaTheme="majorEastAsia" w:cstheme="majorBidi"/>
      <w:color w:val="auto"/>
      <w:szCs w:val="26"/>
    </w:rPr>
  </w:style>
  <w:style w:type="paragraph" w:styleId="Heading3">
    <w:name w:val="heading 3"/>
    <w:basedOn w:val="Normal"/>
    <w:next w:val="BodyText"/>
    <w:link w:val="Heading3Char"/>
    <w:uiPriority w:val="10"/>
    <w:qFormat/>
    <w:rsid w:val="00DC750C"/>
    <w:pPr>
      <w:keepNext/>
      <w:keepLines/>
      <w:numPr>
        <w:ilvl w:val="2"/>
        <w:numId w:val="8"/>
      </w:numPr>
      <w:spacing w:before="240" w:after="240"/>
      <w:outlineLvl w:val="2"/>
    </w:pPr>
    <w:rPr>
      <w:rFonts w:eastAsiaTheme="majorEastAsia" w:cstheme="majorBidi"/>
      <w:szCs w:val="24"/>
    </w:rPr>
  </w:style>
  <w:style w:type="paragraph" w:styleId="Heading4">
    <w:name w:val="heading 4"/>
    <w:basedOn w:val="Normal"/>
    <w:next w:val="Normal"/>
    <w:link w:val="Heading4Char"/>
    <w:uiPriority w:val="10"/>
    <w:qFormat/>
    <w:rsid w:val="00F73A92"/>
    <w:pPr>
      <w:keepNext/>
      <w:keepLines/>
      <w:spacing w:before="24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10"/>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10"/>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10"/>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10"/>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0"/>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0A3740"/>
    <w:rPr>
      <w:rFonts w:asciiTheme="majorHAnsi" w:eastAsiaTheme="majorEastAsia" w:hAnsiTheme="majorHAnsi" w:cstheme="majorBidi"/>
      <w:color w:val="auto"/>
      <w:szCs w:val="32"/>
    </w:rPr>
  </w:style>
  <w:style w:type="character" w:customStyle="1" w:styleId="Heading2Char">
    <w:name w:val="Heading 2 Char"/>
    <w:basedOn w:val="DefaultParagraphFont"/>
    <w:link w:val="Heading2"/>
    <w:uiPriority w:val="10"/>
    <w:rsid w:val="000A3740"/>
    <w:rPr>
      <w:rFonts w:eastAsiaTheme="majorEastAsia" w:cstheme="majorBidi"/>
      <w:color w:val="auto"/>
      <w:szCs w:val="26"/>
    </w:rPr>
  </w:style>
  <w:style w:type="paragraph" w:styleId="Caption">
    <w:name w:val="caption"/>
    <w:basedOn w:val="Normal"/>
    <w:next w:val="BodyText"/>
    <w:uiPriority w:val="49"/>
    <w:qFormat/>
    <w:rsid w:val="00BE03F1"/>
    <w:pPr>
      <w:spacing w:before="240"/>
    </w:pPr>
    <w:rPr>
      <w:iCs/>
      <w:color w:val="auto"/>
      <w:sz w:val="16"/>
      <w:szCs w:val="18"/>
    </w:rPr>
  </w:style>
  <w:style w:type="paragraph" w:styleId="TOCHeading">
    <w:name w:val="TOC Heading"/>
    <w:basedOn w:val="Normal"/>
    <w:next w:val="Normal"/>
    <w:uiPriority w:val="39"/>
    <w:qFormat/>
    <w:rsid w:val="007A1BAB"/>
    <w:pPr>
      <w:spacing w:after="360"/>
    </w:pPr>
    <w:rPr>
      <w:rFonts w:asciiTheme="majorHAnsi" w:hAnsiTheme="majorHAnsi"/>
      <w:color w:val="auto"/>
      <w:sz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8E6C91"/>
    <w:pPr>
      <w:numPr>
        <w:numId w:val="3"/>
      </w:numPr>
      <w:contextualSpacing/>
    </w:pPr>
  </w:style>
  <w:style w:type="paragraph" w:styleId="ListNumber2">
    <w:name w:val="List Number 2"/>
    <w:basedOn w:val="Normal"/>
    <w:uiPriority w:val="29"/>
    <w:qFormat/>
    <w:rsid w:val="008E6C91"/>
    <w:pPr>
      <w:numPr>
        <w:ilvl w:val="1"/>
        <w:numId w:val="3"/>
      </w:numPr>
      <w:contextualSpacing/>
    </w:pPr>
  </w:style>
  <w:style w:type="paragraph" w:styleId="ListNumber3">
    <w:name w:val="List Number 3"/>
    <w:basedOn w:val="Normal"/>
    <w:uiPriority w:val="29"/>
    <w:qFormat/>
    <w:rsid w:val="008E6C91"/>
    <w:pPr>
      <w:numPr>
        <w:ilvl w:val="2"/>
        <w:numId w:val="3"/>
      </w:numPr>
      <w:contextualSpacing/>
    </w:pPr>
  </w:style>
  <w:style w:type="character" w:customStyle="1" w:styleId="Heading3Char">
    <w:name w:val="Heading 3 Char"/>
    <w:basedOn w:val="DefaultParagraphFont"/>
    <w:link w:val="Heading3"/>
    <w:uiPriority w:val="10"/>
    <w:rsid w:val="00DC750C"/>
    <w:rPr>
      <w:rFonts w:eastAsiaTheme="majorEastAsia" w:cstheme="majorBidi"/>
      <w:szCs w:val="24"/>
    </w:rPr>
  </w:style>
  <w:style w:type="numbering" w:customStyle="1" w:styleId="HeadingNumList">
    <w:name w:val="HeadingNumList"/>
    <w:uiPriority w:val="99"/>
    <w:rsid w:val="00DC750C"/>
    <w:pPr>
      <w:numPr>
        <w:numId w:val="2"/>
      </w:numPr>
    </w:pPr>
  </w:style>
  <w:style w:type="paragraph" w:styleId="ListBullet">
    <w:name w:val="List Bullet"/>
    <w:basedOn w:val="Normal"/>
    <w:uiPriority w:val="19"/>
    <w:qFormat/>
    <w:rsid w:val="0026394E"/>
    <w:pPr>
      <w:numPr>
        <w:numId w:val="9"/>
      </w:numPr>
      <w:contextualSpacing/>
    </w:pPr>
  </w:style>
  <w:style w:type="paragraph" w:styleId="ListBullet2">
    <w:name w:val="List Bullet 2"/>
    <w:basedOn w:val="Normal"/>
    <w:uiPriority w:val="19"/>
    <w:qFormat/>
    <w:rsid w:val="0026394E"/>
    <w:pPr>
      <w:numPr>
        <w:ilvl w:val="1"/>
        <w:numId w:val="9"/>
      </w:numPr>
      <w:contextualSpacing/>
    </w:pPr>
  </w:style>
  <w:style w:type="paragraph" w:styleId="ListBullet3">
    <w:name w:val="List Bullet 3"/>
    <w:basedOn w:val="Normal"/>
    <w:uiPriority w:val="19"/>
    <w:qFormat/>
    <w:rsid w:val="0026394E"/>
    <w:pPr>
      <w:numPr>
        <w:ilvl w:val="2"/>
        <w:numId w:val="9"/>
      </w:numPr>
      <w:contextualSpacing/>
    </w:pPr>
  </w:style>
  <w:style w:type="paragraph" w:styleId="TOC1">
    <w:name w:val="toc 1"/>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spacing w:after="40"/>
    </w:pPr>
    <w:rPr>
      <w:rFonts w:asciiTheme="majorHAnsi" w:hAnsiTheme="majorHAnsi"/>
    </w:rPr>
  </w:style>
  <w:style w:type="paragraph" w:styleId="TOC2">
    <w:name w:val="toc 2"/>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tabs>
        <w:tab w:val="right" w:pos="9854"/>
      </w:tabs>
      <w:spacing w:after="40"/>
      <w:ind w:left="397" w:hanging="397"/>
    </w:pPr>
    <w:rPr>
      <w:rFonts w:asciiTheme="majorHAnsi" w:hAnsiTheme="majorHAnsi"/>
      <w:noProof/>
    </w:rPr>
  </w:style>
  <w:style w:type="paragraph" w:styleId="TOC3">
    <w:name w:val="toc 3"/>
    <w:basedOn w:val="Normal"/>
    <w:next w:val="Normal"/>
    <w:uiPriority w:val="39"/>
    <w:rsid w:val="000E0B75"/>
    <w:pPr>
      <w:pBdr>
        <w:top w:val="single" w:sz="8" w:space="1" w:color="DADADA" w:themeColor="background2"/>
        <w:bottom w:val="single" w:sz="8" w:space="3" w:color="DADADA" w:themeColor="background2"/>
        <w:between w:val="single" w:sz="8" w:space="1" w:color="DADADA" w:themeColor="background2"/>
      </w:pBdr>
      <w:spacing w:before="20" w:after="40"/>
    </w:pPr>
    <w:rPr>
      <w:rFonts w:asciiTheme="majorHAnsi" w:hAnsiTheme="majorHAnsi"/>
    </w:r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26394E"/>
    <w:pPr>
      <w:numPr>
        <w:numId w:val="4"/>
      </w:numPr>
    </w:pPr>
  </w:style>
  <w:style w:type="paragraph" w:styleId="BodyText">
    <w:name w:val="Body Text"/>
    <w:basedOn w:val="Normal"/>
    <w:link w:val="BodyTextChar"/>
    <w:qFormat/>
    <w:rsid w:val="00582786"/>
    <w:pPr>
      <w:spacing w:after="120"/>
    </w:pPr>
  </w:style>
  <w:style w:type="character" w:customStyle="1" w:styleId="BodyTextChar">
    <w:name w:val="Body Text Char"/>
    <w:basedOn w:val="DefaultParagraphFont"/>
    <w:link w:val="BodyText"/>
    <w:rsid w:val="00582786"/>
  </w:style>
  <w:style w:type="character" w:customStyle="1" w:styleId="Heading4Char">
    <w:name w:val="Heading 4 Char"/>
    <w:basedOn w:val="DefaultParagraphFont"/>
    <w:link w:val="Heading4"/>
    <w:uiPriority w:val="10"/>
    <w:rsid w:val="00F73A92"/>
    <w:rPr>
      <w:rFonts w:asciiTheme="majorHAnsi" w:eastAsiaTheme="majorEastAsia" w:hAnsiTheme="majorHAnsi" w:cstheme="majorBidi"/>
      <w:iCs/>
    </w:rPr>
  </w:style>
  <w:style w:type="character" w:customStyle="1" w:styleId="Heading5Char">
    <w:name w:val="Heading 5 Char"/>
    <w:basedOn w:val="DefaultParagraphFont"/>
    <w:link w:val="Heading5"/>
    <w:uiPriority w:val="10"/>
    <w:semiHidden/>
    <w:rsid w:val="004E01FC"/>
    <w:rPr>
      <w:rFonts w:asciiTheme="majorHAnsi" w:eastAsiaTheme="majorEastAsia" w:hAnsiTheme="majorHAnsi" w:cstheme="majorBidi"/>
    </w:rPr>
  </w:style>
  <w:style w:type="character" w:customStyle="1" w:styleId="Heading6Char">
    <w:name w:val="Heading 6 Char"/>
    <w:basedOn w:val="DefaultParagraphFont"/>
    <w:link w:val="Heading6"/>
    <w:uiPriority w:val="10"/>
    <w:semiHidden/>
    <w:rsid w:val="004E01FC"/>
    <w:rPr>
      <w:rFonts w:asciiTheme="majorHAnsi" w:eastAsiaTheme="majorEastAsia" w:hAnsiTheme="majorHAnsi" w:cstheme="majorBidi"/>
    </w:rPr>
  </w:style>
  <w:style w:type="character" w:customStyle="1" w:styleId="Heading7Char">
    <w:name w:val="Heading 7 Char"/>
    <w:basedOn w:val="DefaultParagraphFont"/>
    <w:link w:val="Heading7"/>
    <w:uiPriority w:val="10"/>
    <w:semiHidden/>
    <w:rsid w:val="004E01FC"/>
    <w:rPr>
      <w:rFonts w:asciiTheme="majorHAnsi" w:eastAsiaTheme="majorEastAsia" w:hAnsiTheme="majorHAnsi" w:cstheme="majorBidi"/>
      <w:i/>
      <w:iCs/>
    </w:rPr>
  </w:style>
  <w:style w:type="character" w:customStyle="1" w:styleId="Heading8Char">
    <w:name w:val="Heading 8 Char"/>
    <w:basedOn w:val="DefaultParagraphFont"/>
    <w:link w:val="Heading8"/>
    <w:uiPriority w:val="10"/>
    <w:semiHidden/>
    <w:rsid w:val="004E01FC"/>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10"/>
    <w:semiHidden/>
    <w:rsid w:val="004E01FC"/>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 w:val="22"/>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Normal"/>
    <w:link w:val="QuoteChar"/>
    <w:uiPriority w:val="29"/>
    <w:qFormat/>
    <w:rsid w:val="00C21400"/>
    <w:pPr>
      <w:keepNext/>
      <w:keepLines/>
      <w:spacing w:line="260" w:lineRule="atLeast"/>
    </w:pPr>
    <w:rPr>
      <w:rFonts w:asciiTheme="majorHAnsi" w:hAnsiTheme="majorHAnsi"/>
      <w:iCs/>
      <w:color w:val="EE526C" w:themeColor="accent1"/>
    </w:rPr>
  </w:style>
  <w:style w:type="character" w:customStyle="1" w:styleId="QuoteChar">
    <w:name w:val="Quote Char"/>
    <w:basedOn w:val="DefaultParagraphFont"/>
    <w:link w:val="Quote"/>
    <w:uiPriority w:val="29"/>
    <w:rsid w:val="00C21400"/>
    <w:rPr>
      <w:rFonts w:asciiTheme="majorHAnsi" w:hAnsiTheme="majorHAnsi"/>
      <w:iCs/>
      <w:color w:val="EE526C" w:themeColor="accent1"/>
    </w:rPr>
  </w:style>
  <w:style w:type="paragraph" w:styleId="IntenseQuote">
    <w:name w:val="Intense Quote"/>
    <w:basedOn w:val="Normal"/>
    <w:next w:val="Normal"/>
    <w:link w:val="IntenseQuoteChar"/>
    <w:uiPriority w:val="30"/>
    <w:semiHidden/>
    <w:qFormat/>
    <w:rsid w:val="004B0F7D"/>
    <w:pPr>
      <w:pBdr>
        <w:top w:val="single" w:sz="4" w:space="10" w:color="EE526C" w:themeColor="accent1"/>
        <w:bottom w:val="single" w:sz="4" w:space="10" w:color="EE526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5"/>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EE526C" w:themeColor="accent1"/>
        <w:left w:val="single" w:sz="2" w:space="10" w:color="EE526C" w:themeColor="accent1"/>
        <w:bottom w:val="single" w:sz="2" w:space="10" w:color="EE526C" w:themeColor="accent1"/>
        <w:right w:val="single" w:sz="2" w:space="10" w:color="EE526C"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7E64CF"/>
    <w:pPr>
      <w:spacing w:line="180" w:lineRule="atLeast"/>
    </w:pPr>
    <w:rPr>
      <w:color w:val="7F7F7F" w:themeColor="text1" w:themeTint="80"/>
      <w:sz w:val="14"/>
    </w:rPr>
  </w:style>
  <w:style w:type="character" w:customStyle="1" w:styleId="FooterChar">
    <w:name w:val="Footer Char"/>
    <w:basedOn w:val="DefaultParagraphFont"/>
    <w:link w:val="Footer"/>
    <w:uiPriority w:val="99"/>
    <w:rsid w:val="007E64CF"/>
    <w:rPr>
      <w:color w:val="7F7F7F" w:themeColor="text1" w:themeTint="80"/>
      <w:sz w:val="14"/>
    </w:rPr>
  </w:style>
  <w:style w:type="character" w:styleId="FootnoteReference">
    <w:name w:val="footnote reference"/>
    <w:basedOn w:val="DefaultParagraphFont"/>
    <w:uiPriority w:val="99"/>
    <w:semiHidden/>
    <w:rsid w:val="004B0F7D"/>
    <w:rPr>
      <w:vertAlign w:val="superscript"/>
    </w:rPr>
  </w:style>
  <w:style w:type="paragraph" w:styleId="Header">
    <w:name w:val="header"/>
    <w:link w:val="HeaderChar"/>
    <w:uiPriority w:val="99"/>
    <w:semiHidden/>
    <w:rsid w:val="00095144"/>
    <w:pPr>
      <w:tabs>
        <w:tab w:val="center" w:pos="4513"/>
        <w:tab w:val="right" w:pos="9026"/>
      </w:tabs>
    </w:pPr>
  </w:style>
  <w:style w:type="character" w:customStyle="1" w:styleId="HeaderChar">
    <w:name w:val="Header Char"/>
    <w:basedOn w:val="DefaultParagraphFont"/>
    <w:link w:val="Header"/>
    <w:uiPriority w:val="99"/>
    <w:semiHidden/>
    <w:rsid w:val="00095144"/>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6"/>
      </w:numPr>
      <w:contextualSpacing/>
    </w:pPr>
  </w:style>
  <w:style w:type="paragraph" w:styleId="ListBullet5">
    <w:name w:val="List Bullet 5"/>
    <w:basedOn w:val="Normal"/>
    <w:uiPriority w:val="99"/>
    <w:semiHidden/>
    <w:rsid w:val="004B0F7D"/>
    <w:pPr>
      <w:numPr>
        <w:numId w:val="7"/>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rsid w:val="00FE3324"/>
    <w:rPr>
      <w:sz w:val="22"/>
      <w:szCs w:val="22"/>
    </w:rPr>
  </w:style>
  <w:style w:type="character" w:customStyle="1" w:styleId="NoSpacingChar">
    <w:name w:val="No Spacing Char"/>
    <w:basedOn w:val="DefaultParagraphFont"/>
    <w:link w:val="NoSpacing"/>
    <w:uiPriority w:val="1"/>
    <w:rsid w:val="00FE3324"/>
    <w:rPr>
      <w:sz w:val="22"/>
      <w:szCs w:val="22"/>
    </w:rPr>
  </w:style>
  <w:style w:type="table" w:styleId="TableGrid">
    <w:name w:val="Table Grid"/>
    <w:basedOn w:val="TableNormal"/>
    <w:uiPriority w:val="39"/>
    <w:rsid w:val="00B75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752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DefaultParagraphFont"/>
    <w:uiPriority w:val="99"/>
    <w:unhideWhenUsed/>
    <w:rsid w:val="00E24091"/>
    <w:rPr>
      <w:color w:val="EE526C" w:themeColor="hyperlink"/>
      <w:u w:val="single"/>
    </w:rPr>
  </w:style>
  <w:style w:type="paragraph" w:customStyle="1" w:styleId="AppendixHeading1">
    <w:name w:val="Appendix Heading 1"/>
    <w:next w:val="BodyText"/>
    <w:uiPriority w:val="34"/>
    <w:qFormat/>
    <w:rsid w:val="007A1BAB"/>
    <w:pPr>
      <w:pageBreakBefore/>
      <w:spacing w:before="240" w:after="240"/>
    </w:pPr>
    <w:rPr>
      <w:rFonts w:asciiTheme="majorHAnsi" w:eastAsiaTheme="majorEastAsia" w:hAnsiTheme="majorHAnsi" w:cstheme="majorBidi"/>
      <w:color w:val="auto"/>
      <w:sz w:val="32"/>
      <w:szCs w:val="32"/>
    </w:rPr>
  </w:style>
  <w:style w:type="paragraph" w:customStyle="1" w:styleId="Heading1Unnumbered">
    <w:name w:val="Heading 1 Unnumbered"/>
    <w:next w:val="BodyText"/>
    <w:uiPriority w:val="9"/>
    <w:qFormat/>
    <w:rsid w:val="007A1BAB"/>
    <w:pPr>
      <w:spacing w:before="240" w:after="240"/>
    </w:pPr>
    <w:rPr>
      <w:rFonts w:asciiTheme="majorHAnsi" w:eastAsiaTheme="majorEastAsia" w:hAnsiTheme="majorHAnsi" w:cstheme="majorBidi"/>
      <w:color w:val="auto"/>
      <w:sz w:val="32"/>
      <w:szCs w:val="32"/>
    </w:rPr>
  </w:style>
  <w:style w:type="paragraph" w:customStyle="1" w:styleId="Documenttitle">
    <w:name w:val="Document title"/>
    <w:basedOn w:val="Heading1Unnumbered"/>
    <w:next w:val="BodyText"/>
    <w:uiPriority w:val="34"/>
    <w:qFormat/>
    <w:rsid w:val="007270E2"/>
  </w:style>
  <w:style w:type="paragraph" w:customStyle="1" w:styleId="Documentsubtitle">
    <w:name w:val="Document subtitle"/>
    <w:basedOn w:val="BodyText"/>
    <w:next w:val="BodyText"/>
    <w:uiPriority w:val="34"/>
    <w:qFormat/>
    <w:rsid w:val="00075D2E"/>
    <w:pPr>
      <w:framePr w:hSpace="181" w:wrap="around" w:vAnchor="page" w:hAnchor="text" w:y="3970"/>
      <w:spacing w:after="240"/>
    </w:pPr>
    <w:rPr>
      <w:rFonts w:asciiTheme="majorHAnsi" w:hAnsiTheme="majorHAnsi"/>
      <w:color w:val="auto"/>
    </w:rPr>
  </w:style>
  <w:style w:type="paragraph" w:customStyle="1" w:styleId="Sourcetext">
    <w:name w:val="Source text"/>
    <w:basedOn w:val="BodyText"/>
    <w:next w:val="BodyText"/>
    <w:uiPriority w:val="34"/>
    <w:qFormat/>
    <w:rsid w:val="00C654FB"/>
    <w:pPr>
      <w:spacing w:after="240"/>
    </w:pPr>
    <w:rPr>
      <w:color w:val="7F7F7F" w:themeColor="text1" w:themeTint="80"/>
      <w:sz w:val="16"/>
    </w:rPr>
  </w:style>
  <w:style w:type="paragraph" w:styleId="TableofFigures">
    <w:name w:val="table of figures"/>
    <w:basedOn w:val="Normal"/>
    <w:next w:val="Normal"/>
    <w:uiPriority w:val="99"/>
    <w:rsid w:val="0035119B"/>
    <w:pPr>
      <w:pBdr>
        <w:top w:val="single" w:sz="8" w:space="1" w:color="DADADA" w:themeColor="background2"/>
        <w:bottom w:val="single" w:sz="8" w:space="3" w:color="DADADA" w:themeColor="background2"/>
        <w:between w:val="single" w:sz="8" w:space="1" w:color="DADADA" w:themeColor="background2"/>
      </w:pBdr>
      <w:spacing w:after="40"/>
    </w:pPr>
    <w:rPr>
      <w:rFonts w:asciiTheme="majorHAnsi" w:hAnsiTheme="majorHAnsi"/>
    </w:rPr>
  </w:style>
  <w:style w:type="table" w:customStyle="1" w:styleId="Okanatablestyle">
    <w:name w:val="Okana table style"/>
    <w:basedOn w:val="TableNormal"/>
    <w:uiPriority w:val="99"/>
    <w:rsid w:val="00453DB9"/>
    <w:rPr>
      <w:sz w:val="16"/>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tblPr/>
      <w:trPr>
        <w:tblHeader/>
      </w:trPr>
      <w:tcPr>
        <w:shd w:val="clear" w:color="auto" w:fill="FEF6F8"/>
      </w:tcPr>
    </w:tblStylePr>
  </w:style>
  <w:style w:type="paragraph" w:customStyle="1" w:styleId="Footeralt">
    <w:name w:val="Footer alt"/>
    <w:basedOn w:val="Footer"/>
    <w:uiPriority w:val="34"/>
    <w:qFormat/>
    <w:rsid w:val="007E64CF"/>
    <w:pPr>
      <w:ind w:left="-567"/>
    </w:pPr>
  </w:style>
  <w:style w:type="paragraph" w:styleId="Revision">
    <w:name w:val="Revision"/>
    <w:hidden/>
    <w:uiPriority w:val="99"/>
    <w:semiHidden/>
    <w:rsid w:val="00B70DB2"/>
  </w:style>
  <w:style w:type="character" w:styleId="UnresolvedMention">
    <w:name w:val="Unresolved Mention"/>
    <w:basedOn w:val="DefaultParagraphFont"/>
    <w:uiPriority w:val="99"/>
    <w:semiHidden/>
    <w:rsid w:val="0080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cc.autodesk.com/docs/files/projects/17dfa7ef-f625-46e4-b634-837f8942f1e6?folderUrn=urn%3Aadsk.wipprod%3Afs.folder%3Aco.VMdeZv51QqyGhKhQRCILkg&amp;entityId=urn%3Aadsk.wipprod%3Adm.lineage%3ACJXNoJhGTCSn6nCSILGxmQ&amp;viewModel=detail&amp;moduleId=fold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acc.autodesk.com/docs/files/projects/17dfa7ef-f625-46e4-b634-837f8942f1e6?folderUrn=urn%3Aadsk.wipprod%3Afs.folder%3Aco.VMdeZv51QqyGhKhQRCILkg&amp;entityId=urn%3Aadsk.wipprod%3Adm.lineage%3AiBFXgGTeTZadqBbF_joC3Q&amp;viewModel=detail&amp;moduleId=fold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cc.autodesk.com/docs/files/projects/17dfa7ef-f625-46e4-b634-837f8942f1e6?folderUrn=urn%3Aadsk.wipprod%3Afs.folder%3Aco.VMdeZv51QqyGhKhQRCILkg&amp;entityId=urn%3Aadsk.wipprod%3Adm.lineage%3AaMwOrsbjRD6Q-_LVNKYoZg&amp;viewModel=detail&amp;moduleId=fold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c.autodesk.com/docs/files/projects/17dfa7ef-f625-46e4-b634-837f8942f1e6?folderUrn=urn%3Aadsk.wipprod%3Afs.folder%3Aco.VMdeZv51QqyGhKhQRCILkg&amp;entityId=urn%3Aadsk.wipprod%3Adm.lineage%3A4v_9DyLmT0CLACQMLvwgCA&amp;viewModel=detail&amp;moduleId=folder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cc.autodesk.com/docs/files/projects/17dfa7ef-f625-46e4-b634-837f8942f1e6?folderUrn=urn%3Aadsk.wipprod%3Afs.folder%3Aco.VMdeZv51QqyGhKhQRCILkg&amp;entityId=urn%3Aadsk.wipprod%3Adm.lineage%3ATWYkxr6aRoiro-czeL4EZQ&amp;viewModel=detail&amp;moduleId=folder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cc.autodesk.com/docs/files/projects/17dfa7ef-f625-46e4-b634-837f8942f1e6?folderUrn=urn%3Aadsk.wipprod%3Afs.folder%3Aco.VMdeZv51QqyGhKhQRCILkg&amp;entityId=urn%3Aadsk.wipprod%3Adm.lineage%3AX9zjqxTnQHKePiX6N94whw&amp;viewModel=detail&amp;moduleId=fol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cc.autodesk.com/docs/files/projects/17dfa7ef-f625-46e4-b634-837f8942f1e6?folderUrn=urn%3Aadsk.wipprod%3Afs.folder%3Aco.VMdeZv51QqyGhKhQRCILkg&amp;entityId=urn%3Aadsk.wipprod%3Adm.lineage%3AKH2ecEKuTUqNgjooXb1_mg&amp;viewModel=detail&amp;moduleId=folders"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AppData\Roaming\Microsoft\Templates\Okana_Short%20report%20template.dotx" TargetMode="External"/></Relationships>
</file>

<file path=word/theme/theme1.xml><?xml version="1.0" encoding="utf-8"?>
<a:theme xmlns:a="http://schemas.openxmlformats.org/drawingml/2006/main" name="Office Theme">
  <a:themeElements>
    <a:clrScheme name="Okana Colour theme">
      <a:dk1>
        <a:sysClr val="windowText" lastClr="000000"/>
      </a:dk1>
      <a:lt1>
        <a:sysClr val="window" lastClr="FFFFFF"/>
      </a:lt1>
      <a:dk2>
        <a:srgbClr val="333333"/>
      </a:dk2>
      <a:lt2>
        <a:srgbClr val="DADADA"/>
      </a:lt2>
      <a:accent1>
        <a:srgbClr val="EE526C"/>
      </a:accent1>
      <a:accent2>
        <a:srgbClr val="25BE72"/>
      </a:accent2>
      <a:accent3>
        <a:srgbClr val="7F33FF"/>
      </a:accent3>
      <a:accent4>
        <a:srgbClr val="EE7330"/>
      </a:accent4>
      <a:accent5>
        <a:srgbClr val="AFCB3A"/>
      </a:accent5>
      <a:accent6>
        <a:srgbClr val="0093D8"/>
      </a:accent6>
      <a:hlink>
        <a:srgbClr val="EE526C"/>
      </a:hlink>
      <a:folHlink>
        <a:srgbClr val="0E2841"/>
      </a:folHlink>
    </a:clrScheme>
    <a:fontScheme name="Okana Font Theme">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rtfolio xmlns="b81692eb-7497-406f-8a3d-afbee1f436c7" xsi:nil="true"/>
    <_Version xmlns="http://schemas.microsoft.com/sharepoint/v3/fields" xsi:nil="true"/>
    <TaxCatchAll xmlns="431edc3b-8596-4be0-a1c4-47a39c69de39" xsi:nil="true"/>
    <_Flow_SignoffStatus xmlns="b81692eb-7497-406f-8a3d-afbee1f436c7" xsi:nil="true"/>
    <Scope xmlns="b81692eb-7497-406f-8a3d-afbee1f436c7" xsi:nil="true"/>
    <_Revision xmlns="http://schemas.microsoft.com/sharepoint/v3/fields" xsi:nil="true"/>
    <ProjectStatus xmlns="b81692eb-7497-406f-8a3d-afbee1f436c7" xsi:nil="true"/>
    <lcf76f155ced4ddcb4097134ff3c332f xmlns="b81692eb-7497-406f-8a3d-afbee1f436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B65E0C1A6B843BADC03FD3552F2F3" ma:contentTypeVersion="23" ma:contentTypeDescription="Create a new document." ma:contentTypeScope="" ma:versionID="2777993801dda3ba24413225fc60268e">
  <xsd:schema xmlns:xsd="http://www.w3.org/2001/XMLSchema" xmlns:xs="http://www.w3.org/2001/XMLSchema" xmlns:p="http://schemas.microsoft.com/office/2006/metadata/properties" xmlns:ns2="b81692eb-7497-406f-8a3d-afbee1f436c7" xmlns:ns3="431edc3b-8596-4be0-a1c4-47a39c69de39" xmlns:ns4="http://schemas.microsoft.com/sharepoint/v3/fields" targetNamespace="http://schemas.microsoft.com/office/2006/metadata/properties" ma:root="true" ma:fieldsID="37c70f15c1d3e79117e1857b7513b50f" ns2:_="" ns3:_="" ns4:_="">
    <xsd:import namespace="b81692eb-7497-406f-8a3d-afbee1f436c7"/>
    <xsd:import namespace="431edc3b-8596-4be0-a1c4-47a39c69de39"/>
    <xsd:import namespace="http://schemas.microsoft.com/sharepoint/v3/fields"/>
    <xsd:element name="properties">
      <xsd:complexType>
        <xsd:sequence>
          <xsd:element name="documentManagement">
            <xsd:complexType>
              <xsd:all>
                <xsd:element ref="ns2:ProjectStatus" minOccurs="0"/>
                <xsd:element ref="ns2:Portfolio"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MediaServiceOCR" minOccurs="0"/>
                <xsd:element ref="ns2:MediaServiceLocation" minOccurs="0"/>
                <xsd:element ref="ns4:_Version" minOccurs="0"/>
                <xsd:element ref="ns4:_Revision" minOccurs="0"/>
                <xsd:element ref="ns2:Sco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92eb-7497-406f-8a3d-afbee1f436c7" elementFormDefault="qualified">
    <xsd:import namespace="http://schemas.microsoft.com/office/2006/documentManagement/types"/>
    <xsd:import namespace="http://schemas.microsoft.com/office/infopath/2007/PartnerControls"/>
    <xsd:element name="ProjectStatus" ma:index="8" nillable="true" ma:displayName="Project Status" ma:description="Please define the project status at project folder level only." ma:format="Dropdown" ma:internalName="ProjectStatus">
      <xsd:simpleType>
        <xsd:restriction base="dms:Choice">
          <xsd:enumeration value="Proposal"/>
          <xsd:enumeration value="Open_Active"/>
          <xsd:enumeration value="Hold"/>
          <xsd:enumeration value="Stopped"/>
          <xsd:enumeration value="Closed_Archive"/>
        </xsd:restriction>
      </xsd:simpleType>
    </xsd:element>
    <xsd:element name="Portfolio" ma:index="9" nillable="true" ma:displayName="Service" ma:description="Confirm which Service or Expertise this information relates to" ma:format="Dropdown" ma:internalName="Portfolio">
      <xsd:complexType>
        <xsd:complexContent>
          <xsd:extension base="dms:MultiChoice">
            <xsd:sequence>
              <xsd:element name="Value" maxOccurs="unbounded" minOccurs="0" nillable="true">
                <xsd:simpleType>
                  <xsd:restriction base="dms:Choice">
                    <xsd:enumeration value="XX"/>
                    <xsd:enumeration value="OP"/>
                    <xsd:enumeration value="DD"/>
                    <xsd:enumeration value="DE"/>
                    <xsd:enumeration value="EC"/>
                    <xsd:enumeration value="ES"/>
                    <xsd:enumeration value="TD"/>
                    <xsd:enumeration value="MC"/>
                    <xsd:enumeration value="PS"/>
                    <xsd:enumeration value="SR"/>
                    <xsd:enumeration value="SA"/>
                    <xsd:enumeration value="SI"/>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677fab-d819-42c4-98c7-de5d8bc4309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Scope" ma:index="28" nillable="true" ma:displayName="Scope" ma:format="Dropdown" ma:internalName="Scope">
      <xsd:complexType>
        <xsd:complexContent>
          <xsd:extension base="dms:MultiChoice">
            <xsd:sequence>
              <xsd:element name="Value" maxOccurs="unbounded" minOccurs="0" nillable="true">
                <xsd:simpleType>
                  <xsd:restriction base="dms:Choice">
                    <xsd:enumeration value="CDE Audit"/>
                    <xsd:enumeration value="COBie Audit"/>
                    <xsd:enumeration value="IFC Audit"/>
                    <xsd:enumeration value="Native Model Audit"/>
                    <xsd:enumeration value="Parameters Audit"/>
                    <xsd:enumeration value="Clash detection"/>
                    <xsd:enumeration value="MIDP audit"/>
                  </xsd:restriction>
                </xsd:simple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edc3b-8596-4be0-a1c4-47a39c69de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33c3a2-9b4b-466f-a02a-72a04a197467}" ma:internalName="TaxCatchAll" ma:showField="CatchAllData" ma:web="431edc3b-8596-4be0-a1c4-47a39c69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6" nillable="true" ma:displayName="Version" ma:internalName="_Version">
      <xsd:simpleType>
        <xsd:restriction base="dms:Text"/>
      </xsd:simpleType>
    </xsd:element>
    <xsd:element name="_Revision" ma:index="27" nillable="true" ma:displayName="Revision" ma:internalName="_Re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6DBE-1C2C-42D6-ABEA-C0F21C79A80F}">
  <ds:schemaRefs>
    <ds:schemaRef ds:uri="http://schemas.microsoft.com/sharepoint/v3/contenttype/forms"/>
  </ds:schemaRefs>
</ds:datastoreItem>
</file>

<file path=customXml/itemProps2.xml><?xml version="1.0" encoding="utf-8"?>
<ds:datastoreItem xmlns:ds="http://schemas.openxmlformats.org/officeDocument/2006/customXml" ds:itemID="{A2B94613-05F3-427C-86E8-4485DBAE61CD}">
  <ds:schemaRefs>
    <ds:schemaRef ds:uri="http://schemas.microsoft.com/office/2006/metadata/properties"/>
    <ds:schemaRef ds:uri="http://schemas.microsoft.com/office/infopath/2007/PartnerControls"/>
    <ds:schemaRef ds:uri="b81692eb-7497-406f-8a3d-afbee1f436c7"/>
    <ds:schemaRef ds:uri="http://schemas.microsoft.com/sharepoint/v3/fields"/>
    <ds:schemaRef ds:uri="431edc3b-8596-4be0-a1c4-47a39c69de39"/>
  </ds:schemaRefs>
</ds:datastoreItem>
</file>

<file path=customXml/itemProps3.xml><?xml version="1.0" encoding="utf-8"?>
<ds:datastoreItem xmlns:ds="http://schemas.openxmlformats.org/officeDocument/2006/customXml" ds:itemID="{A1E02748-1AEF-49A4-AF7A-C04968729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92eb-7497-406f-8a3d-afbee1f436c7"/>
    <ds:schemaRef ds:uri="431edc3b-8596-4be0-a1c4-47a39c69de3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672AD-254D-4E73-967A-68724AA0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Okana_Short report template</Template>
  <TotalTime>22</TotalTime>
  <Pages>11</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Robinson</dc:creator>
  <cp:keywords/>
  <dc:description/>
  <cp:lastModifiedBy>Jones Chris (RBT) Mid Cheshire Tr</cp:lastModifiedBy>
  <cp:revision>7</cp:revision>
  <cp:lastPrinted>2025-11-21T17:22:00Z</cp:lastPrinted>
  <dcterms:created xsi:type="dcterms:W3CDTF">2025-12-10T11:01:00Z</dcterms:created>
  <dcterms:modified xsi:type="dcterms:W3CDTF">2025-12-11T16:22:00Z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0x010100E48B65E0C1A6B843BADC03FD3552F2F3</vt:lpwstr>
  </property>
  <property fmtid="{D5CDD505-2E9C-101B-9397-08002B2CF9AE}" pid="3" name="MediaServiceImageTags">
    <vt:lpwstr/>
  </property>
  <property fmtid="{D5CDD505-2E9C-101B-9397-08002B2CF9AE}" pid="4" name="docLang">
    <vt:lpwstr>en</vt:lpwstr>
  </property>
</Properties>
</file>