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3058A84C" w:rsidR="002635BD" w:rsidRPr="00BD47D2" w:rsidRDefault="002635BD" w:rsidP="00B46227"/>
    <w:p w14:paraId="117A4181" w14:textId="77777777" w:rsidR="00CB764E" w:rsidRPr="00087FD7" w:rsidRDefault="00CB764E" w:rsidP="00CB764E"/>
    <w:p w14:paraId="1A2FB108" w14:textId="77777777" w:rsidR="00CB764E" w:rsidRPr="00087FD7" w:rsidRDefault="00CB764E" w:rsidP="00CB764E"/>
    <w:p w14:paraId="32A7381B" w14:textId="77777777" w:rsidR="00CB764E" w:rsidRPr="00087FD7" w:rsidRDefault="00CB764E" w:rsidP="00CB764E"/>
    <w:p w14:paraId="54202020" w14:textId="77777777" w:rsidR="00CB764E" w:rsidRPr="00087FD7" w:rsidRDefault="00CB764E" w:rsidP="00CB764E"/>
    <w:p w14:paraId="6F7D4DEE" w14:textId="77777777" w:rsidR="00CB764E" w:rsidRPr="00087FD7" w:rsidRDefault="00CB764E" w:rsidP="00CB764E"/>
    <w:p w14:paraId="3523894A" w14:textId="77777777" w:rsidR="00CB764E" w:rsidRPr="00087FD7" w:rsidRDefault="00CB764E" w:rsidP="00CB764E"/>
    <w:p w14:paraId="2BABD5B6" w14:textId="77777777" w:rsidR="00CB764E" w:rsidRDefault="00CB764E" w:rsidP="00CB764E">
      <w:pPr>
        <w:jc w:val="center"/>
      </w:pPr>
    </w:p>
    <w:p w14:paraId="7A32606F" w14:textId="77777777" w:rsidR="00CB764E" w:rsidRPr="00E56603" w:rsidRDefault="00CB764E" w:rsidP="00CB764E">
      <w:pPr>
        <w:rPr>
          <w:rFonts w:cs="Arial"/>
          <w:color w:val="233780"/>
          <w:kern w:val="0"/>
          <w:sz w:val="40"/>
          <w:szCs w:val="40"/>
        </w:rPr>
      </w:pPr>
    </w:p>
    <w:p w14:paraId="79AA80CD" w14:textId="77777777" w:rsidR="00CB764E" w:rsidRDefault="00CB764E" w:rsidP="00CB764E">
      <w:pPr>
        <w:rPr>
          <w:rFonts w:cs="Arial"/>
          <w:color w:val="233780"/>
          <w:kern w:val="0"/>
          <w:sz w:val="40"/>
          <w:szCs w:val="40"/>
          <w:lang w:val="en-US"/>
        </w:rPr>
      </w:pPr>
    </w:p>
    <w:p w14:paraId="1D1C29B1" w14:textId="36F4C8CE" w:rsidR="00CB764E" w:rsidRPr="00FF4DC2" w:rsidRDefault="00CB764E" w:rsidP="00183968">
      <w:pPr>
        <w:jc w:val="center"/>
        <w:rPr>
          <w:rFonts w:cs="Arial"/>
          <w:b/>
          <w:bCs/>
          <w:color w:val="233780"/>
          <w:kern w:val="0"/>
          <w:sz w:val="40"/>
          <w:szCs w:val="40"/>
          <w:lang w:val="en-US"/>
        </w:rPr>
      </w:pPr>
      <w:r w:rsidRPr="00FF4DC2">
        <w:rPr>
          <w:rFonts w:cs="Arial"/>
          <w:b/>
          <w:bCs/>
          <w:color w:val="233780"/>
          <w:kern w:val="0"/>
          <w:sz w:val="40"/>
          <w:szCs w:val="40"/>
          <w:lang w:val="en-US"/>
        </w:rPr>
        <w:t xml:space="preserve">Invitation to Tender </w:t>
      </w:r>
      <w:r w:rsidR="000212CD" w:rsidRPr="00FF4DC2">
        <w:rPr>
          <w:rFonts w:cs="Arial"/>
          <w:b/>
          <w:bCs/>
          <w:color w:val="233780"/>
          <w:kern w:val="0"/>
          <w:sz w:val="40"/>
          <w:szCs w:val="40"/>
          <w:lang w:val="en-US"/>
        </w:rPr>
        <w:t>–</w:t>
      </w:r>
      <w:r w:rsidRPr="00FF4DC2">
        <w:rPr>
          <w:rFonts w:cs="Arial"/>
          <w:b/>
          <w:bCs/>
          <w:color w:val="233780"/>
          <w:kern w:val="0"/>
          <w:sz w:val="40"/>
          <w:szCs w:val="40"/>
          <w:lang w:val="en-US"/>
        </w:rPr>
        <w:t xml:space="preserve"> </w:t>
      </w:r>
      <w:r w:rsidR="000212CD" w:rsidRPr="00FF4DC2">
        <w:rPr>
          <w:rFonts w:cs="Arial"/>
          <w:b/>
          <w:bCs/>
          <w:color w:val="233780"/>
          <w:kern w:val="0"/>
          <w:sz w:val="40"/>
          <w:szCs w:val="40"/>
          <w:lang w:val="en-US"/>
        </w:rPr>
        <w:t>Statement of Requirements</w:t>
      </w:r>
    </w:p>
    <w:p w14:paraId="2E59B86B" w14:textId="77777777" w:rsidR="00FF4DC2" w:rsidRDefault="00FF4DC2" w:rsidP="00183968">
      <w:pPr>
        <w:jc w:val="center"/>
      </w:pPr>
    </w:p>
    <w:p w14:paraId="6F24FF4A" w14:textId="056CBD76" w:rsidR="00FF4DC2" w:rsidRPr="00173CE4" w:rsidRDefault="00136130" w:rsidP="00183968">
      <w:pPr>
        <w:pStyle w:val="Title"/>
        <w:jc w:val="center"/>
        <w:rPr>
          <w:color w:val="002060"/>
          <w:sz w:val="46"/>
          <w:szCs w:val="46"/>
        </w:rPr>
      </w:pPr>
      <w:r>
        <w:rPr>
          <w:color w:val="002060"/>
          <w:sz w:val="46"/>
          <w:szCs w:val="46"/>
        </w:rPr>
        <w:t>Women’s Support Services for York and North Yorkshire</w:t>
      </w:r>
    </w:p>
    <w:p w14:paraId="79629F68" w14:textId="6187A6D9" w:rsidR="00FF4DC2" w:rsidRPr="00173CE4" w:rsidRDefault="00136130" w:rsidP="00183968">
      <w:pPr>
        <w:pStyle w:val="Title"/>
        <w:jc w:val="center"/>
        <w:rPr>
          <w:color w:val="002060"/>
          <w:sz w:val="46"/>
          <w:szCs w:val="46"/>
        </w:rPr>
      </w:pPr>
      <w:r>
        <w:rPr>
          <w:color w:val="002060"/>
          <w:sz w:val="46"/>
          <w:szCs w:val="46"/>
        </w:rPr>
        <w:t>2425-0068</w:t>
      </w:r>
    </w:p>
    <w:p w14:paraId="1CCEEE7B" w14:textId="77777777" w:rsidR="002C39A1" w:rsidRPr="00BD47D2" w:rsidRDefault="002C39A1" w:rsidP="00B46227"/>
    <w:p w14:paraId="0D5D6EE3" w14:textId="77777777" w:rsidR="002C39A1" w:rsidRPr="00BD47D2" w:rsidRDefault="002C39A1" w:rsidP="00B46227"/>
    <w:p w14:paraId="72FEFE13" w14:textId="77777777" w:rsidR="002C39A1" w:rsidRPr="00BD47D2" w:rsidRDefault="002C39A1" w:rsidP="00B46227"/>
    <w:p w14:paraId="5895F70A" w14:textId="77777777" w:rsidR="002C39A1" w:rsidRPr="00BD47D2" w:rsidRDefault="002C39A1" w:rsidP="00B46227"/>
    <w:p w14:paraId="1F7CCDEF" w14:textId="77777777" w:rsidR="002C39A1" w:rsidRPr="00BD47D2" w:rsidRDefault="002C39A1" w:rsidP="00B46227"/>
    <w:p w14:paraId="7E41A92B" w14:textId="77777777" w:rsidR="002C39A1" w:rsidRPr="00BD47D2" w:rsidRDefault="002C39A1" w:rsidP="00B46227"/>
    <w:p w14:paraId="04E25F29" w14:textId="77777777" w:rsidR="002C39A1" w:rsidRPr="00BD47D2" w:rsidRDefault="002C39A1" w:rsidP="00B46227"/>
    <w:p w14:paraId="1516AF59" w14:textId="77777777" w:rsidR="002C39A1" w:rsidRPr="00BD47D2" w:rsidRDefault="002C39A1" w:rsidP="00B46227"/>
    <w:p w14:paraId="7E2880D0" w14:textId="78F7885B" w:rsidR="002C39A1" w:rsidRDefault="002C39A1" w:rsidP="00B46227"/>
    <w:p w14:paraId="5EDD58BB" w14:textId="77777777" w:rsidR="00146057" w:rsidRDefault="00146057" w:rsidP="00B46227"/>
    <w:p w14:paraId="1A6EFB1E" w14:textId="77777777" w:rsidR="00146057" w:rsidRDefault="00146057" w:rsidP="00B46227"/>
    <w:p w14:paraId="76185070" w14:textId="77777777" w:rsidR="00146057" w:rsidRDefault="00146057" w:rsidP="00B46227"/>
    <w:p w14:paraId="39E65675" w14:textId="77777777" w:rsidR="00146057" w:rsidRDefault="00146057" w:rsidP="00B46227"/>
    <w:p w14:paraId="26D5ECD2" w14:textId="77777777" w:rsidR="00146057" w:rsidRDefault="00146057" w:rsidP="00B46227"/>
    <w:p w14:paraId="412424FC" w14:textId="77777777" w:rsidR="00146057" w:rsidRPr="00BD47D2" w:rsidRDefault="00146057" w:rsidP="00B46227"/>
    <w:p w14:paraId="644F523E" w14:textId="77777777" w:rsidR="00E840A3" w:rsidRPr="00E840A3" w:rsidRDefault="00E840A3" w:rsidP="00E840A3">
      <w:pPr>
        <w:rPr>
          <w:bCs/>
          <w:color w:val="233780"/>
          <w:sz w:val="46"/>
          <w:szCs w:val="46"/>
          <w:lang w:val="en-US"/>
        </w:rPr>
      </w:pPr>
    </w:p>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DA3D33F" w14:textId="7C945446" w:rsidR="00155E8F" w:rsidRPr="00377F38" w:rsidRDefault="00155E8F">
          <w:pPr>
            <w:pStyle w:val="TOCHeading"/>
            <w:rPr>
              <w:color w:val="002060"/>
              <w:lang w:val="en-GB"/>
            </w:rPr>
          </w:pPr>
          <w:r w:rsidRPr="00377F38">
            <w:rPr>
              <w:color w:val="002060"/>
              <w:lang w:val="en-GB"/>
            </w:rPr>
            <w:t>Contents</w:t>
          </w:r>
        </w:p>
        <w:p w14:paraId="0AE91701" w14:textId="1F61781A" w:rsidR="0072346D" w:rsidRDefault="00E437DE">
          <w:pPr>
            <w:pStyle w:val="TOC1"/>
            <w:tabs>
              <w:tab w:val="left" w:pos="440"/>
              <w:tab w:val="right" w:leader="dot" w:pos="10308"/>
            </w:tabs>
            <w:rPr>
              <w:rFonts w:asciiTheme="minorHAnsi" w:eastAsiaTheme="minorEastAsia" w:hAnsiTheme="minorHAnsi"/>
              <w:noProof/>
              <w:sz w:val="24"/>
              <w:szCs w:val="24"/>
              <w:lang w:eastAsia="en-GB"/>
            </w:rPr>
          </w:pPr>
          <w:r w:rsidRPr="00A941E8">
            <w:rPr>
              <w:sz w:val="24"/>
              <w:szCs w:val="24"/>
            </w:rPr>
            <w:fldChar w:fldCharType="begin"/>
          </w:r>
          <w:r w:rsidRPr="00A941E8">
            <w:rPr>
              <w:sz w:val="24"/>
              <w:szCs w:val="24"/>
            </w:rPr>
            <w:instrText xml:space="preserve"> TOC \o "1-1" \h \z \u </w:instrText>
          </w:r>
          <w:r w:rsidRPr="00A941E8">
            <w:rPr>
              <w:sz w:val="24"/>
              <w:szCs w:val="24"/>
            </w:rPr>
            <w:fldChar w:fldCharType="separate"/>
          </w:r>
          <w:hyperlink w:anchor="_Toc215577704" w:history="1">
            <w:r w:rsidR="0072346D" w:rsidRPr="000579A6">
              <w:rPr>
                <w:rStyle w:val="Hyperlink"/>
                <w:noProof/>
              </w:rPr>
              <w:t>1.</w:t>
            </w:r>
            <w:r w:rsidR="0072346D">
              <w:rPr>
                <w:rFonts w:asciiTheme="minorHAnsi" w:eastAsiaTheme="minorEastAsia" w:hAnsiTheme="minorHAnsi"/>
                <w:noProof/>
                <w:sz w:val="24"/>
                <w:szCs w:val="24"/>
                <w:lang w:eastAsia="en-GB"/>
              </w:rPr>
              <w:tab/>
            </w:r>
            <w:r w:rsidR="0072346D" w:rsidRPr="000579A6">
              <w:rPr>
                <w:rStyle w:val="Hyperlink"/>
                <w:noProof/>
              </w:rPr>
              <w:t>Introduction</w:t>
            </w:r>
            <w:r w:rsidR="0072346D">
              <w:rPr>
                <w:noProof/>
                <w:webHidden/>
              </w:rPr>
              <w:tab/>
            </w:r>
            <w:r w:rsidR="0072346D">
              <w:rPr>
                <w:noProof/>
                <w:webHidden/>
              </w:rPr>
              <w:fldChar w:fldCharType="begin"/>
            </w:r>
            <w:r w:rsidR="0072346D">
              <w:rPr>
                <w:noProof/>
                <w:webHidden/>
              </w:rPr>
              <w:instrText xml:space="preserve"> PAGEREF _Toc215577704 \h </w:instrText>
            </w:r>
            <w:r w:rsidR="0072346D">
              <w:rPr>
                <w:noProof/>
                <w:webHidden/>
              </w:rPr>
            </w:r>
            <w:r w:rsidR="0072346D">
              <w:rPr>
                <w:noProof/>
                <w:webHidden/>
              </w:rPr>
              <w:fldChar w:fldCharType="separate"/>
            </w:r>
            <w:r w:rsidR="0072346D">
              <w:rPr>
                <w:noProof/>
                <w:webHidden/>
              </w:rPr>
              <w:t>3</w:t>
            </w:r>
            <w:r w:rsidR="0072346D">
              <w:rPr>
                <w:noProof/>
                <w:webHidden/>
              </w:rPr>
              <w:fldChar w:fldCharType="end"/>
            </w:r>
          </w:hyperlink>
        </w:p>
        <w:p w14:paraId="2B24319E" w14:textId="0A9B603E" w:rsidR="0072346D" w:rsidRDefault="0072346D">
          <w:pPr>
            <w:pStyle w:val="TOC1"/>
            <w:tabs>
              <w:tab w:val="left" w:pos="440"/>
              <w:tab w:val="right" w:leader="dot" w:pos="10308"/>
            </w:tabs>
            <w:rPr>
              <w:rFonts w:asciiTheme="minorHAnsi" w:eastAsiaTheme="minorEastAsia" w:hAnsiTheme="minorHAnsi"/>
              <w:noProof/>
              <w:sz w:val="24"/>
              <w:szCs w:val="24"/>
              <w:lang w:eastAsia="en-GB"/>
            </w:rPr>
          </w:pPr>
          <w:hyperlink w:anchor="_Toc215577705" w:history="1">
            <w:r w:rsidRPr="000579A6">
              <w:rPr>
                <w:rStyle w:val="Hyperlink"/>
                <w:noProof/>
              </w:rPr>
              <w:t>2.</w:t>
            </w:r>
            <w:r>
              <w:rPr>
                <w:rFonts w:asciiTheme="minorHAnsi" w:eastAsiaTheme="minorEastAsia" w:hAnsiTheme="minorHAnsi"/>
                <w:noProof/>
                <w:sz w:val="24"/>
                <w:szCs w:val="24"/>
                <w:lang w:eastAsia="en-GB"/>
              </w:rPr>
              <w:tab/>
            </w:r>
            <w:r w:rsidRPr="000579A6">
              <w:rPr>
                <w:rStyle w:val="Hyperlink"/>
                <w:noProof/>
              </w:rPr>
              <w:t>North Yorkshire &amp; City of York Overview</w:t>
            </w:r>
            <w:r>
              <w:rPr>
                <w:noProof/>
                <w:webHidden/>
              </w:rPr>
              <w:tab/>
            </w:r>
            <w:r>
              <w:rPr>
                <w:noProof/>
                <w:webHidden/>
              </w:rPr>
              <w:fldChar w:fldCharType="begin"/>
            </w:r>
            <w:r>
              <w:rPr>
                <w:noProof/>
                <w:webHidden/>
              </w:rPr>
              <w:instrText xml:space="preserve"> PAGEREF _Toc215577705 \h </w:instrText>
            </w:r>
            <w:r>
              <w:rPr>
                <w:noProof/>
                <w:webHidden/>
              </w:rPr>
            </w:r>
            <w:r>
              <w:rPr>
                <w:noProof/>
                <w:webHidden/>
              </w:rPr>
              <w:fldChar w:fldCharType="separate"/>
            </w:r>
            <w:r>
              <w:rPr>
                <w:noProof/>
                <w:webHidden/>
              </w:rPr>
              <w:t>5</w:t>
            </w:r>
            <w:r>
              <w:rPr>
                <w:noProof/>
                <w:webHidden/>
              </w:rPr>
              <w:fldChar w:fldCharType="end"/>
            </w:r>
          </w:hyperlink>
        </w:p>
        <w:p w14:paraId="26905357" w14:textId="6031F0F2" w:rsidR="0072346D" w:rsidRDefault="0072346D">
          <w:pPr>
            <w:pStyle w:val="TOC1"/>
            <w:tabs>
              <w:tab w:val="left" w:pos="440"/>
              <w:tab w:val="right" w:leader="dot" w:pos="10308"/>
            </w:tabs>
            <w:rPr>
              <w:rFonts w:asciiTheme="minorHAnsi" w:eastAsiaTheme="minorEastAsia" w:hAnsiTheme="minorHAnsi"/>
              <w:noProof/>
              <w:sz w:val="24"/>
              <w:szCs w:val="24"/>
              <w:lang w:eastAsia="en-GB"/>
            </w:rPr>
          </w:pPr>
          <w:hyperlink w:anchor="_Toc215577706" w:history="1">
            <w:r w:rsidRPr="000579A6">
              <w:rPr>
                <w:rStyle w:val="Hyperlink"/>
                <w:noProof/>
              </w:rPr>
              <w:t>3.</w:t>
            </w:r>
            <w:r>
              <w:rPr>
                <w:rFonts w:asciiTheme="minorHAnsi" w:eastAsiaTheme="minorEastAsia" w:hAnsiTheme="minorHAnsi"/>
                <w:noProof/>
                <w:sz w:val="24"/>
                <w:szCs w:val="24"/>
                <w:lang w:eastAsia="en-GB"/>
              </w:rPr>
              <w:tab/>
            </w:r>
            <w:r w:rsidRPr="000579A6">
              <w:rPr>
                <w:rStyle w:val="Hyperlink"/>
                <w:noProof/>
              </w:rPr>
              <w:t>Background</w:t>
            </w:r>
            <w:r>
              <w:rPr>
                <w:noProof/>
                <w:webHidden/>
              </w:rPr>
              <w:tab/>
            </w:r>
            <w:r>
              <w:rPr>
                <w:noProof/>
                <w:webHidden/>
              </w:rPr>
              <w:fldChar w:fldCharType="begin"/>
            </w:r>
            <w:r>
              <w:rPr>
                <w:noProof/>
                <w:webHidden/>
              </w:rPr>
              <w:instrText xml:space="preserve"> PAGEREF _Toc215577706 \h </w:instrText>
            </w:r>
            <w:r>
              <w:rPr>
                <w:noProof/>
                <w:webHidden/>
              </w:rPr>
            </w:r>
            <w:r>
              <w:rPr>
                <w:noProof/>
                <w:webHidden/>
              </w:rPr>
              <w:fldChar w:fldCharType="separate"/>
            </w:r>
            <w:r>
              <w:rPr>
                <w:noProof/>
                <w:webHidden/>
              </w:rPr>
              <w:t>7</w:t>
            </w:r>
            <w:r>
              <w:rPr>
                <w:noProof/>
                <w:webHidden/>
              </w:rPr>
              <w:fldChar w:fldCharType="end"/>
            </w:r>
          </w:hyperlink>
        </w:p>
        <w:p w14:paraId="09D9FB63" w14:textId="3E04DC25" w:rsidR="0072346D" w:rsidRDefault="0072346D">
          <w:pPr>
            <w:pStyle w:val="TOC1"/>
            <w:tabs>
              <w:tab w:val="left" w:pos="440"/>
              <w:tab w:val="right" w:leader="dot" w:pos="10308"/>
            </w:tabs>
            <w:rPr>
              <w:rFonts w:asciiTheme="minorHAnsi" w:eastAsiaTheme="minorEastAsia" w:hAnsiTheme="minorHAnsi"/>
              <w:noProof/>
              <w:sz w:val="24"/>
              <w:szCs w:val="24"/>
              <w:lang w:eastAsia="en-GB"/>
            </w:rPr>
          </w:pPr>
          <w:hyperlink w:anchor="_Toc215577707" w:history="1">
            <w:r w:rsidRPr="000579A6">
              <w:rPr>
                <w:rStyle w:val="Hyperlink"/>
                <w:noProof/>
              </w:rPr>
              <w:t>4.</w:t>
            </w:r>
            <w:r>
              <w:rPr>
                <w:rFonts w:asciiTheme="minorHAnsi" w:eastAsiaTheme="minorEastAsia" w:hAnsiTheme="minorHAnsi"/>
                <w:noProof/>
                <w:sz w:val="24"/>
                <w:szCs w:val="24"/>
                <w:lang w:eastAsia="en-GB"/>
              </w:rPr>
              <w:tab/>
            </w:r>
            <w:r w:rsidRPr="000579A6">
              <w:rPr>
                <w:rStyle w:val="Hyperlink"/>
                <w:noProof/>
              </w:rPr>
              <w:t>Proposed Service</w:t>
            </w:r>
            <w:r>
              <w:rPr>
                <w:noProof/>
                <w:webHidden/>
              </w:rPr>
              <w:tab/>
            </w:r>
            <w:r>
              <w:rPr>
                <w:noProof/>
                <w:webHidden/>
              </w:rPr>
              <w:fldChar w:fldCharType="begin"/>
            </w:r>
            <w:r>
              <w:rPr>
                <w:noProof/>
                <w:webHidden/>
              </w:rPr>
              <w:instrText xml:space="preserve"> PAGEREF _Toc215577707 \h </w:instrText>
            </w:r>
            <w:r>
              <w:rPr>
                <w:noProof/>
                <w:webHidden/>
              </w:rPr>
            </w:r>
            <w:r>
              <w:rPr>
                <w:noProof/>
                <w:webHidden/>
              </w:rPr>
              <w:fldChar w:fldCharType="separate"/>
            </w:r>
            <w:r>
              <w:rPr>
                <w:noProof/>
                <w:webHidden/>
              </w:rPr>
              <w:t>9</w:t>
            </w:r>
            <w:r>
              <w:rPr>
                <w:noProof/>
                <w:webHidden/>
              </w:rPr>
              <w:fldChar w:fldCharType="end"/>
            </w:r>
          </w:hyperlink>
        </w:p>
        <w:p w14:paraId="0A8DC316" w14:textId="17321224" w:rsidR="0072346D" w:rsidRDefault="0072346D">
          <w:pPr>
            <w:pStyle w:val="TOC1"/>
            <w:tabs>
              <w:tab w:val="left" w:pos="440"/>
              <w:tab w:val="right" w:leader="dot" w:pos="10308"/>
            </w:tabs>
            <w:rPr>
              <w:rFonts w:asciiTheme="minorHAnsi" w:eastAsiaTheme="minorEastAsia" w:hAnsiTheme="minorHAnsi"/>
              <w:noProof/>
              <w:sz w:val="24"/>
              <w:szCs w:val="24"/>
              <w:lang w:eastAsia="en-GB"/>
            </w:rPr>
          </w:pPr>
          <w:hyperlink w:anchor="_Toc215577708" w:history="1">
            <w:r w:rsidRPr="000579A6">
              <w:rPr>
                <w:rStyle w:val="Hyperlink"/>
                <w:noProof/>
              </w:rPr>
              <w:t>5.</w:t>
            </w:r>
            <w:r>
              <w:rPr>
                <w:rFonts w:asciiTheme="minorHAnsi" w:eastAsiaTheme="minorEastAsia" w:hAnsiTheme="minorHAnsi"/>
                <w:noProof/>
                <w:sz w:val="24"/>
                <w:szCs w:val="24"/>
                <w:lang w:eastAsia="en-GB"/>
              </w:rPr>
              <w:tab/>
            </w:r>
            <w:r w:rsidRPr="000579A6">
              <w:rPr>
                <w:rStyle w:val="Hyperlink"/>
                <w:noProof/>
              </w:rPr>
              <w:t>Strategic Context</w:t>
            </w:r>
            <w:r>
              <w:rPr>
                <w:noProof/>
                <w:webHidden/>
              </w:rPr>
              <w:tab/>
            </w:r>
            <w:r>
              <w:rPr>
                <w:noProof/>
                <w:webHidden/>
              </w:rPr>
              <w:fldChar w:fldCharType="begin"/>
            </w:r>
            <w:r>
              <w:rPr>
                <w:noProof/>
                <w:webHidden/>
              </w:rPr>
              <w:instrText xml:space="preserve"> PAGEREF _Toc215577708 \h </w:instrText>
            </w:r>
            <w:r>
              <w:rPr>
                <w:noProof/>
                <w:webHidden/>
              </w:rPr>
            </w:r>
            <w:r>
              <w:rPr>
                <w:noProof/>
                <w:webHidden/>
              </w:rPr>
              <w:fldChar w:fldCharType="separate"/>
            </w:r>
            <w:r>
              <w:rPr>
                <w:noProof/>
                <w:webHidden/>
              </w:rPr>
              <w:t>12</w:t>
            </w:r>
            <w:r>
              <w:rPr>
                <w:noProof/>
                <w:webHidden/>
              </w:rPr>
              <w:fldChar w:fldCharType="end"/>
            </w:r>
          </w:hyperlink>
        </w:p>
        <w:p w14:paraId="7B81C65B" w14:textId="40068368" w:rsidR="0072346D" w:rsidRDefault="0072346D">
          <w:pPr>
            <w:pStyle w:val="TOC1"/>
            <w:tabs>
              <w:tab w:val="left" w:pos="440"/>
              <w:tab w:val="right" w:leader="dot" w:pos="10308"/>
            </w:tabs>
            <w:rPr>
              <w:rFonts w:asciiTheme="minorHAnsi" w:eastAsiaTheme="minorEastAsia" w:hAnsiTheme="minorHAnsi"/>
              <w:noProof/>
              <w:sz w:val="24"/>
              <w:szCs w:val="24"/>
              <w:lang w:eastAsia="en-GB"/>
            </w:rPr>
          </w:pPr>
          <w:hyperlink w:anchor="_Toc215577709" w:history="1">
            <w:r w:rsidRPr="000579A6">
              <w:rPr>
                <w:rStyle w:val="Hyperlink"/>
                <w:noProof/>
              </w:rPr>
              <w:t>6.</w:t>
            </w:r>
            <w:r>
              <w:rPr>
                <w:rFonts w:asciiTheme="minorHAnsi" w:eastAsiaTheme="minorEastAsia" w:hAnsiTheme="minorHAnsi"/>
                <w:noProof/>
                <w:sz w:val="24"/>
                <w:szCs w:val="24"/>
                <w:lang w:eastAsia="en-GB"/>
              </w:rPr>
              <w:tab/>
            </w:r>
            <w:r w:rsidRPr="000579A6">
              <w:rPr>
                <w:rStyle w:val="Hyperlink"/>
                <w:noProof/>
              </w:rPr>
              <w:t>Types of Support Needs</w:t>
            </w:r>
            <w:r>
              <w:rPr>
                <w:noProof/>
                <w:webHidden/>
              </w:rPr>
              <w:tab/>
            </w:r>
            <w:r>
              <w:rPr>
                <w:noProof/>
                <w:webHidden/>
              </w:rPr>
              <w:fldChar w:fldCharType="begin"/>
            </w:r>
            <w:r>
              <w:rPr>
                <w:noProof/>
                <w:webHidden/>
              </w:rPr>
              <w:instrText xml:space="preserve"> PAGEREF _Toc215577709 \h </w:instrText>
            </w:r>
            <w:r>
              <w:rPr>
                <w:noProof/>
                <w:webHidden/>
              </w:rPr>
            </w:r>
            <w:r>
              <w:rPr>
                <w:noProof/>
                <w:webHidden/>
              </w:rPr>
              <w:fldChar w:fldCharType="separate"/>
            </w:r>
            <w:r>
              <w:rPr>
                <w:noProof/>
                <w:webHidden/>
              </w:rPr>
              <w:t>19</w:t>
            </w:r>
            <w:r>
              <w:rPr>
                <w:noProof/>
                <w:webHidden/>
              </w:rPr>
              <w:fldChar w:fldCharType="end"/>
            </w:r>
          </w:hyperlink>
        </w:p>
        <w:p w14:paraId="3CA38712" w14:textId="7F2B4365" w:rsidR="0072346D" w:rsidRDefault="0072346D">
          <w:pPr>
            <w:pStyle w:val="TOC1"/>
            <w:tabs>
              <w:tab w:val="left" w:pos="440"/>
              <w:tab w:val="right" w:leader="dot" w:pos="10308"/>
            </w:tabs>
            <w:rPr>
              <w:rFonts w:asciiTheme="minorHAnsi" w:eastAsiaTheme="minorEastAsia" w:hAnsiTheme="minorHAnsi"/>
              <w:noProof/>
              <w:sz w:val="24"/>
              <w:szCs w:val="24"/>
              <w:lang w:eastAsia="en-GB"/>
            </w:rPr>
          </w:pPr>
          <w:hyperlink w:anchor="_Toc215577710" w:history="1">
            <w:r w:rsidRPr="000579A6">
              <w:rPr>
                <w:rStyle w:val="Hyperlink"/>
                <w:noProof/>
              </w:rPr>
              <w:t>7.</w:t>
            </w:r>
            <w:r>
              <w:rPr>
                <w:rFonts w:asciiTheme="minorHAnsi" w:eastAsiaTheme="minorEastAsia" w:hAnsiTheme="minorHAnsi"/>
                <w:noProof/>
                <w:sz w:val="24"/>
                <w:szCs w:val="24"/>
                <w:lang w:eastAsia="en-GB"/>
              </w:rPr>
              <w:tab/>
            </w:r>
            <w:r w:rsidRPr="000579A6">
              <w:rPr>
                <w:rStyle w:val="Hyperlink"/>
                <w:noProof/>
              </w:rPr>
              <w:t>Joint Working</w:t>
            </w:r>
            <w:r>
              <w:rPr>
                <w:noProof/>
                <w:webHidden/>
              </w:rPr>
              <w:tab/>
            </w:r>
            <w:r>
              <w:rPr>
                <w:noProof/>
                <w:webHidden/>
              </w:rPr>
              <w:fldChar w:fldCharType="begin"/>
            </w:r>
            <w:r>
              <w:rPr>
                <w:noProof/>
                <w:webHidden/>
              </w:rPr>
              <w:instrText xml:space="preserve"> PAGEREF _Toc215577710 \h </w:instrText>
            </w:r>
            <w:r>
              <w:rPr>
                <w:noProof/>
                <w:webHidden/>
              </w:rPr>
            </w:r>
            <w:r>
              <w:rPr>
                <w:noProof/>
                <w:webHidden/>
              </w:rPr>
              <w:fldChar w:fldCharType="separate"/>
            </w:r>
            <w:r>
              <w:rPr>
                <w:noProof/>
                <w:webHidden/>
              </w:rPr>
              <w:t>20</w:t>
            </w:r>
            <w:r>
              <w:rPr>
                <w:noProof/>
                <w:webHidden/>
              </w:rPr>
              <w:fldChar w:fldCharType="end"/>
            </w:r>
          </w:hyperlink>
        </w:p>
        <w:p w14:paraId="68819AAC" w14:textId="65F96DEC" w:rsidR="0072346D" w:rsidRDefault="0072346D">
          <w:pPr>
            <w:pStyle w:val="TOC1"/>
            <w:tabs>
              <w:tab w:val="left" w:pos="440"/>
              <w:tab w:val="right" w:leader="dot" w:pos="10308"/>
            </w:tabs>
            <w:rPr>
              <w:rFonts w:asciiTheme="minorHAnsi" w:eastAsiaTheme="minorEastAsia" w:hAnsiTheme="minorHAnsi"/>
              <w:noProof/>
              <w:sz w:val="24"/>
              <w:szCs w:val="24"/>
              <w:lang w:eastAsia="en-GB"/>
            </w:rPr>
          </w:pPr>
          <w:hyperlink w:anchor="_Toc215577711" w:history="1">
            <w:r w:rsidRPr="000579A6">
              <w:rPr>
                <w:rStyle w:val="Hyperlink"/>
                <w:noProof/>
              </w:rPr>
              <w:t>8.</w:t>
            </w:r>
            <w:r>
              <w:rPr>
                <w:rFonts w:asciiTheme="minorHAnsi" w:eastAsiaTheme="minorEastAsia" w:hAnsiTheme="minorHAnsi"/>
                <w:noProof/>
                <w:sz w:val="24"/>
                <w:szCs w:val="24"/>
                <w:lang w:eastAsia="en-GB"/>
              </w:rPr>
              <w:tab/>
            </w:r>
            <w:r w:rsidRPr="000579A6">
              <w:rPr>
                <w:rStyle w:val="Hyperlink"/>
                <w:noProof/>
              </w:rPr>
              <w:t>Scope and Specification</w:t>
            </w:r>
            <w:r>
              <w:rPr>
                <w:noProof/>
                <w:webHidden/>
              </w:rPr>
              <w:tab/>
            </w:r>
            <w:r>
              <w:rPr>
                <w:noProof/>
                <w:webHidden/>
              </w:rPr>
              <w:fldChar w:fldCharType="begin"/>
            </w:r>
            <w:r>
              <w:rPr>
                <w:noProof/>
                <w:webHidden/>
              </w:rPr>
              <w:instrText xml:space="preserve"> PAGEREF _Toc215577711 \h </w:instrText>
            </w:r>
            <w:r>
              <w:rPr>
                <w:noProof/>
                <w:webHidden/>
              </w:rPr>
            </w:r>
            <w:r>
              <w:rPr>
                <w:noProof/>
                <w:webHidden/>
              </w:rPr>
              <w:fldChar w:fldCharType="separate"/>
            </w:r>
            <w:r>
              <w:rPr>
                <w:noProof/>
                <w:webHidden/>
              </w:rPr>
              <w:t>22</w:t>
            </w:r>
            <w:r>
              <w:rPr>
                <w:noProof/>
                <w:webHidden/>
              </w:rPr>
              <w:fldChar w:fldCharType="end"/>
            </w:r>
          </w:hyperlink>
        </w:p>
        <w:p w14:paraId="4F17B038" w14:textId="2F9BAC7F" w:rsidR="0072346D" w:rsidRDefault="0072346D">
          <w:pPr>
            <w:pStyle w:val="TOC1"/>
            <w:tabs>
              <w:tab w:val="left" w:pos="440"/>
              <w:tab w:val="right" w:leader="dot" w:pos="10308"/>
            </w:tabs>
            <w:rPr>
              <w:rFonts w:asciiTheme="minorHAnsi" w:eastAsiaTheme="minorEastAsia" w:hAnsiTheme="minorHAnsi"/>
              <w:noProof/>
              <w:sz w:val="24"/>
              <w:szCs w:val="24"/>
              <w:lang w:eastAsia="en-GB"/>
            </w:rPr>
          </w:pPr>
          <w:hyperlink w:anchor="_Toc215577712" w:history="1">
            <w:r w:rsidRPr="000579A6">
              <w:rPr>
                <w:rStyle w:val="Hyperlink"/>
                <w:noProof/>
              </w:rPr>
              <w:t>9.</w:t>
            </w:r>
            <w:r>
              <w:rPr>
                <w:rFonts w:asciiTheme="minorHAnsi" w:eastAsiaTheme="minorEastAsia" w:hAnsiTheme="minorHAnsi"/>
                <w:noProof/>
                <w:sz w:val="24"/>
                <w:szCs w:val="24"/>
                <w:lang w:eastAsia="en-GB"/>
              </w:rPr>
              <w:tab/>
            </w:r>
            <w:r w:rsidRPr="000579A6">
              <w:rPr>
                <w:rStyle w:val="Hyperlink"/>
                <w:noProof/>
              </w:rPr>
              <w:t>Contract Exit Planning</w:t>
            </w:r>
            <w:r>
              <w:rPr>
                <w:noProof/>
                <w:webHidden/>
              </w:rPr>
              <w:tab/>
            </w:r>
            <w:r>
              <w:rPr>
                <w:noProof/>
                <w:webHidden/>
              </w:rPr>
              <w:fldChar w:fldCharType="begin"/>
            </w:r>
            <w:r>
              <w:rPr>
                <w:noProof/>
                <w:webHidden/>
              </w:rPr>
              <w:instrText xml:space="preserve"> PAGEREF _Toc215577712 \h </w:instrText>
            </w:r>
            <w:r>
              <w:rPr>
                <w:noProof/>
                <w:webHidden/>
              </w:rPr>
            </w:r>
            <w:r>
              <w:rPr>
                <w:noProof/>
                <w:webHidden/>
              </w:rPr>
              <w:fldChar w:fldCharType="separate"/>
            </w:r>
            <w:r>
              <w:rPr>
                <w:noProof/>
                <w:webHidden/>
              </w:rPr>
              <w:t>39</w:t>
            </w:r>
            <w:r>
              <w:rPr>
                <w:noProof/>
                <w:webHidden/>
              </w:rPr>
              <w:fldChar w:fldCharType="end"/>
            </w:r>
          </w:hyperlink>
        </w:p>
        <w:p w14:paraId="5AD03839" w14:textId="50106348" w:rsidR="0072346D" w:rsidRDefault="0072346D">
          <w:pPr>
            <w:pStyle w:val="TOC1"/>
            <w:tabs>
              <w:tab w:val="left" w:pos="720"/>
              <w:tab w:val="right" w:leader="dot" w:pos="10308"/>
            </w:tabs>
            <w:rPr>
              <w:rFonts w:asciiTheme="minorHAnsi" w:eastAsiaTheme="minorEastAsia" w:hAnsiTheme="minorHAnsi"/>
              <w:noProof/>
              <w:sz w:val="24"/>
              <w:szCs w:val="24"/>
              <w:lang w:eastAsia="en-GB"/>
            </w:rPr>
          </w:pPr>
          <w:hyperlink w:anchor="_Toc215577713" w:history="1">
            <w:r w:rsidRPr="000579A6">
              <w:rPr>
                <w:rStyle w:val="Hyperlink"/>
                <w:noProof/>
              </w:rPr>
              <w:t>10.</w:t>
            </w:r>
            <w:r>
              <w:rPr>
                <w:rFonts w:asciiTheme="minorHAnsi" w:eastAsiaTheme="minorEastAsia" w:hAnsiTheme="minorHAnsi"/>
                <w:noProof/>
                <w:sz w:val="24"/>
                <w:szCs w:val="24"/>
                <w:lang w:eastAsia="en-GB"/>
              </w:rPr>
              <w:tab/>
            </w:r>
            <w:r w:rsidRPr="000579A6">
              <w:rPr>
                <w:rStyle w:val="Hyperlink"/>
                <w:noProof/>
              </w:rPr>
              <w:t>Service Components</w:t>
            </w:r>
            <w:r>
              <w:rPr>
                <w:noProof/>
                <w:webHidden/>
              </w:rPr>
              <w:tab/>
            </w:r>
            <w:r>
              <w:rPr>
                <w:noProof/>
                <w:webHidden/>
              </w:rPr>
              <w:fldChar w:fldCharType="begin"/>
            </w:r>
            <w:r>
              <w:rPr>
                <w:noProof/>
                <w:webHidden/>
              </w:rPr>
              <w:instrText xml:space="preserve"> PAGEREF _Toc215577713 \h </w:instrText>
            </w:r>
            <w:r>
              <w:rPr>
                <w:noProof/>
                <w:webHidden/>
              </w:rPr>
            </w:r>
            <w:r>
              <w:rPr>
                <w:noProof/>
                <w:webHidden/>
              </w:rPr>
              <w:fldChar w:fldCharType="separate"/>
            </w:r>
            <w:r>
              <w:rPr>
                <w:noProof/>
                <w:webHidden/>
              </w:rPr>
              <w:t>40</w:t>
            </w:r>
            <w:r>
              <w:rPr>
                <w:noProof/>
                <w:webHidden/>
              </w:rPr>
              <w:fldChar w:fldCharType="end"/>
            </w:r>
          </w:hyperlink>
        </w:p>
        <w:p w14:paraId="0109C16C" w14:textId="49ECDA6C" w:rsidR="0072346D" w:rsidRDefault="0072346D">
          <w:pPr>
            <w:pStyle w:val="TOC1"/>
            <w:tabs>
              <w:tab w:val="left" w:pos="720"/>
              <w:tab w:val="right" w:leader="dot" w:pos="10308"/>
            </w:tabs>
            <w:rPr>
              <w:rFonts w:asciiTheme="minorHAnsi" w:eastAsiaTheme="minorEastAsia" w:hAnsiTheme="minorHAnsi"/>
              <w:noProof/>
              <w:sz w:val="24"/>
              <w:szCs w:val="24"/>
              <w:lang w:eastAsia="en-GB"/>
            </w:rPr>
          </w:pPr>
          <w:hyperlink w:anchor="_Toc215577714" w:history="1">
            <w:r w:rsidRPr="000579A6">
              <w:rPr>
                <w:rStyle w:val="Hyperlink"/>
                <w:noProof/>
              </w:rPr>
              <w:t>11.</w:t>
            </w:r>
            <w:r>
              <w:rPr>
                <w:rFonts w:asciiTheme="minorHAnsi" w:eastAsiaTheme="minorEastAsia" w:hAnsiTheme="minorHAnsi"/>
                <w:noProof/>
                <w:sz w:val="24"/>
                <w:szCs w:val="24"/>
                <w:lang w:eastAsia="en-GB"/>
              </w:rPr>
              <w:tab/>
            </w:r>
            <w:r w:rsidRPr="000579A6">
              <w:rPr>
                <w:rStyle w:val="Hyperlink"/>
                <w:noProof/>
              </w:rPr>
              <w:t>Social Value</w:t>
            </w:r>
            <w:r>
              <w:rPr>
                <w:noProof/>
                <w:webHidden/>
              </w:rPr>
              <w:tab/>
            </w:r>
            <w:r>
              <w:rPr>
                <w:noProof/>
                <w:webHidden/>
              </w:rPr>
              <w:fldChar w:fldCharType="begin"/>
            </w:r>
            <w:r>
              <w:rPr>
                <w:noProof/>
                <w:webHidden/>
              </w:rPr>
              <w:instrText xml:space="preserve"> PAGEREF _Toc215577714 \h </w:instrText>
            </w:r>
            <w:r>
              <w:rPr>
                <w:noProof/>
                <w:webHidden/>
              </w:rPr>
            </w:r>
            <w:r>
              <w:rPr>
                <w:noProof/>
                <w:webHidden/>
              </w:rPr>
              <w:fldChar w:fldCharType="separate"/>
            </w:r>
            <w:r>
              <w:rPr>
                <w:noProof/>
                <w:webHidden/>
              </w:rPr>
              <w:t>49</w:t>
            </w:r>
            <w:r>
              <w:rPr>
                <w:noProof/>
                <w:webHidden/>
              </w:rPr>
              <w:fldChar w:fldCharType="end"/>
            </w:r>
          </w:hyperlink>
        </w:p>
        <w:p w14:paraId="6E4DF01F" w14:textId="5059EAE7" w:rsidR="0072346D" w:rsidRDefault="0072346D">
          <w:pPr>
            <w:pStyle w:val="TOC1"/>
            <w:tabs>
              <w:tab w:val="left" w:pos="720"/>
              <w:tab w:val="right" w:leader="dot" w:pos="10308"/>
            </w:tabs>
            <w:rPr>
              <w:rFonts w:asciiTheme="minorHAnsi" w:eastAsiaTheme="minorEastAsia" w:hAnsiTheme="minorHAnsi"/>
              <w:noProof/>
              <w:sz w:val="24"/>
              <w:szCs w:val="24"/>
              <w:lang w:eastAsia="en-GB"/>
            </w:rPr>
          </w:pPr>
          <w:hyperlink w:anchor="_Toc215577715" w:history="1">
            <w:r w:rsidRPr="000579A6">
              <w:rPr>
                <w:rStyle w:val="Hyperlink"/>
                <w:noProof/>
              </w:rPr>
              <w:t>12.</w:t>
            </w:r>
            <w:r>
              <w:rPr>
                <w:rFonts w:asciiTheme="minorHAnsi" w:eastAsiaTheme="minorEastAsia" w:hAnsiTheme="minorHAnsi"/>
                <w:noProof/>
                <w:sz w:val="24"/>
                <w:szCs w:val="24"/>
                <w:lang w:eastAsia="en-GB"/>
              </w:rPr>
              <w:tab/>
            </w:r>
            <w:r w:rsidRPr="000579A6">
              <w:rPr>
                <w:rStyle w:val="Hyperlink"/>
                <w:noProof/>
              </w:rPr>
              <w:t>Additional Information</w:t>
            </w:r>
            <w:r>
              <w:rPr>
                <w:noProof/>
                <w:webHidden/>
              </w:rPr>
              <w:tab/>
            </w:r>
            <w:r>
              <w:rPr>
                <w:noProof/>
                <w:webHidden/>
              </w:rPr>
              <w:fldChar w:fldCharType="begin"/>
            </w:r>
            <w:r>
              <w:rPr>
                <w:noProof/>
                <w:webHidden/>
              </w:rPr>
              <w:instrText xml:space="preserve"> PAGEREF _Toc215577715 \h </w:instrText>
            </w:r>
            <w:r>
              <w:rPr>
                <w:noProof/>
                <w:webHidden/>
              </w:rPr>
            </w:r>
            <w:r>
              <w:rPr>
                <w:noProof/>
                <w:webHidden/>
              </w:rPr>
              <w:fldChar w:fldCharType="separate"/>
            </w:r>
            <w:r>
              <w:rPr>
                <w:noProof/>
                <w:webHidden/>
              </w:rPr>
              <w:t>50</w:t>
            </w:r>
            <w:r>
              <w:rPr>
                <w:noProof/>
                <w:webHidden/>
              </w:rPr>
              <w:fldChar w:fldCharType="end"/>
            </w:r>
          </w:hyperlink>
        </w:p>
        <w:p w14:paraId="3F01D5B1" w14:textId="17A03FCE" w:rsidR="0072346D" w:rsidRDefault="0072346D">
          <w:pPr>
            <w:pStyle w:val="TOC1"/>
            <w:tabs>
              <w:tab w:val="left" w:pos="720"/>
              <w:tab w:val="right" w:leader="dot" w:pos="10308"/>
            </w:tabs>
            <w:rPr>
              <w:rFonts w:asciiTheme="minorHAnsi" w:eastAsiaTheme="minorEastAsia" w:hAnsiTheme="minorHAnsi"/>
              <w:noProof/>
              <w:sz w:val="24"/>
              <w:szCs w:val="24"/>
              <w:lang w:eastAsia="en-GB"/>
            </w:rPr>
          </w:pPr>
          <w:hyperlink w:anchor="_Toc215577716" w:history="1">
            <w:r w:rsidRPr="000579A6">
              <w:rPr>
                <w:rStyle w:val="Hyperlink"/>
                <w:noProof/>
              </w:rPr>
              <w:t>13.</w:t>
            </w:r>
            <w:r>
              <w:rPr>
                <w:rFonts w:asciiTheme="minorHAnsi" w:eastAsiaTheme="minorEastAsia" w:hAnsiTheme="minorHAnsi"/>
                <w:noProof/>
                <w:sz w:val="24"/>
                <w:szCs w:val="24"/>
                <w:lang w:eastAsia="en-GB"/>
              </w:rPr>
              <w:tab/>
            </w:r>
            <w:r w:rsidRPr="000579A6">
              <w:rPr>
                <w:rStyle w:val="Hyperlink"/>
                <w:noProof/>
              </w:rPr>
              <w:t>Pricing</w:t>
            </w:r>
            <w:r>
              <w:rPr>
                <w:noProof/>
                <w:webHidden/>
              </w:rPr>
              <w:tab/>
            </w:r>
            <w:r>
              <w:rPr>
                <w:noProof/>
                <w:webHidden/>
              </w:rPr>
              <w:fldChar w:fldCharType="begin"/>
            </w:r>
            <w:r>
              <w:rPr>
                <w:noProof/>
                <w:webHidden/>
              </w:rPr>
              <w:instrText xml:space="preserve"> PAGEREF _Toc215577716 \h </w:instrText>
            </w:r>
            <w:r>
              <w:rPr>
                <w:noProof/>
                <w:webHidden/>
              </w:rPr>
            </w:r>
            <w:r>
              <w:rPr>
                <w:noProof/>
                <w:webHidden/>
              </w:rPr>
              <w:fldChar w:fldCharType="separate"/>
            </w:r>
            <w:r>
              <w:rPr>
                <w:noProof/>
                <w:webHidden/>
              </w:rPr>
              <w:t>51</w:t>
            </w:r>
            <w:r>
              <w:rPr>
                <w:noProof/>
                <w:webHidden/>
              </w:rPr>
              <w:fldChar w:fldCharType="end"/>
            </w:r>
          </w:hyperlink>
        </w:p>
        <w:p w14:paraId="446FB30E" w14:textId="4D8B9422" w:rsidR="0072346D" w:rsidRDefault="0072346D">
          <w:pPr>
            <w:pStyle w:val="TOC1"/>
            <w:tabs>
              <w:tab w:val="left" w:pos="720"/>
              <w:tab w:val="right" w:leader="dot" w:pos="10308"/>
            </w:tabs>
            <w:rPr>
              <w:rFonts w:asciiTheme="minorHAnsi" w:eastAsiaTheme="minorEastAsia" w:hAnsiTheme="minorHAnsi"/>
              <w:noProof/>
              <w:sz w:val="24"/>
              <w:szCs w:val="24"/>
              <w:lang w:eastAsia="en-GB"/>
            </w:rPr>
          </w:pPr>
          <w:hyperlink w:anchor="_Toc215577717" w:history="1">
            <w:r w:rsidRPr="000579A6">
              <w:rPr>
                <w:rStyle w:val="Hyperlink"/>
                <w:noProof/>
              </w:rPr>
              <w:t>14.</w:t>
            </w:r>
            <w:r>
              <w:rPr>
                <w:rFonts w:asciiTheme="minorHAnsi" w:eastAsiaTheme="minorEastAsia" w:hAnsiTheme="minorHAnsi"/>
                <w:noProof/>
                <w:sz w:val="24"/>
                <w:szCs w:val="24"/>
                <w:lang w:eastAsia="en-GB"/>
              </w:rPr>
              <w:tab/>
            </w:r>
            <w:r w:rsidRPr="000579A6">
              <w:rPr>
                <w:rStyle w:val="Hyperlink"/>
                <w:noProof/>
              </w:rPr>
              <w:t>Contract Management</w:t>
            </w:r>
            <w:r>
              <w:rPr>
                <w:noProof/>
                <w:webHidden/>
              </w:rPr>
              <w:tab/>
            </w:r>
            <w:r>
              <w:rPr>
                <w:noProof/>
                <w:webHidden/>
              </w:rPr>
              <w:fldChar w:fldCharType="begin"/>
            </w:r>
            <w:r>
              <w:rPr>
                <w:noProof/>
                <w:webHidden/>
              </w:rPr>
              <w:instrText xml:space="preserve"> PAGEREF _Toc215577717 \h </w:instrText>
            </w:r>
            <w:r>
              <w:rPr>
                <w:noProof/>
                <w:webHidden/>
              </w:rPr>
            </w:r>
            <w:r>
              <w:rPr>
                <w:noProof/>
                <w:webHidden/>
              </w:rPr>
              <w:fldChar w:fldCharType="separate"/>
            </w:r>
            <w:r>
              <w:rPr>
                <w:noProof/>
                <w:webHidden/>
              </w:rPr>
              <w:t>52</w:t>
            </w:r>
            <w:r>
              <w:rPr>
                <w:noProof/>
                <w:webHidden/>
              </w:rPr>
              <w:fldChar w:fldCharType="end"/>
            </w:r>
          </w:hyperlink>
        </w:p>
        <w:p w14:paraId="0C34EC11" w14:textId="734F5F44" w:rsidR="0072346D" w:rsidRDefault="0072346D">
          <w:pPr>
            <w:pStyle w:val="TOC1"/>
            <w:tabs>
              <w:tab w:val="right" w:leader="dot" w:pos="10308"/>
            </w:tabs>
            <w:rPr>
              <w:rFonts w:asciiTheme="minorHAnsi" w:eastAsiaTheme="minorEastAsia" w:hAnsiTheme="minorHAnsi"/>
              <w:noProof/>
              <w:sz w:val="24"/>
              <w:szCs w:val="24"/>
              <w:lang w:eastAsia="en-GB"/>
            </w:rPr>
          </w:pPr>
          <w:hyperlink w:anchor="_Toc215577718" w:history="1">
            <w:r w:rsidRPr="000579A6">
              <w:rPr>
                <w:rStyle w:val="Hyperlink"/>
                <w:noProof/>
              </w:rPr>
              <w:t>Annex 1 – Contract Management Information Requirements</w:t>
            </w:r>
            <w:r>
              <w:rPr>
                <w:noProof/>
                <w:webHidden/>
              </w:rPr>
              <w:tab/>
            </w:r>
            <w:r>
              <w:rPr>
                <w:noProof/>
                <w:webHidden/>
              </w:rPr>
              <w:fldChar w:fldCharType="begin"/>
            </w:r>
            <w:r>
              <w:rPr>
                <w:noProof/>
                <w:webHidden/>
              </w:rPr>
              <w:instrText xml:space="preserve"> PAGEREF _Toc215577718 \h </w:instrText>
            </w:r>
            <w:r>
              <w:rPr>
                <w:noProof/>
                <w:webHidden/>
              </w:rPr>
            </w:r>
            <w:r>
              <w:rPr>
                <w:noProof/>
                <w:webHidden/>
              </w:rPr>
              <w:fldChar w:fldCharType="separate"/>
            </w:r>
            <w:r>
              <w:rPr>
                <w:noProof/>
                <w:webHidden/>
              </w:rPr>
              <w:t>55</w:t>
            </w:r>
            <w:r>
              <w:rPr>
                <w:noProof/>
                <w:webHidden/>
              </w:rPr>
              <w:fldChar w:fldCharType="end"/>
            </w:r>
          </w:hyperlink>
        </w:p>
        <w:p w14:paraId="655102B1" w14:textId="65CC2D10" w:rsidR="0072346D" w:rsidRDefault="0072346D">
          <w:pPr>
            <w:pStyle w:val="TOC1"/>
            <w:tabs>
              <w:tab w:val="right" w:leader="dot" w:pos="10308"/>
            </w:tabs>
            <w:rPr>
              <w:rFonts w:asciiTheme="minorHAnsi" w:eastAsiaTheme="minorEastAsia" w:hAnsiTheme="minorHAnsi"/>
              <w:noProof/>
              <w:sz w:val="24"/>
              <w:szCs w:val="24"/>
              <w:lang w:eastAsia="en-GB"/>
            </w:rPr>
          </w:pPr>
          <w:hyperlink w:anchor="_Toc215577719" w:history="1">
            <w:r w:rsidRPr="000579A6">
              <w:rPr>
                <w:rStyle w:val="Hyperlink"/>
                <w:noProof/>
              </w:rPr>
              <w:t>Annex 2 – Key Performance Indicators</w:t>
            </w:r>
            <w:r>
              <w:rPr>
                <w:noProof/>
                <w:webHidden/>
              </w:rPr>
              <w:tab/>
            </w:r>
            <w:r>
              <w:rPr>
                <w:noProof/>
                <w:webHidden/>
              </w:rPr>
              <w:fldChar w:fldCharType="begin"/>
            </w:r>
            <w:r>
              <w:rPr>
                <w:noProof/>
                <w:webHidden/>
              </w:rPr>
              <w:instrText xml:space="preserve"> PAGEREF _Toc215577719 \h </w:instrText>
            </w:r>
            <w:r>
              <w:rPr>
                <w:noProof/>
                <w:webHidden/>
              </w:rPr>
            </w:r>
            <w:r>
              <w:rPr>
                <w:noProof/>
                <w:webHidden/>
              </w:rPr>
              <w:fldChar w:fldCharType="separate"/>
            </w:r>
            <w:r>
              <w:rPr>
                <w:noProof/>
                <w:webHidden/>
              </w:rPr>
              <w:t>56</w:t>
            </w:r>
            <w:r>
              <w:rPr>
                <w:noProof/>
                <w:webHidden/>
              </w:rPr>
              <w:fldChar w:fldCharType="end"/>
            </w:r>
          </w:hyperlink>
        </w:p>
        <w:p w14:paraId="70EBEECD" w14:textId="6FE13B2E" w:rsidR="00155E8F" w:rsidRPr="00BD47D2" w:rsidRDefault="00E437DE">
          <w:r w:rsidRPr="00A941E8">
            <w:rPr>
              <w:sz w:val="24"/>
              <w:szCs w:val="24"/>
            </w:rPr>
            <w:fldChar w:fldCharType="end"/>
          </w:r>
        </w:p>
      </w:sdtContent>
    </w:sdt>
    <w:p w14:paraId="30F4C23D" w14:textId="5A3AD3E5" w:rsidR="00155E8F" w:rsidRPr="00BD47D2" w:rsidRDefault="00155E8F">
      <w:pPr>
        <w:spacing w:before="0" w:line="259" w:lineRule="auto"/>
      </w:pPr>
      <w:r w:rsidRPr="00BD47D2">
        <w:br w:type="page"/>
      </w:r>
    </w:p>
    <w:p w14:paraId="21D5AD96" w14:textId="45C8CB63" w:rsidR="004B1CA0" w:rsidRPr="00377F38" w:rsidRDefault="00742326" w:rsidP="002C6244">
      <w:pPr>
        <w:pStyle w:val="Heading1"/>
        <w:rPr>
          <w:color w:val="002060"/>
        </w:rPr>
      </w:pPr>
      <w:bookmarkStart w:id="0" w:name="_Toc215577704"/>
      <w:r w:rsidRPr="00377F38">
        <w:rPr>
          <w:color w:val="002060"/>
        </w:rPr>
        <w:lastRenderedPageBreak/>
        <w:t>In</w:t>
      </w:r>
      <w:r w:rsidR="001F11AF" w:rsidRPr="00377F38">
        <w:rPr>
          <w:color w:val="002060"/>
        </w:rPr>
        <w:t>troduction</w:t>
      </w:r>
      <w:bookmarkEnd w:id="0"/>
    </w:p>
    <w:p w14:paraId="1D81B1D2" w14:textId="283BABA7" w:rsidR="5A50B29B" w:rsidRPr="00791912" w:rsidRDefault="5A50B29B" w:rsidP="00E53ACC">
      <w:pPr>
        <w:pStyle w:val="Heading2"/>
      </w:pPr>
      <w:r w:rsidRPr="00791912">
        <w:t>This</w:t>
      </w:r>
      <w:r w:rsidR="19C5A56D" w:rsidRPr="00791912">
        <w:t xml:space="preserve"> Invitation to Tender (“ITT”) has been issued by </w:t>
      </w:r>
      <w:r w:rsidR="004C242C" w:rsidRPr="00791912">
        <w:t>York and North Yorkshire Combined Authority (YNYCA) Policing, Fire and Crime (PFC) Directorate</w:t>
      </w:r>
      <w:r w:rsidR="00FF4DC2" w:rsidRPr="00791912">
        <w:t xml:space="preserve"> (hereinafter known as the “Contracting Authority”)</w:t>
      </w:r>
      <w:r w:rsidR="7B91672C" w:rsidRPr="00791912">
        <w:t xml:space="preserve"> </w:t>
      </w:r>
      <w:r w:rsidR="19C5A56D" w:rsidRPr="00791912">
        <w:t xml:space="preserve">who are seeking to award a </w:t>
      </w:r>
      <w:r w:rsidR="042232E7" w:rsidRPr="00791912">
        <w:t>Contract</w:t>
      </w:r>
      <w:r w:rsidR="528EE1BF" w:rsidRPr="00791912">
        <w:t xml:space="preserve"> for</w:t>
      </w:r>
      <w:r w:rsidR="19C5A56D" w:rsidRPr="00791912">
        <w:t xml:space="preserve"> the provision of </w:t>
      </w:r>
      <w:r w:rsidR="004C242C" w:rsidRPr="00791912">
        <w:t>Women’s Support Services for York and North Yorkshire</w:t>
      </w:r>
      <w:r w:rsidR="0001474C">
        <w:t xml:space="preserve"> via a competitive procurement exercise.</w:t>
      </w:r>
      <w:r w:rsidR="19C5A56D" w:rsidRPr="00791912">
        <w:t xml:space="preserve"> </w:t>
      </w:r>
    </w:p>
    <w:p w14:paraId="66BA1BD4" w14:textId="5EEC269A" w:rsidR="0001474C" w:rsidRDefault="0076367A" w:rsidP="00E53ACC">
      <w:pPr>
        <w:pStyle w:val="Heading2"/>
      </w:pPr>
      <w:r w:rsidRPr="00791912">
        <w:t>Th</w:t>
      </w:r>
      <w:r w:rsidR="0001474C">
        <w:t>e Women’s Support Service will provide gender-specific, trauma-informed, holistic support to women only</w:t>
      </w:r>
      <w:r w:rsidR="00084BEA">
        <w:t>,</w:t>
      </w:r>
      <w:r w:rsidR="0001474C">
        <w:t xml:space="preserve"> across the whole of York and North Yorkshire. </w:t>
      </w:r>
    </w:p>
    <w:p w14:paraId="03427A98" w14:textId="77777777" w:rsidR="00084BEA" w:rsidRDefault="0001474C" w:rsidP="00E53ACC">
      <w:pPr>
        <w:pStyle w:val="Heading2"/>
      </w:pPr>
      <w:r>
        <w:t xml:space="preserve">The service will </w:t>
      </w:r>
      <w:r w:rsidR="00C1450A" w:rsidRPr="001732C8">
        <w:t>commence from 3rd May 2026</w:t>
      </w:r>
      <w:r>
        <w:t xml:space="preserve"> and will include as a minimum:</w:t>
      </w:r>
    </w:p>
    <w:p w14:paraId="42E49F3F" w14:textId="77777777" w:rsidR="00084BEA" w:rsidRDefault="00084BEA" w:rsidP="00084BEA">
      <w:pPr>
        <w:pStyle w:val="Heading3"/>
      </w:pPr>
      <w:r>
        <w:t>The management of two Women’s Centres (located in York and Scarborough)</w:t>
      </w:r>
    </w:p>
    <w:p w14:paraId="15B03EA7" w14:textId="77777777" w:rsidR="00084BEA" w:rsidRDefault="00084BEA" w:rsidP="00084BEA">
      <w:pPr>
        <w:pStyle w:val="Heading3"/>
      </w:pPr>
      <w:r>
        <w:t>A women’s criminal justice diversion scheme</w:t>
      </w:r>
    </w:p>
    <w:p w14:paraId="054524BC" w14:textId="77777777" w:rsidR="00084BEA" w:rsidRDefault="00084BEA" w:rsidP="00084BEA">
      <w:pPr>
        <w:pStyle w:val="Heading3"/>
      </w:pPr>
      <w:r>
        <w:t>Targeted outreach support for women in rural and isolated areas of the County</w:t>
      </w:r>
    </w:p>
    <w:p w14:paraId="29086098" w14:textId="687FA301" w:rsidR="00084BEA" w:rsidRDefault="00084BEA" w:rsidP="00084BEA">
      <w:pPr>
        <w:pStyle w:val="Heading3"/>
      </w:pPr>
      <w:r>
        <w:t>T</w:t>
      </w:r>
      <w:r w:rsidR="00D40574" w:rsidRPr="001732C8">
        <w:t>argeted outreach provision for girls and young women aged 10-25 who may be at risk of exploitation, violence or at risk of committing anti-social behaviour or crime</w:t>
      </w:r>
      <w:r w:rsidR="007D77F7">
        <w:t xml:space="preserve"> (year one only)</w:t>
      </w:r>
    </w:p>
    <w:p w14:paraId="568CC7D8" w14:textId="71DB82DB" w:rsidR="00084BEA" w:rsidRDefault="00084BEA" w:rsidP="00084BEA">
      <w:pPr>
        <w:pStyle w:val="Heading3"/>
      </w:pPr>
      <w:r>
        <w:t>The continuation of the Women’s Whole System Approach in York and North Yorkshire</w:t>
      </w:r>
    </w:p>
    <w:p w14:paraId="2E4E9700" w14:textId="170DBC18" w:rsidR="00C37CC1" w:rsidRPr="003A4A08" w:rsidRDefault="00C37CC1" w:rsidP="00E53ACC">
      <w:pPr>
        <w:pStyle w:val="Heading2"/>
      </w:pPr>
      <w:r w:rsidRPr="003A4A08">
        <w:t xml:space="preserve">The </w:t>
      </w:r>
      <w:r w:rsidR="00084BEA">
        <w:t>YNYCA</w:t>
      </w:r>
      <w:r w:rsidRPr="003A4A08">
        <w:t xml:space="preserve"> are committed to procur</w:t>
      </w:r>
      <w:r w:rsidR="00084BEA">
        <w:t>ing</w:t>
      </w:r>
      <w:r w:rsidRPr="003A4A08">
        <w:t xml:space="preserve"> a service to provide </w:t>
      </w:r>
      <w:r w:rsidR="00E92E01">
        <w:t>e</w:t>
      </w:r>
      <w:r w:rsidRPr="003A4A08">
        <w:t>ffective and consistent support to meet the distinct needs of women, provided by professionals who understand the unique barriers women may face.</w:t>
      </w:r>
    </w:p>
    <w:p w14:paraId="3C9FCE72" w14:textId="435CBB2E" w:rsidR="003473DB" w:rsidRPr="003A4A08" w:rsidRDefault="003473DB" w:rsidP="00E53ACC">
      <w:pPr>
        <w:pStyle w:val="Heading2"/>
      </w:pPr>
      <w:r w:rsidRPr="003A4A08">
        <w:t xml:space="preserve">The </w:t>
      </w:r>
      <w:r w:rsidR="00084BEA">
        <w:t>YNCA</w:t>
      </w:r>
      <w:r w:rsidRPr="003A4A08">
        <w:t xml:space="preserve"> require a compassionate, supportive service, where women are made to feel valued, empowered and have a sense of choice, control and agency. </w:t>
      </w:r>
    </w:p>
    <w:p w14:paraId="083EE2FA" w14:textId="77777777" w:rsidR="003F678A" w:rsidRPr="003A4A08" w:rsidRDefault="003F678A" w:rsidP="00E53ACC">
      <w:pPr>
        <w:pStyle w:val="Heading2"/>
      </w:pPr>
      <w:r w:rsidRPr="003A4A08">
        <w:t xml:space="preserve">The service will be open-ended so that women can access support at any point, whether this be at the prevention and early intervention stage or at any point of crisis. </w:t>
      </w:r>
    </w:p>
    <w:p w14:paraId="01E56989" w14:textId="4364C194" w:rsidR="00001133" w:rsidRPr="003A4A08" w:rsidRDefault="00001133" w:rsidP="00E53ACC">
      <w:pPr>
        <w:pStyle w:val="Heading2"/>
      </w:pPr>
      <w:r w:rsidRPr="003A4A08">
        <w:t xml:space="preserve">The provider(s) will be required to be innovative in their approach, and the </w:t>
      </w:r>
      <w:r w:rsidR="00084BEA">
        <w:t>YNYCA</w:t>
      </w:r>
      <w:r w:rsidRPr="003A4A08">
        <w:t xml:space="preserve"> are open to creative bid responses, if the requirements outlined in this service specification are met.  </w:t>
      </w:r>
    </w:p>
    <w:p w14:paraId="6A2BC0DE" w14:textId="1E1350A7" w:rsidR="00A23CE3" w:rsidRPr="003A4A08" w:rsidRDefault="00A23CE3" w:rsidP="00E53ACC">
      <w:pPr>
        <w:pStyle w:val="Heading2"/>
      </w:pPr>
      <w:r w:rsidRPr="003A4A08">
        <w:t xml:space="preserve">The </w:t>
      </w:r>
      <w:r w:rsidR="00911F09">
        <w:t>YNYCA</w:t>
      </w:r>
      <w:r w:rsidRPr="003A4A08">
        <w:t xml:space="preserve"> are seeking one (1) lead Provider; however, sub – contracting or consortia arrangements are encouraged to ensure targeted, specialist provision from relevant trained professionals.</w:t>
      </w:r>
    </w:p>
    <w:p w14:paraId="0F167D83" w14:textId="5CFFBDE9" w:rsidR="00137EAE" w:rsidRPr="003A4A08" w:rsidRDefault="00137EAE" w:rsidP="00E53ACC">
      <w:pPr>
        <w:pStyle w:val="Heading2"/>
      </w:pPr>
      <w:r w:rsidRPr="003A4A08">
        <w:t xml:space="preserve">The intention is to award any resulting Contract for an initial period of </w:t>
      </w:r>
      <w:r w:rsidR="00084BEA">
        <w:t>24</w:t>
      </w:r>
      <w:r w:rsidRPr="003A4A08">
        <w:t xml:space="preserve"> months (</w:t>
      </w:r>
      <w:r w:rsidR="00084BEA">
        <w:t>2</w:t>
      </w:r>
      <w:r w:rsidRPr="003A4A08">
        <w:t xml:space="preserve"> year</w:t>
      </w:r>
      <w:r w:rsidR="00084BEA">
        <w:t>s</w:t>
      </w:r>
      <w:r w:rsidRPr="003A4A08">
        <w:t xml:space="preserve">), commencing on the </w:t>
      </w:r>
      <w:proofErr w:type="gramStart"/>
      <w:r w:rsidRPr="003A4A08">
        <w:t>3rd</w:t>
      </w:r>
      <w:proofErr w:type="gramEnd"/>
      <w:r w:rsidRPr="003A4A08">
        <w:t xml:space="preserve"> May 2026 to the </w:t>
      </w:r>
      <w:proofErr w:type="gramStart"/>
      <w:r w:rsidRPr="003A4A08">
        <w:t>2nd</w:t>
      </w:r>
      <w:proofErr w:type="gramEnd"/>
      <w:r w:rsidRPr="003A4A08">
        <w:t xml:space="preserve"> May 202</w:t>
      </w:r>
      <w:r w:rsidR="00084BEA">
        <w:t>8</w:t>
      </w:r>
      <w:r w:rsidRPr="003A4A08">
        <w:t xml:space="preserve">, with an extension option of two periods of </w:t>
      </w:r>
      <w:r w:rsidR="00DB6E48">
        <w:t>12</w:t>
      </w:r>
      <w:r w:rsidRPr="003A4A08">
        <w:t xml:space="preserve"> months (2 years</w:t>
      </w:r>
      <w:r w:rsidR="00DB6E48">
        <w:t xml:space="preserve"> in total</w:t>
      </w:r>
      <w:r w:rsidRPr="003A4A08">
        <w:t>) from 3rd May 202</w:t>
      </w:r>
      <w:r w:rsidR="00084BEA">
        <w:t>8</w:t>
      </w:r>
      <w:r w:rsidRPr="003A4A08">
        <w:t xml:space="preserve"> to 2nd May 203</w:t>
      </w:r>
      <w:r w:rsidR="00084BEA">
        <w:t>0</w:t>
      </w:r>
      <w:r w:rsidRPr="003A4A08">
        <w:t xml:space="preserve">. </w:t>
      </w:r>
    </w:p>
    <w:p w14:paraId="36510040" w14:textId="7013EFDA" w:rsidR="00084BEA" w:rsidRPr="00084BEA" w:rsidRDefault="00084BEA" w:rsidP="00E53ACC">
      <w:pPr>
        <w:pStyle w:val="Heading2"/>
      </w:pPr>
      <w:r>
        <w:t>The initial contract period is short as the intention is to co-commission a Women’s Support Service with the Probation Service from 2028.</w:t>
      </w:r>
    </w:p>
    <w:p w14:paraId="1ED8A752" w14:textId="64D636D0" w:rsidR="000B2FDB" w:rsidRPr="003A4A08" w:rsidRDefault="00084BEA" w:rsidP="00E53ACC">
      <w:pPr>
        <w:pStyle w:val="Heading2"/>
      </w:pPr>
      <w:r>
        <w:t>T</w:t>
      </w:r>
      <w:r w:rsidR="000B2FDB" w:rsidRPr="003A4A08">
        <w:t>he YNYCA are inviting bids up to the maximum</w:t>
      </w:r>
      <w:r w:rsidR="007D77F7">
        <w:t xml:space="preserve"> annual</w:t>
      </w:r>
      <w:r w:rsidR="000B2FDB" w:rsidRPr="003A4A08">
        <w:t xml:space="preserve"> Contract Value of</w:t>
      </w:r>
      <w:r w:rsidR="007D77F7">
        <w:t xml:space="preserve"> </w:t>
      </w:r>
      <w:r w:rsidR="007D77F7" w:rsidRPr="00830EFF">
        <w:rPr>
          <w:b/>
          <w:bCs/>
        </w:rPr>
        <w:t>£395,834 for year one</w:t>
      </w:r>
      <w:r w:rsidR="007D77F7">
        <w:t xml:space="preserve"> and</w:t>
      </w:r>
      <w:r w:rsidR="000B2FDB" w:rsidRPr="003A4A08">
        <w:t xml:space="preserve"> </w:t>
      </w:r>
      <w:r w:rsidR="000B2FDB" w:rsidRPr="00830EFF">
        <w:rPr>
          <w:b/>
          <w:bCs/>
        </w:rPr>
        <w:t>£</w:t>
      </w:r>
      <w:r w:rsidR="007D77F7" w:rsidRPr="00830EFF">
        <w:rPr>
          <w:b/>
          <w:bCs/>
        </w:rPr>
        <w:t xml:space="preserve">378,000 </w:t>
      </w:r>
      <w:r w:rsidR="000B2FDB" w:rsidRPr="00830EFF">
        <w:rPr>
          <w:b/>
          <w:bCs/>
        </w:rPr>
        <w:t>for</w:t>
      </w:r>
      <w:r w:rsidR="007D77F7" w:rsidRPr="00830EFF">
        <w:rPr>
          <w:b/>
          <w:bCs/>
        </w:rPr>
        <w:t xml:space="preserve"> year two</w:t>
      </w:r>
      <w:r w:rsidR="007D77F7">
        <w:t>. Totaling £773,834 for</w:t>
      </w:r>
      <w:r w:rsidR="000B2FDB" w:rsidRPr="003A4A08">
        <w:t xml:space="preserve"> the initial </w:t>
      </w:r>
      <w:r>
        <w:t>two</w:t>
      </w:r>
      <w:r w:rsidR="000B2FDB" w:rsidRPr="003A4A08">
        <w:t xml:space="preserve"> (</w:t>
      </w:r>
      <w:r>
        <w:t>2</w:t>
      </w:r>
      <w:r w:rsidR="000B2FDB" w:rsidRPr="003A4A08">
        <w:t>) year period. Bids submitted that exceed the maximum Contract Value will be deemed as non-compliant and therefore will not be evaluated.</w:t>
      </w:r>
      <w:r w:rsidR="00765827">
        <w:t xml:space="preserve"> The budget for any extension option taken will be £378,000 per year.</w:t>
      </w:r>
    </w:p>
    <w:p w14:paraId="761AC233" w14:textId="24D8CFF7" w:rsidR="00482312" w:rsidRPr="00084BEA" w:rsidRDefault="6F88A9FE" w:rsidP="00E53ACC">
      <w:pPr>
        <w:pStyle w:val="Heading2"/>
      </w:pPr>
      <w:r w:rsidRPr="00084BEA">
        <w:t xml:space="preserve">The </w:t>
      </w:r>
      <w:r w:rsidR="193F4342" w:rsidRPr="00084BEA">
        <w:t xml:space="preserve">Transfer of Undertakings (Protection of Employment) Regulation 2006 (SI2006/246) (TUPE) may apply in respect of the award of any Contract and that for the purposes of the Regulations the undertaking shall transfer to the Contractor on the commencement of any Contract. </w:t>
      </w:r>
      <w:r w:rsidR="3526BC16" w:rsidRPr="00084BEA">
        <w:t>Bidder</w:t>
      </w:r>
      <w:r w:rsidR="193F4342" w:rsidRPr="00084BEA">
        <w:t xml:space="preserve">s should seek their own legal advice regarding TUPE. </w:t>
      </w:r>
    </w:p>
    <w:p w14:paraId="50AA09E4" w14:textId="1D91B4E5" w:rsidR="005D44EE" w:rsidRPr="003A4A08" w:rsidRDefault="005D44EE" w:rsidP="00E53ACC">
      <w:pPr>
        <w:pStyle w:val="Heading2"/>
      </w:pPr>
      <w:r w:rsidRPr="003A4A08">
        <w:lastRenderedPageBreak/>
        <w:t xml:space="preserve">TUPE information supplied by the incumbent provider is available. To receive this information bidders are required to complete </w:t>
      </w:r>
      <w:r w:rsidRPr="00955EFF">
        <w:t xml:space="preserve">Appendix </w:t>
      </w:r>
      <w:r w:rsidR="00955EFF">
        <w:t>2</w:t>
      </w:r>
      <w:r w:rsidRPr="00955EFF">
        <w:t xml:space="preserve"> – TUPE Confidentiality Acknowledgement Document</w:t>
      </w:r>
      <w:r w:rsidRPr="003A4A08">
        <w:t>. Once the signed confidentiality document has been returned the TUPE documentation will be released.</w:t>
      </w:r>
    </w:p>
    <w:p w14:paraId="30630335" w14:textId="77777777" w:rsidR="0011453F" w:rsidRDefault="0011453F">
      <w:pPr>
        <w:spacing w:before="0" w:line="259" w:lineRule="auto"/>
        <w:rPr>
          <w:rFonts w:asciiTheme="majorHAnsi" w:eastAsiaTheme="majorEastAsia" w:hAnsiTheme="majorHAnsi" w:cstheme="majorBidi"/>
          <w:color w:val="002060"/>
          <w:sz w:val="40"/>
          <w:szCs w:val="40"/>
        </w:rPr>
      </w:pPr>
      <w:r>
        <w:rPr>
          <w:color w:val="002060"/>
        </w:rPr>
        <w:br w:type="page"/>
      </w:r>
    </w:p>
    <w:p w14:paraId="710DAE63" w14:textId="3C309F7B" w:rsidR="00742326" w:rsidRPr="00377F38" w:rsidRDefault="00745281" w:rsidP="00063554">
      <w:pPr>
        <w:pStyle w:val="Heading1"/>
        <w:rPr>
          <w:color w:val="002060"/>
        </w:rPr>
      </w:pPr>
      <w:bookmarkStart w:id="1" w:name="_Toc215577705"/>
      <w:r>
        <w:rPr>
          <w:color w:val="002060"/>
        </w:rPr>
        <w:lastRenderedPageBreak/>
        <w:t>North Yorkshire &amp; City of York Overview</w:t>
      </w:r>
      <w:bookmarkEnd w:id="1"/>
    </w:p>
    <w:p w14:paraId="01B9C8FE" w14:textId="45748C9C" w:rsidR="008213F0" w:rsidRDefault="00E7451E" w:rsidP="00E53ACC">
      <w:pPr>
        <w:pStyle w:val="Heading2"/>
        <w:numPr>
          <w:ilvl w:val="0"/>
          <w:numId w:val="0"/>
        </w:numPr>
        <w:ind w:left="567"/>
      </w:pPr>
      <w:r>
        <w:rPr>
          <w:noProof/>
        </w:rPr>
        <w:drawing>
          <wp:inline distT="0" distB="0" distL="0" distR="0" wp14:anchorId="5977DA96" wp14:editId="48A03741">
            <wp:extent cx="5047615" cy="3286125"/>
            <wp:effectExtent l="0" t="0" r="635" b="9525"/>
            <wp:docPr id="1435934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3286125"/>
                    </a:xfrm>
                    <a:prstGeom prst="rect">
                      <a:avLst/>
                    </a:prstGeom>
                    <a:noFill/>
                  </pic:spPr>
                </pic:pic>
              </a:graphicData>
            </a:graphic>
          </wp:inline>
        </w:drawing>
      </w:r>
    </w:p>
    <w:p w14:paraId="33609E03" w14:textId="77777777" w:rsidR="00C423DA" w:rsidRPr="00830EFF" w:rsidRDefault="00C423DA" w:rsidP="00E53ACC">
      <w:pPr>
        <w:pStyle w:val="Heading2"/>
      </w:pPr>
      <w:r w:rsidRPr="00830EFF">
        <w:t xml:space="preserve">North Yorkshire Police </w:t>
      </w:r>
    </w:p>
    <w:p w14:paraId="1C9A9BEE" w14:textId="77777777" w:rsidR="00C423DA" w:rsidRPr="00F45226" w:rsidRDefault="00C423DA" w:rsidP="00C57D7C">
      <w:pPr>
        <w:pStyle w:val="Heading3"/>
        <w:numPr>
          <w:ilvl w:val="2"/>
          <w:numId w:val="16"/>
        </w:numPr>
      </w:pPr>
      <w:r w:rsidRPr="00F45226">
        <w:t>North Yorkshire is England’s largest, mainly rural, policing county. It covers 8,320km2 and has a population of 818,300 people (</w:t>
      </w:r>
      <w:bookmarkStart w:id="2" w:name="_Hlk137657565"/>
      <w:r w:rsidRPr="00F45226">
        <w:t>ONS Census 2021</w:t>
      </w:r>
      <w:bookmarkEnd w:id="2"/>
      <w:r w:rsidRPr="00F45226">
        <w:t>) spread across our towns and villages. This is an increase of 2.7% over the 10 years from 2011.</w:t>
      </w:r>
    </w:p>
    <w:p w14:paraId="725CADD5" w14:textId="77777777" w:rsidR="00C423DA" w:rsidRPr="00F45226" w:rsidRDefault="00C423DA" w:rsidP="00C423DA">
      <w:pPr>
        <w:pStyle w:val="Heading3"/>
      </w:pPr>
      <w:r w:rsidRPr="00F45226">
        <w:t>North Yorkshire is a popular tourist and cyclist destination which includes the North York Moors, Yorkshire Dales National Parks, coastal hubs such as Scarborough and Whitby and the iconic historical city of York.</w:t>
      </w:r>
    </w:p>
    <w:p w14:paraId="6885C34E" w14:textId="77777777" w:rsidR="00C423DA" w:rsidRPr="00F45226" w:rsidRDefault="00C423DA" w:rsidP="00C423DA">
      <w:pPr>
        <w:pStyle w:val="Heading3"/>
      </w:pPr>
      <w:r w:rsidRPr="00F45226">
        <w:t xml:space="preserve">North Yorkshire attracts a significant number of visitors per year, swelling resident populations and increasing policing and partner agencies demand both in terms of visitors to our beautiful countryside and into our towns and cities vibrant night-time economy. </w:t>
      </w:r>
    </w:p>
    <w:p w14:paraId="6EA27C26" w14:textId="77777777" w:rsidR="00C423DA" w:rsidRPr="00F45226" w:rsidRDefault="00C423DA" w:rsidP="00C423DA">
      <w:pPr>
        <w:pStyle w:val="Heading3"/>
      </w:pPr>
      <w:r w:rsidRPr="00F45226">
        <w:t>The county has a road network of more than 6,000 miles (one of the country’s largest) with arterial routes traversing the county. This infrastructure is a key factor in the demand placed upon the force both from increased traffic on the roads and travelling criminals linked to cross-border crime.</w:t>
      </w:r>
    </w:p>
    <w:p w14:paraId="6A819E76" w14:textId="77777777" w:rsidR="00C423DA" w:rsidRPr="00357420" w:rsidRDefault="00C423DA" w:rsidP="00C423DA">
      <w:pPr>
        <w:pStyle w:val="Heading3"/>
        <w:rPr>
          <w:rFonts w:cs="Arial"/>
        </w:rPr>
      </w:pPr>
      <w:r w:rsidRPr="00F45226">
        <w:t xml:space="preserve">North Yorkshire and the City of York </w:t>
      </w:r>
      <w:proofErr w:type="gramStart"/>
      <w:r w:rsidRPr="00F45226">
        <w:t>has</w:t>
      </w:r>
      <w:proofErr w:type="gramEnd"/>
      <w:r w:rsidRPr="00F45226">
        <w:t xml:space="preserve"> one of the lowest crime rates in the country, with 48,769 recorded crimes in the year ending </w:t>
      </w:r>
      <w:r w:rsidRPr="00357420">
        <w:rPr>
          <w:rFonts w:cs="Arial"/>
        </w:rPr>
        <w:t xml:space="preserve">December 2022, which is 59.4 recorded crimes per 1,000 population compared to the national average of 93 recorded crimes per 1,000 population. </w:t>
      </w:r>
    </w:p>
    <w:p w14:paraId="09A8FB00" w14:textId="77777777" w:rsidR="00C423DA" w:rsidRPr="00357420" w:rsidRDefault="00C423DA" w:rsidP="00C423DA">
      <w:pPr>
        <w:pStyle w:val="Heading3"/>
        <w:rPr>
          <w:rFonts w:cs="Arial"/>
        </w:rPr>
      </w:pPr>
      <w:r w:rsidRPr="00357420">
        <w:rPr>
          <w:rFonts w:cs="Arial"/>
        </w:rPr>
        <w:t xml:space="preserve">North Yorkshire Police </w:t>
      </w:r>
      <w:proofErr w:type="gramStart"/>
      <w:r w:rsidRPr="00357420">
        <w:rPr>
          <w:rFonts w:cs="Arial"/>
        </w:rPr>
        <w:t>uses</w:t>
      </w:r>
      <w:proofErr w:type="gramEnd"/>
      <w:r w:rsidRPr="00357420">
        <w:rPr>
          <w:rFonts w:cs="Arial"/>
        </w:rPr>
        <w:t xml:space="preserve"> the THRIVE (Threat, Harm, Risk, Investigative opportunity, Victim vulnerability and Engagement) model to determine the appropriate policing response.</w:t>
      </w:r>
    </w:p>
    <w:p w14:paraId="32B1D238" w14:textId="77777777" w:rsidR="00C423DA" w:rsidRPr="00357420" w:rsidRDefault="00C423DA" w:rsidP="00C423DA">
      <w:pPr>
        <w:pStyle w:val="Heading3"/>
        <w:rPr>
          <w:rFonts w:cs="Arial"/>
        </w:rPr>
      </w:pPr>
      <w:r w:rsidRPr="00357420">
        <w:rPr>
          <w:rFonts w:cs="Arial"/>
        </w:rPr>
        <w:t xml:space="preserve">More information can be found at the </w:t>
      </w:r>
      <w:hyperlink r:id="rId12" w:history="1">
        <w:r w:rsidRPr="00357420">
          <w:rPr>
            <w:rStyle w:val="Hyperlink"/>
            <w:rFonts w:cs="Arial"/>
          </w:rPr>
          <w:t>HMICFRS website</w:t>
        </w:r>
      </w:hyperlink>
      <w:r w:rsidRPr="00357420">
        <w:rPr>
          <w:rFonts w:cs="Arial"/>
          <w:u w:val="single"/>
        </w:rPr>
        <w:t>.</w:t>
      </w:r>
    </w:p>
    <w:p w14:paraId="54D154E5" w14:textId="77777777" w:rsidR="00C423DA" w:rsidRPr="00C423DA" w:rsidRDefault="00C423DA" w:rsidP="00C423DA"/>
    <w:p w14:paraId="30942262" w14:textId="77777777" w:rsidR="009869C1" w:rsidRPr="009869C1" w:rsidRDefault="009869C1" w:rsidP="00E53ACC">
      <w:pPr>
        <w:pStyle w:val="Heading2"/>
      </w:pPr>
      <w:r w:rsidRPr="009869C1">
        <w:lastRenderedPageBreak/>
        <w:t>North Yorkshire</w:t>
      </w:r>
    </w:p>
    <w:p w14:paraId="3DF7E3E5" w14:textId="77777777" w:rsidR="009869C1" w:rsidRPr="009869C1" w:rsidRDefault="009869C1" w:rsidP="00C57D7C">
      <w:pPr>
        <w:pStyle w:val="Heading3"/>
        <w:numPr>
          <w:ilvl w:val="2"/>
          <w:numId w:val="17"/>
        </w:numPr>
      </w:pPr>
      <w:r w:rsidRPr="009869C1">
        <w:t>North Yorkshire has a population of around 618,054 (ONS mid-2019 population estimate)</w:t>
      </w:r>
      <w:r w:rsidRPr="009869C1">
        <w:rPr>
          <w:vertAlign w:val="superscript"/>
        </w:rPr>
        <w:footnoteReference w:id="2"/>
      </w:r>
      <w:r w:rsidRPr="009869C1">
        <w:t xml:space="preserve">. Harrogate has around 75,070 residents and Scarborough around 52,100. </w:t>
      </w:r>
    </w:p>
    <w:p w14:paraId="69EE8DF3" w14:textId="77777777" w:rsidR="009869C1" w:rsidRPr="009869C1" w:rsidRDefault="009869C1" w:rsidP="00E96648">
      <w:pPr>
        <w:pStyle w:val="Heading3"/>
      </w:pPr>
      <w:r w:rsidRPr="009869C1">
        <w:t xml:space="preserve">North Yorkshire has a diverse and dispersed population. 98% of the County is either sparsely (13%) or super-sparsely (85%) populated with just over a third of the population living in these areas; this results in a population density of just 77 people per square kilometre, compared with an England average of 432. </w:t>
      </w:r>
    </w:p>
    <w:p w14:paraId="7FC8813C" w14:textId="77777777" w:rsidR="009869C1" w:rsidRPr="009869C1" w:rsidRDefault="009869C1" w:rsidP="00E96648">
      <w:pPr>
        <w:pStyle w:val="Heading3"/>
      </w:pPr>
      <w:r w:rsidRPr="009869C1">
        <w:t>North Yorkshire has an ageing population, and many younger people leave the county following secondary and further education. People who are 65 years old and over make up 24.7% of the population. This compares to 18.4% in the population of England as a whole. North Yorkshire has a lower population of young people than the national average -25% under 25 compared to 29.8% nationally.</w:t>
      </w:r>
    </w:p>
    <w:p w14:paraId="533EB8FB" w14:textId="4A12D275" w:rsidR="00E7451E" w:rsidRDefault="009869C1" w:rsidP="00E96648">
      <w:pPr>
        <w:pStyle w:val="Heading3"/>
      </w:pPr>
      <w:r w:rsidRPr="009869C1">
        <w:t>North Yorkshire Council is a unitary local authority, which covers most of the ceremonial County of North Yorkshire. Since 1</w:t>
      </w:r>
      <w:r w:rsidRPr="009869C1">
        <w:rPr>
          <w:vertAlign w:val="superscript"/>
        </w:rPr>
        <w:t>st</w:t>
      </w:r>
      <w:r w:rsidRPr="009869C1">
        <w:t xml:space="preserve"> April 2023, the new North Yorkshire Council assumed responsibility for the areas previously administered by North Yorkshire County Council and the district councils of Craven, Hambleton, Harrogate, </w:t>
      </w:r>
      <w:proofErr w:type="spellStart"/>
      <w:r w:rsidRPr="009869C1">
        <w:t>Richmondshire</w:t>
      </w:r>
      <w:proofErr w:type="spellEnd"/>
      <w:r w:rsidRPr="009869C1">
        <w:t>, Ryedale, Scarborough, and Selby. North Yorkshire Council are responsible for providing a wide range of public services; more information can be found at</w:t>
      </w:r>
      <w:hyperlink r:id="rId13" w:history="1">
        <w:r w:rsidRPr="009869C1">
          <w:rPr>
            <w:rStyle w:val="Hyperlink"/>
            <w:b/>
            <w:bCs/>
          </w:rPr>
          <w:t xml:space="preserve"> northyorks.gov.uk.  </w:t>
        </w:r>
      </w:hyperlink>
    </w:p>
    <w:p w14:paraId="014F7212" w14:textId="77777777" w:rsidR="00261C1B" w:rsidRDefault="00261C1B" w:rsidP="00E7451E"/>
    <w:p w14:paraId="33FFF2DB" w14:textId="77777777" w:rsidR="00A56F44" w:rsidRPr="00A56F44" w:rsidRDefault="00A56F44" w:rsidP="00E53ACC">
      <w:pPr>
        <w:pStyle w:val="Heading2"/>
      </w:pPr>
      <w:r w:rsidRPr="00A56F44">
        <w:t>City of York</w:t>
      </w:r>
    </w:p>
    <w:p w14:paraId="7D147D44" w14:textId="77777777" w:rsidR="00A56F44" w:rsidRPr="00A56F44" w:rsidRDefault="00A56F44" w:rsidP="00C57D7C">
      <w:pPr>
        <w:pStyle w:val="Heading3"/>
        <w:numPr>
          <w:ilvl w:val="2"/>
          <w:numId w:val="18"/>
        </w:numPr>
        <w:rPr>
          <w:lang w:eastAsia="en-GB"/>
        </w:rPr>
      </w:pPr>
      <w:r w:rsidRPr="00A56F44">
        <w:t xml:space="preserve">York has a population of around </w:t>
      </w:r>
      <w:r w:rsidRPr="00A56F44">
        <w:rPr>
          <w:rFonts w:cs="Calibri"/>
          <w:lang w:eastAsia="en-GB"/>
        </w:rPr>
        <w:t>202,821</w:t>
      </w:r>
      <w:r w:rsidRPr="00A56F44">
        <w:t xml:space="preserve"> (ONS 2021 population estimate)</w:t>
      </w:r>
      <w:r w:rsidRPr="00A56F44">
        <w:rPr>
          <w:vertAlign w:val="superscript"/>
        </w:rPr>
        <w:footnoteReference w:id="3"/>
      </w:r>
    </w:p>
    <w:p w14:paraId="1616A55F" w14:textId="77777777" w:rsidR="00A56F44" w:rsidRPr="00A56F44" w:rsidRDefault="00A56F44" w:rsidP="00A56F44">
      <w:pPr>
        <w:pStyle w:val="Heading3"/>
        <w:rPr>
          <w:lang w:eastAsia="en-GB"/>
        </w:rPr>
      </w:pPr>
      <w:r w:rsidRPr="00A56F44">
        <w:t xml:space="preserve">York consists of a mixture of urban areas and rural villages. York has a large student population with two universities within the city and 10% of residents are aged between 20 and 24, compared with around 6% nationally. </w:t>
      </w:r>
      <w:r w:rsidRPr="00A56F44">
        <w:rPr>
          <w:rFonts w:cs="Calibri"/>
          <w:lang w:eastAsia="en-GB"/>
        </w:rPr>
        <w:t>Furthermore, residents aged over 65 account for 19.1% of residents, evidencing the diversity of health needs within the population</w:t>
      </w:r>
      <w:r w:rsidRPr="00A56F44">
        <w:rPr>
          <w:lang w:eastAsia="en-GB"/>
        </w:rPr>
        <w:t>.</w:t>
      </w:r>
    </w:p>
    <w:p w14:paraId="7DD2F72A" w14:textId="77777777" w:rsidR="00A56F44" w:rsidRPr="00A56F44" w:rsidRDefault="00A56F44" w:rsidP="00A56F44">
      <w:pPr>
        <w:pStyle w:val="Heading3"/>
      </w:pPr>
      <w:r w:rsidRPr="00A56F44">
        <w:t xml:space="preserve">CYC is a unitary authority, having the powers of a non-metropolitan county and district council combined. It provides a full range of local government services including Council Tax billing, libraries, social services, processing planning applications, waste collection and disposal, and it is a local education authority; more information can be found at </w:t>
      </w:r>
      <w:hyperlink r:id="rId14" w:history="1">
        <w:r w:rsidRPr="00A56F44">
          <w:rPr>
            <w:b/>
            <w:bCs/>
            <w:color w:val="0000FF"/>
            <w:u w:val="single"/>
          </w:rPr>
          <w:t>City of York Council</w:t>
        </w:r>
      </w:hyperlink>
      <w:r w:rsidRPr="00A56F44">
        <w:rPr>
          <w:b/>
          <w:bCs/>
          <w:color w:val="0000FF"/>
          <w:u w:val="single"/>
        </w:rPr>
        <w:t>.</w:t>
      </w:r>
    </w:p>
    <w:p w14:paraId="190CFCF8" w14:textId="77777777" w:rsidR="00BA3D2C" w:rsidRPr="00BA3D2C" w:rsidRDefault="00BA3D2C" w:rsidP="00E53ACC">
      <w:pPr>
        <w:pStyle w:val="Heading2"/>
      </w:pPr>
      <w:r w:rsidRPr="00BA3D2C">
        <w:t>York and North Yorkshire Combined Authority Office – Policing, Fire and Crime Directorate</w:t>
      </w:r>
    </w:p>
    <w:p w14:paraId="225169CC" w14:textId="77777777" w:rsidR="00BA3D2C" w:rsidRPr="00BA3D2C" w:rsidRDefault="00BA3D2C" w:rsidP="00C57D7C">
      <w:pPr>
        <w:pStyle w:val="Heading3"/>
        <w:numPr>
          <w:ilvl w:val="2"/>
          <w:numId w:val="19"/>
        </w:numPr>
        <w:rPr>
          <w:lang w:eastAsia="en-GB"/>
        </w:rPr>
      </w:pPr>
      <w:r w:rsidRPr="00BA3D2C">
        <w:rPr>
          <w:lang w:eastAsia="en-GB"/>
        </w:rPr>
        <w:t>In February 2024 the York and North Yorkshire Combined Authority was formed, which is led by an elected Mayor. The Combined Authority has responsibility for Policing, Fire, Crime &amp; Commissioning throughout York and North Yorkshire, which the Deputy Mayor for Policing, Fire and Crime has delegated responsibility for. The Deputy Mayor is supported by a team of staff employed by the Policing, Fire and Crime Directorate. Whilst the Mayor and Deputy Mayor are politicians, the PFC is a non-political, impartial organisation.</w:t>
      </w:r>
    </w:p>
    <w:p w14:paraId="28547753" w14:textId="77777777" w:rsidR="00BA3D2C" w:rsidRPr="00BA3D2C" w:rsidRDefault="00BA3D2C" w:rsidP="00C87126">
      <w:pPr>
        <w:pStyle w:val="Heading3"/>
        <w:numPr>
          <w:ilvl w:val="0"/>
          <w:numId w:val="0"/>
        </w:numPr>
        <w:ind w:left="568"/>
        <w:rPr>
          <w:b/>
          <w:lang w:eastAsia="en-GB"/>
        </w:rPr>
      </w:pPr>
      <w:r w:rsidRPr="00BA3D2C">
        <w:rPr>
          <w:lang w:eastAsia="en-GB"/>
        </w:rPr>
        <w:t>The work of the PFC includes commissioning support services for people who have experienced or (in some cases) committed crime and to address the root causes of offending, alongside work with other organisations, such as central and local government, national agencies, local authorities, and the criminal justice system, to deliver positive outcomes for those living in York and North Yorkshire</w:t>
      </w:r>
      <w:r w:rsidRPr="00BA3D2C">
        <w:rPr>
          <w:b/>
          <w:lang w:eastAsia="en-GB"/>
        </w:rPr>
        <w:t>.</w:t>
      </w:r>
    </w:p>
    <w:p w14:paraId="3B4BA1C9" w14:textId="5DA11BDE" w:rsidR="0039316A" w:rsidRPr="005B0EAF" w:rsidRDefault="0039316A" w:rsidP="005B0EAF">
      <w:pPr>
        <w:spacing w:before="0" w:line="259" w:lineRule="auto"/>
      </w:pPr>
    </w:p>
    <w:p w14:paraId="00C0C68C" w14:textId="5E9F8204" w:rsidR="00E90975" w:rsidRDefault="00E90975" w:rsidP="00063554">
      <w:pPr>
        <w:pStyle w:val="Heading1"/>
        <w:rPr>
          <w:color w:val="002060"/>
        </w:rPr>
      </w:pPr>
      <w:bookmarkStart w:id="3" w:name="_Toc215577706"/>
      <w:r>
        <w:rPr>
          <w:color w:val="002060"/>
        </w:rPr>
        <w:lastRenderedPageBreak/>
        <w:t>Background</w:t>
      </w:r>
      <w:bookmarkEnd w:id="3"/>
    </w:p>
    <w:p w14:paraId="08634F7E" w14:textId="77777777" w:rsidR="001C738D" w:rsidRPr="009C5FF7" w:rsidRDefault="001C738D" w:rsidP="00E53ACC">
      <w:pPr>
        <w:pStyle w:val="Heading2"/>
        <w:rPr>
          <w:rFonts w:cs="Arial"/>
          <w:b/>
          <w:bCs/>
        </w:rPr>
      </w:pPr>
      <w:hyperlink r:id="rId15" w:history="1">
        <w:r w:rsidRPr="009C5FF7">
          <w:rPr>
            <w:rFonts w:cs="Arial"/>
            <w:b/>
            <w:bCs/>
            <w:color w:val="0000FF"/>
            <w:u w:val="single"/>
          </w:rPr>
          <w:t xml:space="preserve">Women’s </w:t>
        </w:r>
        <w:proofErr w:type="spellStart"/>
        <w:r w:rsidRPr="009C5FF7">
          <w:rPr>
            <w:rFonts w:cs="Arial"/>
            <w:b/>
            <w:bCs/>
            <w:color w:val="0000FF"/>
            <w:u w:val="single"/>
          </w:rPr>
          <w:t>Centres</w:t>
        </w:r>
        <w:proofErr w:type="spellEnd"/>
      </w:hyperlink>
    </w:p>
    <w:p w14:paraId="64ED415B" w14:textId="77777777" w:rsidR="001C738D" w:rsidRPr="009C5FF7" w:rsidRDefault="001C738D" w:rsidP="00C57D7C">
      <w:pPr>
        <w:pStyle w:val="Heading3"/>
        <w:numPr>
          <w:ilvl w:val="2"/>
          <w:numId w:val="21"/>
        </w:numPr>
        <w:rPr>
          <w:rFonts w:cs="Arial"/>
          <w:szCs w:val="22"/>
        </w:rPr>
      </w:pPr>
      <w:r w:rsidRPr="009C5FF7">
        <w:rPr>
          <w:rFonts w:cs="Arial"/>
          <w:szCs w:val="22"/>
        </w:rPr>
        <w:t>In January 2019, the then Office of the Police, Fire and Crime Commissioner (OPFCC) for North Yorkshire received capital funding from the Ministry of Justice (MoJ) to create a Women’s Centre, with the intended purpose of supporting women who may face barriers to addressing unmet needs that could lead to offending behaviour. The OPFCC leased a property in York, and the capital funding was used to refurbish a property to create a welcoming, women-only space.</w:t>
      </w:r>
    </w:p>
    <w:p w14:paraId="7CF11CD1" w14:textId="77777777" w:rsidR="001C738D" w:rsidRPr="009C5FF7" w:rsidRDefault="001C738D" w:rsidP="007150C7">
      <w:pPr>
        <w:pStyle w:val="Heading3"/>
        <w:rPr>
          <w:rFonts w:cs="Arial"/>
          <w:szCs w:val="22"/>
        </w:rPr>
      </w:pPr>
      <w:r w:rsidRPr="009C5FF7">
        <w:rPr>
          <w:rFonts w:cs="Arial"/>
          <w:szCs w:val="22"/>
        </w:rPr>
        <w:t>The OPFCC invited organisations to tender to provide a support service from the new Women’s Centre for women who:</w:t>
      </w:r>
    </w:p>
    <w:p w14:paraId="48EB792F" w14:textId="77777777" w:rsidR="001C738D" w:rsidRPr="001C738D" w:rsidRDefault="001C738D" w:rsidP="00C57D7C">
      <w:pPr>
        <w:numPr>
          <w:ilvl w:val="0"/>
          <w:numId w:val="20"/>
        </w:numPr>
        <w:spacing w:before="0" w:after="120" w:line="276" w:lineRule="auto"/>
        <w:jc w:val="both"/>
        <w:rPr>
          <w:rFonts w:eastAsia="Times New Roman" w:cs="Arial"/>
          <w:kern w:val="0"/>
          <w14:ligatures w14:val="none"/>
        </w:rPr>
      </w:pPr>
      <w:r w:rsidRPr="001C738D">
        <w:rPr>
          <w:rFonts w:eastAsia="Times New Roman" w:cs="Arial"/>
          <w:kern w:val="0"/>
          <w14:ligatures w14:val="none"/>
        </w:rPr>
        <w:t>Were at risk of entering, or involved with the criminal justice system</w:t>
      </w:r>
    </w:p>
    <w:p w14:paraId="0C94D246" w14:textId="77777777" w:rsidR="001C738D" w:rsidRPr="001C738D" w:rsidRDefault="001C738D" w:rsidP="00C57D7C">
      <w:pPr>
        <w:numPr>
          <w:ilvl w:val="0"/>
          <w:numId w:val="20"/>
        </w:numPr>
        <w:spacing w:before="0" w:after="120" w:line="276" w:lineRule="auto"/>
        <w:jc w:val="both"/>
        <w:rPr>
          <w:rFonts w:eastAsia="Times New Roman" w:cs="Arial"/>
          <w:kern w:val="0"/>
          <w14:ligatures w14:val="none"/>
        </w:rPr>
      </w:pPr>
      <w:r w:rsidRPr="001C738D">
        <w:rPr>
          <w:rFonts w:eastAsia="Times New Roman" w:cs="Arial"/>
          <w:kern w:val="0"/>
          <w14:ligatures w14:val="none"/>
        </w:rPr>
        <w:t>Who had multiple unmet needs</w:t>
      </w:r>
    </w:p>
    <w:p w14:paraId="445384DF" w14:textId="77777777" w:rsidR="001C738D" w:rsidRPr="001C738D" w:rsidRDefault="001C738D" w:rsidP="00C57D7C">
      <w:pPr>
        <w:numPr>
          <w:ilvl w:val="0"/>
          <w:numId w:val="20"/>
        </w:numPr>
        <w:spacing w:before="0" w:after="120" w:line="276" w:lineRule="auto"/>
        <w:jc w:val="both"/>
        <w:rPr>
          <w:rFonts w:eastAsia="Times New Roman" w:cs="Arial"/>
          <w:kern w:val="0"/>
          <w14:ligatures w14:val="none"/>
        </w:rPr>
      </w:pPr>
      <w:r w:rsidRPr="001C738D">
        <w:rPr>
          <w:rFonts w:eastAsia="Times New Roman" w:cs="Arial"/>
          <w:kern w:val="0"/>
          <w14:ligatures w14:val="none"/>
        </w:rPr>
        <w:t>Who may not be accessing other services</w:t>
      </w:r>
    </w:p>
    <w:p w14:paraId="531D36C0" w14:textId="77777777" w:rsidR="001C738D" w:rsidRPr="009C5FF7" w:rsidRDefault="001C738D" w:rsidP="007150C7">
      <w:pPr>
        <w:pStyle w:val="Heading3"/>
        <w:rPr>
          <w:rFonts w:cs="Arial"/>
          <w:szCs w:val="22"/>
        </w:rPr>
      </w:pPr>
      <w:r w:rsidRPr="009C5FF7">
        <w:rPr>
          <w:rFonts w:cs="Arial"/>
          <w:szCs w:val="22"/>
        </w:rPr>
        <w:lastRenderedPageBreak/>
        <w:t xml:space="preserve">The service was designed to provide gender-specific and trauma-informed support to women. The service went live in September 2019 and the current contract with the existing service provider is due to terminate on the </w:t>
      </w:r>
      <w:proofErr w:type="gramStart"/>
      <w:r w:rsidRPr="00C87126">
        <w:rPr>
          <w:rFonts w:cs="Arial"/>
          <w:szCs w:val="22"/>
        </w:rPr>
        <w:t>2</w:t>
      </w:r>
      <w:r w:rsidRPr="00C87126">
        <w:rPr>
          <w:rFonts w:cs="Arial"/>
          <w:szCs w:val="22"/>
          <w:vertAlign w:val="superscript"/>
        </w:rPr>
        <w:t>nd</w:t>
      </w:r>
      <w:proofErr w:type="gramEnd"/>
      <w:r w:rsidRPr="00C87126">
        <w:rPr>
          <w:rFonts w:cs="Arial"/>
          <w:szCs w:val="22"/>
        </w:rPr>
        <w:t xml:space="preserve"> May 2026.</w:t>
      </w:r>
      <w:r w:rsidRPr="009C5FF7">
        <w:rPr>
          <w:rFonts w:cs="Arial"/>
          <w:szCs w:val="22"/>
        </w:rPr>
        <w:t xml:space="preserve"> </w:t>
      </w:r>
      <w:r w:rsidRPr="009C5FF7">
        <w:rPr>
          <w:rFonts w:cs="Arial"/>
          <w:szCs w:val="22"/>
          <w:lang w:eastAsia="en-GB"/>
        </w:rPr>
        <w:t xml:space="preserve"> </w:t>
      </w:r>
    </w:p>
    <w:p w14:paraId="22CA587E" w14:textId="77777777" w:rsidR="001C738D" w:rsidRPr="009C5FF7" w:rsidRDefault="001C738D" w:rsidP="00CA4D57">
      <w:pPr>
        <w:pStyle w:val="Heading3"/>
        <w:rPr>
          <w:rFonts w:cs="Arial"/>
          <w:szCs w:val="22"/>
        </w:rPr>
      </w:pPr>
      <w:r w:rsidRPr="009C5FF7">
        <w:rPr>
          <w:rFonts w:cs="Arial"/>
          <w:szCs w:val="22"/>
          <w:lang w:eastAsia="en-GB"/>
        </w:rPr>
        <w:t xml:space="preserve">The YNYCA provided further funding to establish a Women’s Centre in Scarborough; to replicate the model in York and the centre opened in August 2025. The current contract with the existing service provider is due to terminate on the </w:t>
      </w:r>
      <w:proofErr w:type="gramStart"/>
      <w:r w:rsidRPr="009C5FF7">
        <w:rPr>
          <w:rFonts w:cs="Arial"/>
          <w:szCs w:val="22"/>
          <w:lang w:eastAsia="en-GB"/>
        </w:rPr>
        <w:t>2</w:t>
      </w:r>
      <w:r w:rsidRPr="009C5FF7">
        <w:rPr>
          <w:rFonts w:cs="Arial"/>
          <w:szCs w:val="22"/>
          <w:vertAlign w:val="superscript"/>
          <w:lang w:eastAsia="en-GB"/>
        </w:rPr>
        <w:t>nd</w:t>
      </w:r>
      <w:proofErr w:type="gramEnd"/>
      <w:r w:rsidRPr="009C5FF7">
        <w:rPr>
          <w:rFonts w:cs="Arial"/>
          <w:szCs w:val="22"/>
          <w:lang w:eastAsia="en-GB"/>
        </w:rPr>
        <w:t xml:space="preserve"> May 2026.</w:t>
      </w:r>
    </w:p>
    <w:p w14:paraId="47B18D19" w14:textId="77777777" w:rsidR="001C738D" w:rsidRPr="009C5FF7" w:rsidRDefault="001C738D" w:rsidP="00E53ACC">
      <w:pPr>
        <w:pStyle w:val="Heading2"/>
      </w:pPr>
      <w:r w:rsidRPr="009C5FF7">
        <w:t>Criminal Justice Diversionary Support</w:t>
      </w:r>
    </w:p>
    <w:p w14:paraId="7BB7E057" w14:textId="7AF6CC59" w:rsidR="001C738D" w:rsidRPr="00C87126" w:rsidRDefault="001C738D" w:rsidP="00C87126">
      <w:pPr>
        <w:pStyle w:val="Heading3"/>
        <w:numPr>
          <w:ilvl w:val="2"/>
          <w:numId w:val="22"/>
        </w:numPr>
        <w:rPr>
          <w:rFonts w:cs="Arial"/>
          <w:szCs w:val="22"/>
        </w:rPr>
      </w:pPr>
      <w:r w:rsidRPr="009C5FF7">
        <w:rPr>
          <w:rFonts w:cs="Arial"/>
          <w:szCs w:val="22"/>
        </w:rPr>
        <w:t xml:space="preserve">In May 2021, the then OPFCC commissioned a gender-specific </w:t>
      </w:r>
      <w:hyperlink r:id="rId16" w:anchor="Crossroads_Adult_Diversion_scheme_Waythrough-_285000" w:history="1">
        <w:r w:rsidRPr="009C5FF7">
          <w:rPr>
            <w:rFonts w:cs="Arial"/>
            <w:color w:val="0000FF"/>
            <w:szCs w:val="22"/>
            <w:u w:val="single"/>
          </w:rPr>
          <w:t>criminal justice diversion scheme for women</w:t>
        </w:r>
      </w:hyperlink>
      <w:r w:rsidRPr="009C5FF7">
        <w:rPr>
          <w:rFonts w:cs="Arial"/>
          <w:szCs w:val="22"/>
        </w:rPr>
        <w:t xml:space="preserve">. This diversion scheme supports women who are at risk of entering or are involved with the Criminal Justice System (CJS). The scheme also offers a mandated Out of Court Resolution route for women, which can result in an alternative to prosecution. The current contract with the existing provider is due to terminate on the </w:t>
      </w:r>
      <w:proofErr w:type="gramStart"/>
      <w:r w:rsidRPr="009C5FF7">
        <w:rPr>
          <w:rFonts w:cs="Arial"/>
          <w:szCs w:val="22"/>
        </w:rPr>
        <w:t>2</w:t>
      </w:r>
      <w:r w:rsidRPr="009C5FF7">
        <w:rPr>
          <w:rFonts w:cs="Arial"/>
          <w:szCs w:val="22"/>
          <w:vertAlign w:val="superscript"/>
        </w:rPr>
        <w:t>nd</w:t>
      </w:r>
      <w:proofErr w:type="gramEnd"/>
      <w:r w:rsidRPr="009C5FF7">
        <w:rPr>
          <w:rFonts w:cs="Arial"/>
          <w:szCs w:val="22"/>
        </w:rPr>
        <w:t xml:space="preserve"> May 2026. </w:t>
      </w:r>
    </w:p>
    <w:p w14:paraId="58265D72" w14:textId="77777777" w:rsidR="001C738D" w:rsidRPr="0060404D" w:rsidRDefault="001C738D" w:rsidP="00E53ACC">
      <w:pPr>
        <w:pStyle w:val="Heading2"/>
      </w:pPr>
      <w:r w:rsidRPr="0060404D">
        <w:t>Outreach Support</w:t>
      </w:r>
    </w:p>
    <w:p w14:paraId="52DBBCBF" w14:textId="50C8CD3C" w:rsidR="001C738D" w:rsidRPr="009C5FF7" w:rsidRDefault="001C738D" w:rsidP="00C57D7C">
      <w:pPr>
        <w:pStyle w:val="Heading3"/>
        <w:numPr>
          <w:ilvl w:val="2"/>
          <w:numId w:val="23"/>
        </w:numPr>
        <w:rPr>
          <w:rFonts w:cs="Arial"/>
          <w:b/>
          <w:bCs/>
          <w:szCs w:val="22"/>
        </w:rPr>
      </w:pPr>
      <w:r w:rsidRPr="0060404D">
        <w:rPr>
          <w:rFonts w:cs="Arial"/>
          <w:szCs w:val="22"/>
          <w:lang w:eastAsia="en-GB"/>
        </w:rPr>
        <w:t>Since</w:t>
      </w:r>
      <w:r w:rsidRPr="009C5FF7">
        <w:rPr>
          <w:rFonts w:cs="Arial"/>
          <w:szCs w:val="22"/>
          <w:lang w:eastAsia="en-GB"/>
        </w:rPr>
        <w:t xml:space="preserve"> August 2023, grant funding has been provided to ensure that outreach support is available to women in some rural and isolated areas of the County, this provision has been available in Ryedale since August 2023 and in Craven since February 2025. This grant funding will expire on 31</w:t>
      </w:r>
      <w:r w:rsidRPr="009C5FF7">
        <w:rPr>
          <w:rFonts w:cs="Arial"/>
          <w:szCs w:val="22"/>
          <w:vertAlign w:val="superscript"/>
          <w:lang w:eastAsia="en-GB"/>
        </w:rPr>
        <w:t>st</w:t>
      </w:r>
      <w:r w:rsidRPr="009C5FF7">
        <w:rPr>
          <w:rFonts w:cs="Arial"/>
          <w:szCs w:val="22"/>
          <w:lang w:eastAsia="en-GB"/>
        </w:rPr>
        <w:t xml:space="preserve"> March </w:t>
      </w:r>
      <w:r w:rsidRPr="00765827">
        <w:rPr>
          <w:rFonts w:cs="Arial"/>
          <w:szCs w:val="22"/>
          <w:lang w:eastAsia="en-GB"/>
        </w:rPr>
        <w:t>202</w:t>
      </w:r>
      <w:r w:rsidR="00765827" w:rsidRPr="00765827">
        <w:rPr>
          <w:rFonts w:cs="Arial"/>
          <w:szCs w:val="22"/>
          <w:lang w:eastAsia="en-GB"/>
        </w:rPr>
        <w:t>6</w:t>
      </w:r>
      <w:r w:rsidRPr="009C5FF7">
        <w:rPr>
          <w:rFonts w:cs="Arial"/>
          <w:szCs w:val="22"/>
          <w:lang w:eastAsia="en-GB"/>
        </w:rPr>
        <w:t xml:space="preserve">. </w:t>
      </w:r>
    </w:p>
    <w:p w14:paraId="52E4DF86" w14:textId="77777777" w:rsidR="001C738D" w:rsidRPr="009C5FF7" w:rsidRDefault="001C738D" w:rsidP="00E53ACC">
      <w:pPr>
        <w:pStyle w:val="Heading2"/>
      </w:pPr>
      <w:r w:rsidRPr="009C5FF7">
        <w:t>Women’s Whole System Approach (WSA)</w:t>
      </w:r>
    </w:p>
    <w:p w14:paraId="3160065A" w14:textId="4EC6FCFC" w:rsidR="001C738D" w:rsidRPr="009C5FF7" w:rsidRDefault="001C738D" w:rsidP="00C57D7C">
      <w:pPr>
        <w:pStyle w:val="Heading3"/>
        <w:numPr>
          <w:ilvl w:val="2"/>
          <w:numId w:val="24"/>
        </w:numPr>
        <w:rPr>
          <w:rFonts w:cs="Arial"/>
          <w:szCs w:val="22"/>
        </w:rPr>
      </w:pPr>
      <w:r w:rsidRPr="009C5FF7">
        <w:rPr>
          <w:rFonts w:cs="Arial"/>
          <w:szCs w:val="22"/>
        </w:rPr>
        <w:t>In 2023, the OPFCC provided funding for a Women’s Whole System Approach (WSA) Coordinator role, to improve joint-working and encourage more effective use of resources whilst promoting a gender-specific approach to supporting women. This funding will expire on 31</w:t>
      </w:r>
      <w:r w:rsidRPr="009C5FF7">
        <w:rPr>
          <w:rFonts w:cs="Arial"/>
          <w:szCs w:val="22"/>
          <w:vertAlign w:val="superscript"/>
        </w:rPr>
        <w:t>st</w:t>
      </w:r>
      <w:r w:rsidRPr="009C5FF7">
        <w:rPr>
          <w:rFonts w:cs="Arial"/>
          <w:szCs w:val="22"/>
        </w:rPr>
        <w:t xml:space="preserve"> March </w:t>
      </w:r>
      <w:r w:rsidRPr="00765827">
        <w:rPr>
          <w:rFonts w:cs="Arial"/>
          <w:szCs w:val="22"/>
        </w:rPr>
        <w:t>202</w:t>
      </w:r>
      <w:r w:rsidR="00765827">
        <w:rPr>
          <w:rFonts w:cs="Arial"/>
          <w:szCs w:val="22"/>
        </w:rPr>
        <w:t>6</w:t>
      </w:r>
      <w:r w:rsidRPr="009C5FF7">
        <w:rPr>
          <w:rFonts w:cs="Arial"/>
          <w:szCs w:val="22"/>
        </w:rPr>
        <w:t xml:space="preserve">. </w:t>
      </w:r>
    </w:p>
    <w:p w14:paraId="4BE06909" w14:textId="23C86B22" w:rsidR="001C738D" w:rsidRPr="00830EFF" w:rsidRDefault="001C738D" w:rsidP="00E53ACC">
      <w:pPr>
        <w:pStyle w:val="Heading2"/>
      </w:pPr>
      <w:r w:rsidRPr="00830EFF">
        <w:t xml:space="preserve">Aligned to the principles of the WSA, the </w:t>
      </w:r>
      <w:r w:rsidR="00C87126" w:rsidRPr="00830EFF">
        <w:t>YNYCA</w:t>
      </w:r>
      <w:r w:rsidRPr="00830EFF">
        <w:t xml:space="preserve"> wish to bring these services together, to offer a single, effective and efficient support service for women in York and North Yorkshire. The aim of which is to help break down any barriers that women face when accessing support and to eliminate involvement with multiple services at the same time, which can often be overwhelming, difficult to navigate and often </w:t>
      </w:r>
      <w:proofErr w:type="spellStart"/>
      <w:r w:rsidRPr="00830EFF">
        <w:t>retraumatising</w:t>
      </w:r>
      <w:proofErr w:type="spellEnd"/>
      <w:r w:rsidRPr="00830EFF">
        <w:t xml:space="preserve">. </w:t>
      </w:r>
    </w:p>
    <w:p w14:paraId="7B2A5CE7" w14:textId="285786AC" w:rsidR="001C738D" w:rsidRPr="00830EFF" w:rsidRDefault="001C738D" w:rsidP="00E53ACC">
      <w:pPr>
        <w:pStyle w:val="Heading2"/>
      </w:pPr>
      <w:r w:rsidRPr="00830EFF">
        <w:t xml:space="preserve">The </w:t>
      </w:r>
      <w:r w:rsidR="00C87126" w:rsidRPr="00830EFF">
        <w:t>YNYCA</w:t>
      </w:r>
      <w:r w:rsidRPr="00830EFF">
        <w:t xml:space="preserve"> require a seamless transition between the above current service provisions and the new replacement Service, to </w:t>
      </w:r>
      <w:proofErr w:type="spellStart"/>
      <w:r w:rsidRPr="00830EFF">
        <w:t>minimise</w:t>
      </w:r>
      <w:proofErr w:type="spellEnd"/>
      <w:r w:rsidRPr="00830EFF">
        <w:t xml:space="preserve"> any adverse impact on </w:t>
      </w:r>
      <w:bookmarkStart w:id="4" w:name="_Hlk139298871"/>
      <w:r w:rsidRPr="00830EFF">
        <w:t xml:space="preserve">women </w:t>
      </w:r>
      <w:bookmarkEnd w:id="4"/>
      <w:r w:rsidRPr="00830EFF">
        <w:t>currently in receipt of support.</w:t>
      </w:r>
    </w:p>
    <w:p w14:paraId="7A3B484D" w14:textId="77777777" w:rsidR="00E90975" w:rsidRDefault="00E90975">
      <w:pPr>
        <w:spacing w:before="0" w:line="259" w:lineRule="auto"/>
        <w:rPr>
          <w:rFonts w:asciiTheme="majorHAnsi" w:eastAsiaTheme="majorEastAsia" w:hAnsiTheme="majorHAnsi" w:cstheme="majorBidi"/>
          <w:color w:val="002060"/>
          <w:sz w:val="40"/>
          <w:szCs w:val="40"/>
        </w:rPr>
      </w:pPr>
      <w:r>
        <w:rPr>
          <w:color w:val="002060"/>
        </w:rPr>
        <w:br w:type="page"/>
      </w:r>
    </w:p>
    <w:p w14:paraId="721E5AF9" w14:textId="5FEFF717" w:rsidR="002D0D86" w:rsidRDefault="002D0D86" w:rsidP="00063554">
      <w:pPr>
        <w:pStyle w:val="Heading1"/>
        <w:rPr>
          <w:color w:val="002060"/>
        </w:rPr>
      </w:pPr>
      <w:bookmarkStart w:id="5" w:name="_Toc215577707"/>
      <w:r>
        <w:rPr>
          <w:color w:val="002060"/>
        </w:rPr>
        <w:lastRenderedPageBreak/>
        <w:t>Proposed Service</w:t>
      </w:r>
      <w:bookmarkEnd w:id="5"/>
    </w:p>
    <w:p w14:paraId="5DB039AD" w14:textId="5E7422B2" w:rsidR="009C5FF7" w:rsidRPr="009C5FF7" w:rsidRDefault="00C87126" w:rsidP="00E53ACC">
      <w:pPr>
        <w:pStyle w:val="Heading2"/>
      </w:pPr>
      <w:r>
        <w:t>T</w:t>
      </w:r>
      <w:r w:rsidR="009C5FF7" w:rsidRPr="009C5FF7">
        <w:t>he service will include the following five elements, as a minimum:</w:t>
      </w:r>
    </w:p>
    <w:p w14:paraId="4CA19C21" w14:textId="0B33C021" w:rsidR="009C5FF7" w:rsidRPr="00FF189A" w:rsidRDefault="009C5FF7" w:rsidP="00C57D7C">
      <w:pPr>
        <w:pStyle w:val="Heading3"/>
        <w:numPr>
          <w:ilvl w:val="2"/>
          <w:numId w:val="25"/>
        </w:numPr>
        <w:rPr>
          <w:lang w:val="en-US" w:eastAsia="en-GB"/>
        </w:rPr>
      </w:pPr>
      <w:r w:rsidRPr="00FF189A">
        <w:rPr>
          <w:lang w:val="en-US" w:eastAsia="en-GB"/>
        </w:rPr>
        <w:t xml:space="preserve">Day-to-Day management of two Women’s Centre’s (York &amp; Scarborough) which will be the ‘hubs’ of the service and serve as a ‘one-stop shop’ where holistic support can be delivered (see </w:t>
      </w:r>
      <w:r w:rsidRPr="006157CD">
        <w:rPr>
          <w:lang w:val="en-US" w:eastAsia="en-GB"/>
        </w:rPr>
        <w:t xml:space="preserve">section </w:t>
      </w:r>
      <w:r w:rsidR="006157CD" w:rsidRPr="00955EFF">
        <w:rPr>
          <w:lang w:val="en-US" w:eastAsia="en-GB"/>
        </w:rPr>
        <w:t>10.1</w:t>
      </w:r>
      <w:r w:rsidRPr="006157CD">
        <w:rPr>
          <w:lang w:val="en-US" w:eastAsia="en-GB"/>
        </w:rPr>
        <w:t>)</w:t>
      </w:r>
      <w:r w:rsidRPr="00FF189A">
        <w:rPr>
          <w:lang w:val="en-US" w:eastAsia="en-GB"/>
        </w:rPr>
        <w:t xml:space="preserve"> </w:t>
      </w:r>
    </w:p>
    <w:p w14:paraId="6EEF889C" w14:textId="2C1DA3F0" w:rsidR="009C5FF7" w:rsidRPr="00FF189A" w:rsidRDefault="009C5FF7" w:rsidP="0060404D">
      <w:pPr>
        <w:pStyle w:val="Heading3"/>
        <w:rPr>
          <w:lang w:val="en-US" w:eastAsia="en-GB"/>
        </w:rPr>
      </w:pPr>
      <w:r w:rsidRPr="00FF189A">
        <w:rPr>
          <w:lang w:val="en-US" w:eastAsia="en-GB"/>
        </w:rPr>
        <w:t>Criminogenic Support to divert women away from the CJS and to reduce reoffending rates for women in York and North Yorkshire (</w:t>
      </w:r>
      <w:r w:rsidRPr="006157CD">
        <w:rPr>
          <w:lang w:val="en-US" w:eastAsia="en-GB"/>
        </w:rPr>
        <w:t xml:space="preserve">see section </w:t>
      </w:r>
      <w:r w:rsidR="006157CD" w:rsidRPr="00955EFF">
        <w:rPr>
          <w:lang w:val="en-US" w:eastAsia="en-GB"/>
        </w:rPr>
        <w:t>10.2</w:t>
      </w:r>
      <w:r w:rsidRPr="006157CD">
        <w:rPr>
          <w:lang w:val="en-US" w:eastAsia="en-GB"/>
        </w:rPr>
        <w:t>)</w:t>
      </w:r>
    </w:p>
    <w:p w14:paraId="7658B4B7" w14:textId="5A82102D" w:rsidR="009C5FF7" w:rsidRPr="00FF189A" w:rsidRDefault="009C5FF7" w:rsidP="0060404D">
      <w:pPr>
        <w:pStyle w:val="Heading3"/>
        <w:rPr>
          <w:lang w:val="en-US" w:eastAsia="en-GB"/>
        </w:rPr>
      </w:pPr>
      <w:r w:rsidRPr="00FF189A">
        <w:rPr>
          <w:lang w:val="en-US" w:eastAsia="en-GB"/>
        </w:rPr>
        <w:t>The provision of outreach support for women including in rural and isolated areas of York and North Yorkshire (</w:t>
      </w:r>
      <w:r w:rsidRPr="006157CD">
        <w:rPr>
          <w:lang w:val="en-US" w:eastAsia="en-GB"/>
        </w:rPr>
        <w:t xml:space="preserve">see section </w:t>
      </w:r>
      <w:r w:rsidR="006157CD" w:rsidRPr="00955EFF">
        <w:rPr>
          <w:lang w:val="en-US" w:eastAsia="en-GB"/>
        </w:rPr>
        <w:t>10.18</w:t>
      </w:r>
      <w:r w:rsidR="008D6F2F">
        <w:rPr>
          <w:lang w:val="en-US" w:eastAsia="en-GB"/>
        </w:rPr>
        <w:t>-10.31</w:t>
      </w:r>
      <w:r w:rsidRPr="006157CD">
        <w:rPr>
          <w:lang w:val="en-US" w:eastAsia="en-GB"/>
        </w:rPr>
        <w:t>)</w:t>
      </w:r>
    </w:p>
    <w:p w14:paraId="4419CDFC" w14:textId="09C8C0B3" w:rsidR="009C5FF7" w:rsidRPr="009C5FF7" w:rsidRDefault="009C5FF7" w:rsidP="0060404D">
      <w:pPr>
        <w:pStyle w:val="Heading3"/>
        <w:rPr>
          <w:lang w:val="en-US" w:eastAsia="en-GB"/>
        </w:rPr>
      </w:pPr>
      <w:r w:rsidRPr="00FF189A">
        <w:rPr>
          <w:lang w:val="en-US" w:eastAsia="en-GB"/>
        </w:rPr>
        <w:t>The provision of targeted</w:t>
      </w:r>
      <w:r w:rsidRPr="009C5FF7">
        <w:rPr>
          <w:lang w:val="en-US" w:eastAsia="en-GB"/>
        </w:rPr>
        <w:t xml:space="preserve"> outreach support for girls and young women aged 10-25</w:t>
      </w:r>
      <w:r w:rsidR="00830EFF">
        <w:rPr>
          <w:lang w:val="en-US" w:eastAsia="en-GB"/>
        </w:rPr>
        <w:t xml:space="preserve"> in year-one only</w:t>
      </w:r>
      <w:r w:rsidRPr="009C5FF7">
        <w:rPr>
          <w:lang w:val="en-US" w:eastAsia="en-GB"/>
        </w:rPr>
        <w:t xml:space="preserve"> (</w:t>
      </w:r>
      <w:r w:rsidRPr="006157CD">
        <w:rPr>
          <w:lang w:val="en-US" w:eastAsia="en-GB"/>
        </w:rPr>
        <w:t>see section</w:t>
      </w:r>
      <w:r w:rsidR="006157CD" w:rsidRPr="006157CD">
        <w:rPr>
          <w:lang w:val="en-US" w:eastAsia="en-GB"/>
        </w:rPr>
        <w:t xml:space="preserve"> 10.18</w:t>
      </w:r>
      <w:r w:rsidR="008D6F2F">
        <w:rPr>
          <w:lang w:val="en-US" w:eastAsia="en-GB"/>
        </w:rPr>
        <w:t>-10.31</w:t>
      </w:r>
      <w:r w:rsidRPr="006157CD">
        <w:rPr>
          <w:lang w:val="en-US" w:eastAsia="en-GB"/>
        </w:rPr>
        <w:t>)</w:t>
      </w:r>
    </w:p>
    <w:p w14:paraId="2D001FFA" w14:textId="6B20A86D" w:rsidR="009C5FF7" w:rsidRPr="006157CD" w:rsidRDefault="009C5FF7" w:rsidP="009506F3">
      <w:pPr>
        <w:pStyle w:val="Heading3"/>
        <w:rPr>
          <w:lang w:val="en-US" w:eastAsia="en-GB"/>
        </w:rPr>
      </w:pPr>
      <w:r w:rsidRPr="009C5FF7">
        <w:rPr>
          <w:lang w:val="en-US" w:eastAsia="en-GB"/>
        </w:rPr>
        <w:t>Continued coordination of the Women’s Whole System Approach in York and North Yorkshire (</w:t>
      </w:r>
      <w:r w:rsidRPr="006157CD">
        <w:rPr>
          <w:lang w:val="en-US" w:eastAsia="en-GB"/>
        </w:rPr>
        <w:t xml:space="preserve">see section </w:t>
      </w:r>
      <w:r w:rsidR="006157CD" w:rsidRPr="006157CD">
        <w:rPr>
          <w:lang w:val="en-US" w:eastAsia="en-GB"/>
        </w:rPr>
        <w:t>10.15</w:t>
      </w:r>
      <w:r w:rsidRPr="006157CD">
        <w:rPr>
          <w:lang w:val="en-US" w:eastAsia="en-GB"/>
        </w:rPr>
        <w:t>)</w:t>
      </w:r>
    </w:p>
    <w:p w14:paraId="78D79514" w14:textId="7EC2B203" w:rsidR="009C5FF7" w:rsidRPr="00830EFF" w:rsidRDefault="009C5FF7" w:rsidP="00E53ACC">
      <w:pPr>
        <w:pStyle w:val="Heading2"/>
      </w:pPr>
      <w:r w:rsidRPr="00830EFF">
        <w:t xml:space="preserve">The service will provide support to women via dedicated Keyworkers (see section </w:t>
      </w:r>
      <w:r w:rsidR="006157CD" w:rsidRPr="00830EFF">
        <w:t>8.6</w:t>
      </w:r>
      <w:r w:rsidRPr="00830EFF">
        <w:t>), who will establish the most appropriate type of support dependent on needs. Support may be offered via:</w:t>
      </w:r>
    </w:p>
    <w:p w14:paraId="017F299D" w14:textId="5F149689" w:rsidR="009C5FF7" w:rsidRPr="00911F09" w:rsidRDefault="009C5FF7" w:rsidP="00C57D7C">
      <w:pPr>
        <w:pStyle w:val="Heading3"/>
        <w:numPr>
          <w:ilvl w:val="2"/>
          <w:numId w:val="26"/>
        </w:numPr>
        <w:rPr>
          <w:b/>
          <w:sz w:val="26"/>
          <w:szCs w:val="26"/>
        </w:rPr>
      </w:pPr>
      <w:r w:rsidRPr="00FF189A">
        <w:t>Brief</w:t>
      </w:r>
      <w:r w:rsidRPr="009C5FF7">
        <w:t xml:space="preserve"> Intervention </w:t>
      </w:r>
      <w:r w:rsidRPr="00911F09">
        <w:t xml:space="preserve">(see section </w:t>
      </w:r>
      <w:r w:rsidR="00911F09" w:rsidRPr="00911F09">
        <w:t>4.7</w:t>
      </w:r>
      <w:r w:rsidRPr="00911F09">
        <w:t>)</w:t>
      </w:r>
    </w:p>
    <w:p w14:paraId="066C1D91" w14:textId="14ED23DD" w:rsidR="009C5FF7" w:rsidRPr="00911F09" w:rsidRDefault="009C5FF7" w:rsidP="00CD2C1F">
      <w:pPr>
        <w:pStyle w:val="Heading3"/>
        <w:rPr>
          <w:lang w:eastAsia="en-GB"/>
        </w:rPr>
      </w:pPr>
      <w:r w:rsidRPr="00911F09">
        <w:rPr>
          <w:lang w:eastAsia="en-GB"/>
        </w:rPr>
        <w:t xml:space="preserve">Longer-term support (see section </w:t>
      </w:r>
      <w:r w:rsidR="00911F09" w:rsidRPr="00911F09">
        <w:rPr>
          <w:lang w:eastAsia="en-GB"/>
        </w:rPr>
        <w:t>4.8</w:t>
      </w:r>
      <w:r w:rsidRPr="00911F09">
        <w:rPr>
          <w:lang w:eastAsia="en-GB"/>
        </w:rPr>
        <w:t>)</w:t>
      </w:r>
    </w:p>
    <w:p w14:paraId="7CB6F99F" w14:textId="77777777" w:rsidR="009C5FF7" w:rsidRPr="009C5FF7" w:rsidRDefault="009C5FF7" w:rsidP="00E53ACC">
      <w:pPr>
        <w:pStyle w:val="Heading2"/>
      </w:pPr>
      <w:r w:rsidRPr="009C5FF7">
        <w:t xml:space="preserve">The </w:t>
      </w:r>
      <w:proofErr w:type="gramStart"/>
      <w:r w:rsidRPr="009C5FF7">
        <w:t>keyworkers</w:t>
      </w:r>
      <w:proofErr w:type="gramEnd"/>
      <w:r w:rsidRPr="009C5FF7">
        <w:t xml:space="preserve"> will offer consistent, trauma-informed, gender-specific, accurate and timely support, advice, and signposting to appropriate services. </w:t>
      </w:r>
    </w:p>
    <w:p w14:paraId="12934C12" w14:textId="77777777" w:rsidR="009C5FF7" w:rsidRPr="009C5FF7" w:rsidRDefault="009C5FF7" w:rsidP="00E53ACC">
      <w:pPr>
        <w:pStyle w:val="Heading2"/>
      </w:pPr>
      <w:r w:rsidRPr="009C5FF7">
        <w:t>The aims of the proposed service are to:</w:t>
      </w:r>
    </w:p>
    <w:p w14:paraId="37DA1A24" w14:textId="77777777" w:rsidR="009C5FF7" w:rsidRPr="009C5FF7" w:rsidRDefault="009C5FF7" w:rsidP="00C57D7C">
      <w:pPr>
        <w:pStyle w:val="Heading3"/>
        <w:numPr>
          <w:ilvl w:val="2"/>
          <w:numId w:val="27"/>
        </w:numPr>
        <w:rPr>
          <w:lang w:eastAsia="en-GB"/>
        </w:rPr>
      </w:pPr>
      <w:r w:rsidRPr="009C5FF7">
        <w:rPr>
          <w:lang w:eastAsia="en-GB"/>
        </w:rPr>
        <w:t>Offer gender-specific, holistic and trauma-informed support to women, to improve life outcomes</w:t>
      </w:r>
    </w:p>
    <w:p w14:paraId="4529BB7B" w14:textId="77777777" w:rsidR="009C5FF7" w:rsidRPr="009C5FF7" w:rsidRDefault="009C5FF7" w:rsidP="00D4606D">
      <w:pPr>
        <w:pStyle w:val="Heading3"/>
        <w:rPr>
          <w:lang w:eastAsia="en-GB"/>
        </w:rPr>
      </w:pPr>
      <w:r w:rsidRPr="009C5FF7">
        <w:rPr>
          <w:lang w:eastAsia="en-GB"/>
        </w:rPr>
        <w:t xml:space="preserve">Establish a ‘one-stop shop’ by engaging with partner agencies who can co-locate from the Women’s Centres, so that a range of needs across various pathways can be addressed </w:t>
      </w:r>
    </w:p>
    <w:p w14:paraId="6D0A46CE" w14:textId="77777777" w:rsidR="009C5FF7" w:rsidRPr="009C5FF7" w:rsidRDefault="009C5FF7" w:rsidP="00D4606D">
      <w:pPr>
        <w:pStyle w:val="Heading3"/>
        <w:rPr>
          <w:lang w:eastAsia="en-GB"/>
        </w:rPr>
      </w:pPr>
      <w:r w:rsidRPr="009C5FF7">
        <w:rPr>
          <w:lang w:eastAsia="en-GB"/>
        </w:rPr>
        <w:t>Address criminogenic needs to prevent offending and reoffending</w:t>
      </w:r>
    </w:p>
    <w:p w14:paraId="3E4B46F8" w14:textId="77777777" w:rsidR="009C5FF7" w:rsidRPr="009C5FF7" w:rsidRDefault="009C5FF7" w:rsidP="00D4606D">
      <w:pPr>
        <w:pStyle w:val="Heading3"/>
        <w:rPr>
          <w:lang w:eastAsia="en-GB"/>
        </w:rPr>
      </w:pPr>
      <w:r w:rsidRPr="009C5FF7">
        <w:rPr>
          <w:lang w:eastAsia="en-GB"/>
        </w:rPr>
        <w:t>Ensure that women from rural and isolated areas of the County can access support on an outreach basis</w:t>
      </w:r>
    </w:p>
    <w:p w14:paraId="68EE74ED" w14:textId="77777777" w:rsidR="009C5FF7" w:rsidRPr="009C5FF7" w:rsidRDefault="009C5FF7" w:rsidP="00D4606D">
      <w:pPr>
        <w:pStyle w:val="Heading3"/>
        <w:rPr>
          <w:lang w:eastAsia="en-GB"/>
        </w:rPr>
      </w:pPr>
      <w:r w:rsidRPr="009C5FF7">
        <w:rPr>
          <w:lang w:eastAsia="en-GB"/>
        </w:rPr>
        <w:t>Continue to drive and develop the Women’s Whole System Approach to ensure there is a gender-specific offer across the system</w:t>
      </w:r>
    </w:p>
    <w:p w14:paraId="1F08AA53" w14:textId="77777777" w:rsidR="009C5FF7" w:rsidRPr="009C5FF7" w:rsidRDefault="009C5FF7" w:rsidP="00D4606D">
      <w:pPr>
        <w:pStyle w:val="Heading3"/>
        <w:rPr>
          <w:lang w:eastAsia="en-GB"/>
        </w:rPr>
      </w:pPr>
      <w:r w:rsidRPr="009C5FF7">
        <w:rPr>
          <w:lang w:eastAsia="en-GB"/>
        </w:rPr>
        <w:t>Capture the voices of local women to inform continuous service development</w:t>
      </w:r>
    </w:p>
    <w:p w14:paraId="2A7B0028" w14:textId="77777777" w:rsidR="009C5FF7" w:rsidRPr="00830EFF" w:rsidRDefault="009C5FF7" w:rsidP="00E53ACC">
      <w:pPr>
        <w:pStyle w:val="Heading2"/>
      </w:pPr>
      <w:r w:rsidRPr="00830EFF">
        <w:t>The service will be alert and responsive to any trauma that women may have experienced to ensure that those accessing the service are not re-</w:t>
      </w:r>
      <w:proofErr w:type="spellStart"/>
      <w:r w:rsidRPr="00830EFF">
        <w:t>traumatised</w:t>
      </w:r>
      <w:proofErr w:type="spellEnd"/>
      <w:r w:rsidRPr="00830EFF">
        <w:t xml:space="preserve"> by any aspect of the support they receive.</w:t>
      </w:r>
    </w:p>
    <w:p w14:paraId="4BC1B561" w14:textId="77777777" w:rsidR="009C5FF7" w:rsidRPr="00830EFF" w:rsidRDefault="009C5FF7" w:rsidP="00E53ACC">
      <w:pPr>
        <w:pStyle w:val="Heading2"/>
      </w:pPr>
      <w:r w:rsidRPr="00830EFF">
        <w:t>Support Journey</w:t>
      </w:r>
    </w:p>
    <w:p w14:paraId="61582294" w14:textId="77777777" w:rsidR="009C5FF7" w:rsidRPr="009C5FF7" w:rsidRDefault="009C5FF7" w:rsidP="00C57D7C">
      <w:pPr>
        <w:pStyle w:val="Heading3"/>
        <w:numPr>
          <w:ilvl w:val="2"/>
          <w:numId w:val="28"/>
        </w:numPr>
        <w:rPr>
          <w:lang w:eastAsia="en-GB"/>
        </w:rPr>
      </w:pPr>
      <w:r w:rsidRPr="009C5FF7">
        <w:rPr>
          <w:lang w:eastAsia="en-GB"/>
        </w:rPr>
        <w:t>The service will be required to support women at any point that intervention may be required.</w:t>
      </w:r>
    </w:p>
    <w:p w14:paraId="0D336787" w14:textId="77777777" w:rsidR="009C5FF7" w:rsidRPr="009C5FF7" w:rsidRDefault="009C5FF7" w:rsidP="00C40479">
      <w:pPr>
        <w:pStyle w:val="Heading3"/>
      </w:pPr>
      <w:r w:rsidRPr="009C5FF7">
        <w:t>Prevention and Early Intervention</w:t>
      </w:r>
    </w:p>
    <w:p w14:paraId="08175EC4" w14:textId="77777777" w:rsidR="009C5FF7" w:rsidRPr="009C5FF7" w:rsidRDefault="009C5FF7" w:rsidP="00C40479">
      <w:pPr>
        <w:pStyle w:val="Heading3"/>
        <w:rPr>
          <w:lang w:eastAsia="en-GB"/>
        </w:rPr>
      </w:pPr>
      <w:r w:rsidRPr="009C5FF7">
        <w:rPr>
          <w:lang w:eastAsia="en-GB"/>
        </w:rPr>
        <w:lastRenderedPageBreak/>
        <w:t xml:space="preserve">Prevention and Early Intervention support is a key priority for the Mayor and Deputy Mayor, likewise, it is important to the Probation service as this type of support should result in fewer women entering the criminal justice system and fewer women reoffending. </w:t>
      </w:r>
    </w:p>
    <w:p w14:paraId="039B4BF0" w14:textId="77777777" w:rsidR="009C5FF7" w:rsidRPr="009C5FF7" w:rsidRDefault="009C5FF7" w:rsidP="00093945">
      <w:pPr>
        <w:pStyle w:val="Heading3"/>
        <w:rPr>
          <w:lang w:eastAsia="en-GB"/>
        </w:rPr>
      </w:pPr>
      <w:r w:rsidRPr="009C5FF7">
        <w:rPr>
          <w:lang w:eastAsia="en-GB"/>
        </w:rPr>
        <w:t>The provider will be required to generate referrals into service by proactively reaching out and offering support to women. To do this, the provider will work closely with partner agencies to identify and engage women</w:t>
      </w:r>
      <w:r w:rsidRPr="00C87126">
        <w:rPr>
          <w:lang w:eastAsia="en-GB"/>
        </w:rPr>
        <w:t>.</w:t>
      </w:r>
      <w:r w:rsidRPr="009C5FF7">
        <w:rPr>
          <w:lang w:eastAsia="en-GB"/>
        </w:rPr>
        <w:t xml:space="preserve"> </w:t>
      </w:r>
    </w:p>
    <w:p w14:paraId="77BCFBA5" w14:textId="77777777" w:rsidR="009C5FF7" w:rsidRPr="009C5FF7" w:rsidRDefault="009C5FF7" w:rsidP="00093945">
      <w:pPr>
        <w:pStyle w:val="Heading3"/>
        <w:rPr>
          <w:lang w:eastAsia="en-GB"/>
        </w:rPr>
      </w:pPr>
      <w:r w:rsidRPr="009C5FF7">
        <w:rPr>
          <w:lang w:eastAsia="en-GB"/>
        </w:rPr>
        <w:t>The provider will also be required to offer support to women who may not be known to existing services and therefore not readily identifiable. This approach will be undertaken via assertive outreach.</w:t>
      </w:r>
    </w:p>
    <w:p w14:paraId="280ED165" w14:textId="77777777" w:rsidR="009C5FF7" w:rsidRPr="009C5FF7" w:rsidRDefault="009C5FF7" w:rsidP="009C5FF7">
      <w:pPr>
        <w:spacing w:before="0" w:after="200" w:line="276" w:lineRule="auto"/>
        <w:rPr>
          <w:rFonts w:ascii="Calibri" w:eastAsia="Times New Roman" w:hAnsi="Calibri" w:cs="Times New Roman"/>
          <w:kern w:val="0"/>
          <w:lang w:eastAsia="en-GB"/>
          <w14:ligatures w14:val="none"/>
        </w:rPr>
      </w:pPr>
    </w:p>
    <w:p w14:paraId="5B83CB42" w14:textId="77777777" w:rsidR="009C5FF7" w:rsidRPr="00830EFF" w:rsidRDefault="009C5FF7" w:rsidP="00E53ACC">
      <w:pPr>
        <w:pStyle w:val="Heading2"/>
      </w:pPr>
      <w:r w:rsidRPr="00830EFF">
        <w:t>Brief Intervention Support</w:t>
      </w:r>
    </w:p>
    <w:p w14:paraId="6A198C53" w14:textId="77777777" w:rsidR="009C5FF7" w:rsidRPr="009C5FF7" w:rsidRDefault="009C5FF7" w:rsidP="00C57D7C">
      <w:pPr>
        <w:pStyle w:val="Heading3"/>
        <w:numPr>
          <w:ilvl w:val="2"/>
          <w:numId w:val="29"/>
        </w:numPr>
        <w:rPr>
          <w:lang w:eastAsia="en-GB"/>
        </w:rPr>
      </w:pPr>
      <w:r w:rsidRPr="009C5FF7">
        <w:rPr>
          <w:lang w:eastAsia="en-GB"/>
        </w:rPr>
        <w:t>Some women may require a single contact with the service, for example to use the facilities at the Women’s Centre, however an offer of follow-up support or signposting should always be made. A single contact will count as a brief intervention case, as will a series of short contacts for a period of up to one month.</w:t>
      </w:r>
    </w:p>
    <w:p w14:paraId="712934D3" w14:textId="77777777" w:rsidR="009C5FF7" w:rsidRPr="009C5FF7" w:rsidRDefault="009C5FF7" w:rsidP="00C40479">
      <w:pPr>
        <w:pStyle w:val="Heading3"/>
        <w:rPr>
          <w:lang w:eastAsia="en-GB"/>
        </w:rPr>
      </w:pPr>
      <w:r w:rsidRPr="009C5FF7">
        <w:rPr>
          <w:lang w:eastAsia="en-GB"/>
        </w:rPr>
        <w:t xml:space="preserve">If a girl, young woman or adult woman is provided with advice and guidance during outreach this will be classed as brief intervention support, again however, an offer of follow-up support via the service or signposting should always be made. </w:t>
      </w:r>
    </w:p>
    <w:p w14:paraId="54DC7956" w14:textId="77777777" w:rsidR="009C5FF7" w:rsidRPr="009C5FF7" w:rsidRDefault="009C5FF7" w:rsidP="00E53ACC">
      <w:pPr>
        <w:pStyle w:val="Heading2"/>
        <w:rPr>
          <w:sz w:val="32"/>
          <w:szCs w:val="32"/>
        </w:rPr>
      </w:pPr>
      <w:r w:rsidRPr="009C5FF7">
        <w:t>Longer-term support via case management</w:t>
      </w:r>
    </w:p>
    <w:p w14:paraId="2927CDA8" w14:textId="77777777" w:rsidR="009C5FF7" w:rsidRPr="009C5FF7" w:rsidRDefault="009C5FF7" w:rsidP="00C57D7C">
      <w:pPr>
        <w:pStyle w:val="Heading3"/>
        <w:numPr>
          <w:ilvl w:val="2"/>
          <w:numId w:val="30"/>
        </w:numPr>
      </w:pPr>
      <w:r w:rsidRPr="009C5FF7">
        <w:t xml:space="preserve">For women who require longer-term support, the service will support women based on identified needs for an average of 6 months. However, the offer of support should be open-ended, and women can be re-referred into the service at any point. A re-referral should be classed as a new referral. </w:t>
      </w:r>
    </w:p>
    <w:p w14:paraId="770971B5" w14:textId="2DAD37ED" w:rsidR="009C5FF7" w:rsidRPr="009C5FF7" w:rsidRDefault="009C5FF7" w:rsidP="00E83CF2">
      <w:pPr>
        <w:pStyle w:val="Heading3"/>
        <w:rPr>
          <w:lang w:eastAsia="en-GB"/>
        </w:rPr>
      </w:pPr>
      <w:r w:rsidRPr="009C5FF7">
        <w:rPr>
          <w:lang w:eastAsia="en-GB"/>
        </w:rPr>
        <w:t>When the longer-term period of support comes to an end at the Women’s Centre, women should be encouraged to keep attending drop-in sessions and group work as part of their agreed exit strategy (see section</w:t>
      </w:r>
      <w:r w:rsidR="006157CD" w:rsidRPr="006157CD">
        <w:rPr>
          <w:lang w:eastAsia="en-GB"/>
        </w:rPr>
        <w:t xml:space="preserve"> 8.22</w:t>
      </w:r>
      <w:r w:rsidRPr="006157CD">
        <w:rPr>
          <w:lang w:eastAsia="en-GB"/>
        </w:rPr>
        <w:t>)</w:t>
      </w:r>
      <w:r w:rsidR="006157CD">
        <w:rPr>
          <w:lang w:eastAsia="en-GB"/>
        </w:rPr>
        <w:t>.</w:t>
      </w:r>
    </w:p>
    <w:p w14:paraId="405C1820" w14:textId="77777777" w:rsidR="009C5FF7" w:rsidRPr="008B6D7A" w:rsidRDefault="009C5FF7" w:rsidP="00E83CF2">
      <w:pPr>
        <w:pStyle w:val="Heading3"/>
        <w:rPr>
          <w:rFonts w:cs="Arial"/>
          <w:lang w:eastAsia="en-GB"/>
        </w:rPr>
      </w:pPr>
      <w:r w:rsidRPr="009C5FF7">
        <w:rPr>
          <w:lang w:eastAsia="en-GB"/>
        </w:rPr>
        <w:t xml:space="preserve">For women who require longer-term support, the keyworker will build a trusting relationship and offer support across a range of pathways to address any underlying needs and wider vulnerabilities. This will involve guidance through a </w:t>
      </w:r>
      <w:r w:rsidRPr="009C5FF7">
        <w:rPr>
          <w:b/>
          <w:bCs/>
          <w:lang w:eastAsia="en-GB"/>
        </w:rPr>
        <w:t>Case Management Process (CMP)</w:t>
      </w:r>
      <w:r w:rsidRPr="009C5FF7">
        <w:rPr>
          <w:lang w:eastAsia="en-GB"/>
        </w:rPr>
        <w:t xml:space="preserve"> as part of their </w:t>
      </w:r>
      <w:r w:rsidRPr="008B6D7A">
        <w:rPr>
          <w:rFonts w:cs="Arial"/>
          <w:lang w:eastAsia="en-GB"/>
        </w:rPr>
        <w:t>support journey, which will include the following stages:</w:t>
      </w:r>
    </w:p>
    <w:p w14:paraId="281668B4" w14:textId="072D451E" w:rsidR="009C5FF7" w:rsidRPr="008B6D7A" w:rsidRDefault="009C5FF7" w:rsidP="00C57D7C">
      <w:pPr>
        <w:pStyle w:val="ListParagraph"/>
        <w:numPr>
          <w:ilvl w:val="0"/>
          <w:numId w:val="31"/>
        </w:numPr>
        <w:spacing w:before="0" w:after="120" w:line="276" w:lineRule="auto"/>
        <w:jc w:val="both"/>
        <w:rPr>
          <w:rFonts w:eastAsia="Times New Roman" w:cs="Arial"/>
          <w:kern w:val="0"/>
          <w:lang w:eastAsia="en-GB"/>
          <w14:ligatures w14:val="none"/>
        </w:rPr>
      </w:pPr>
      <w:r w:rsidRPr="008B6D7A">
        <w:rPr>
          <w:rFonts w:eastAsia="Times New Roman" w:cs="Arial"/>
          <w:kern w:val="0"/>
          <w14:ligatures w14:val="none"/>
        </w:rPr>
        <w:t>Referral and initial contact</w:t>
      </w:r>
    </w:p>
    <w:p w14:paraId="7EBB9C80" w14:textId="3F52AB55" w:rsidR="009C5FF7" w:rsidRPr="008B6D7A" w:rsidRDefault="009C5FF7" w:rsidP="00C57D7C">
      <w:pPr>
        <w:pStyle w:val="ListParagraph"/>
        <w:numPr>
          <w:ilvl w:val="0"/>
          <w:numId w:val="31"/>
        </w:numPr>
        <w:spacing w:before="0" w:after="120" w:line="276" w:lineRule="auto"/>
        <w:jc w:val="both"/>
        <w:rPr>
          <w:rFonts w:eastAsia="Times New Roman" w:cs="Arial"/>
          <w:kern w:val="0"/>
          <w:lang w:eastAsia="en-GB"/>
          <w14:ligatures w14:val="none"/>
        </w:rPr>
      </w:pPr>
      <w:r w:rsidRPr="008B6D7A">
        <w:rPr>
          <w:rFonts w:eastAsia="Times New Roman" w:cs="Arial"/>
          <w:kern w:val="0"/>
          <w14:ligatures w14:val="none"/>
        </w:rPr>
        <w:t>Risk &amp; Needs Assessment, which will include a baseline scoring against any identified needs (</w:t>
      </w:r>
      <w:r w:rsidRPr="006157CD">
        <w:rPr>
          <w:rFonts w:eastAsia="Times New Roman" w:cs="Arial"/>
          <w:kern w:val="0"/>
          <w14:ligatures w14:val="none"/>
        </w:rPr>
        <w:t>see section</w:t>
      </w:r>
      <w:r w:rsidR="006157CD" w:rsidRPr="006157CD">
        <w:rPr>
          <w:rFonts w:eastAsia="Times New Roman" w:cs="Arial"/>
          <w:kern w:val="0"/>
          <w14:ligatures w14:val="none"/>
        </w:rPr>
        <w:t xml:space="preserve"> 8.18</w:t>
      </w:r>
      <w:r w:rsidRPr="006157CD">
        <w:rPr>
          <w:rFonts w:eastAsia="Times New Roman" w:cs="Arial"/>
          <w:kern w:val="0"/>
          <w14:ligatures w14:val="none"/>
        </w:rPr>
        <w:t>)</w:t>
      </w:r>
    </w:p>
    <w:p w14:paraId="7E6FD5E7" w14:textId="133B7866" w:rsidR="009C5FF7" w:rsidRPr="008B6D7A" w:rsidRDefault="009C5FF7" w:rsidP="00C57D7C">
      <w:pPr>
        <w:pStyle w:val="ListParagraph"/>
        <w:numPr>
          <w:ilvl w:val="0"/>
          <w:numId w:val="31"/>
        </w:numPr>
        <w:spacing w:before="0" w:after="120" w:line="276" w:lineRule="auto"/>
        <w:jc w:val="both"/>
        <w:rPr>
          <w:rFonts w:eastAsia="Times New Roman" w:cs="Arial"/>
          <w:kern w:val="0"/>
          <w:lang w:eastAsia="en-GB"/>
          <w14:ligatures w14:val="none"/>
        </w:rPr>
      </w:pPr>
      <w:r w:rsidRPr="008B6D7A">
        <w:rPr>
          <w:rFonts w:eastAsia="Times New Roman" w:cs="Arial"/>
          <w:kern w:val="0"/>
          <w14:ligatures w14:val="none"/>
        </w:rPr>
        <w:t xml:space="preserve">A bespoke Support Plan (see </w:t>
      </w:r>
      <w:r w:rsidRPr="006157CD">
        <w:rPr>
          <w:rFonts w:eastAsia="Times New Roman" w:cs="Arial"/>
          <w:kern w:val="0"/>
          <w14:ligatures w14:val="none"/>
        </w:rPr>
        <w:t>section 8.1</w:t>
      </w:r>
      <w:r w:rsidR="006157CD" w:rsidRPr="006157CD">
        <w:rPr>
          <w:rFonts w:eastAsia="Times New Roman" w:cs="Arial"/>
          <w:kern w:val="0"/>
          <w14:ligatures w14:val="none"/>
        </w:rPr>
        <w:t>9</w:t>
      </w:r>
      <w:r w:rsidRPr="008B6D7A">
        <w:rPr>
          <w:rFonts w:eastAsia="Times New Roman" w:cs="Arial"/>
          <w:kern w:val="0"/>
          <w14:ligatures w14:val="none"/>
        </w:rPr>
        <w:t>)</w:t>
      </w:r>
    </w:p>
    <w:p w14:paraId="236E056B" w14:textId="019475F1" w:rsidR="009C5FF7" w:rsidRPr="008B6D7A" w:rsidRDefault="009C5FF7" w:rsidP="00C57D7C">
      <w:pPr>
        <w:pStyle w:val="ListParagraph"/>
        <w:numPr>
          <w:ilvl w:val="0"/>
          <w:numId w:val="31"/>
        </w:numPr>
        <w:spacing w:before="0" w:after="120" w:line="276" w:lineRule="auto"/>
        <w:jc w:val="both"/>
        <w:rPr>
          <w:rFonts w:eastAsia="Times New Roman" w:cs="Arial"/>
          <w:kern w:val="0"/>
          <w:lang w:eastAsia="en-GB"/>
          <w14:ligatures w14:val="none"/>
        </w:rPr>
      </w:pPr>
      <w:r w:rsidRPr="008B6D7A">
        <w:rPr>
          <w:rFonts w:eastAsia="Times New Roman" w:cs="Arial"/>
          <w:kern w:val="0"/>
          <w:lang w:eastAsia="en-GB"/>
          <w14:ligatures w14:val="none"/>
        </w:rPr>
        <w:t xml:space="preserve">Exit Review and Strategy including re-scoring against the identified needs to measure progress (see </w:t>
      </w:r>
      <w:r w:rsidRPr="006157CD">
        <w:rPr>
          <w:rFonts w:eastAsia="Times New Roman" w:cs="Arial"/>
          <w:kern w:val="0"/>
          <w:lang w:eastAsia="en-GB"/>
          <w14:ligatures w14:val="none"/>
        </w:rPr>
        <w:t>section 8.</w:t>
      </w:r>
      <w:r w:rsidR="006157CD" w:rsidRPr="006157CD">
        <w:rPr>
          <w:rFonts w:eastAsia="Times New Roman" w:cs="Arial"/>
          <w:kern w:val="0"/>
          <w:lang w:eastAsia="en-GB"/>
          <w14:ligatures w14:val="none"/>
        </w:rPr>
        <w:t>22</w:t>
      </w:r>
      <w:r w:rsidRPr="008B6D7A">
        <w:rPr>
          <w:rFonts w:eastAsia="Times New Roman" w:cs="Arial"/>
          <w:kern w:val="0"/>
          <w:lang w:eastAsia="en-GB"/>
          <w14:ligatures w14:val="none"/>
        </w:rPr>
        <w:t>)</w:t>
      </w:r>
    </w:p>
    <w:p w14:paraId="4ED28F25" w14:textId="67954388" w:rsidR="009C5FF7" w:rsidRPr="008B6D7A" w:rsidRDefault="009C5FF7" w:rsidP="00C57D7C">
      <w:pPr>
        <w:pStyle w:val="ListParagraph"/>
        <w:keepNext/>
        <w:keepLines/>
        <w:numPr>
          <w:ilvl w:val="0"/>
          <w:numId w:val="31"/>
        </w:numPr>
        <w:spacing w:before="40" w:after="0" w:line="276" w:lineRule="auto"/>
        <w:outlineLvl w:val="3"/>
        <w:rPr>
          <w:rFonts w:eastAsia="Times New Roman" w:cs="Arial"/>
          <w:kern w:val="0"/>
          <w:lang w:eastAsia="en-GB"/>
          <w14:ligatures w14:val="none"/>
        </w:rPr>
      </w:pPr>
      <w:r w:rsidRPr="008B6D7A">
        <w:rPr>
          <w:rFonts w:eastAsia="Times New Roman" w:cs="Arial"/>
          <w:kern w:val="0"/>
          <w:lang w:eastAsia="en-GB"/>
          <w14:ligatures w14:val="none"/>
        </w:rPr>
        <w:lastRenderedPageBreak/>
        <w:t xml:space="preserve">Collection of Service-user feedback (see </w:t>
      </w:r>
      <w:r w:rsidRPr="006157CD">
        <w:rPr>
          <w:rFonts w:eastAsia="Times New Roman" w:cs="Arial"/>
          <w:kern w:val="0"/>
          <w:lang w:eastAsia="en-GB"/>
          <w14:ligatures w14:val="none"/>
        </w:rPr>
        <w:t xml:space="preserve">section </w:t>
      </w:r>
      <w:r w:rsidR="006157CD" w:rsidRPr="006157CD">
        <w:rPr>
          <w:rFonts w:eastAsia="Times New Roman" w:cs="Arial"/>
          <w:kern w:val="0"/>
          <w:lang w:eastAsia="en-GB"/>
          <w14:ligatures w14:val="none"/>
        </w:rPr>
        <w:t>8.23</w:t>
      </w:r>
      <w:r w:rsidRPr="008B6D7A">
        <w:rPr>
          <w:rFonts w:eastAsia="Times New Roman" w:cs="Arial"/>
          <w:kern w:val="0"/>
          <w:lang w:eastAsia="en-GB"/>
          <w14:ligatures w14:val="none"/>
        </w:rPr>
        <w:t>)</w:t>
      </w:r>
    </w:p>
    <w:p w14:paraId="7ECA5DE6" w14:textId="77777777" w:rsidR="009C5FF7" w:rsidRPr="009C5FF7" w:rsidRDefault="009C5FF7" w:rsidP="00651CA4">
      <w:pPr>
        <w:pStyle w:val="Heading3"/>
        <w:rPr>
          <w:lang w:eastAsia="en-GB"/>
        </w:rPr>
      </w:pPr>
      <w:r w:rsidRPr="009C5FF7">
        <w:t>The CMP will be incorporated into the YNYCA Policing, Fire and Crime Directorate’s cloud-based Case Management System (“CMS”), ‘</w:t>
      </w:r>
      <w:proofErr w:type="spellStart"/>
      <w:r w:rsidRPr="009C5FF7">
        <w:t>Orcuma</w:t>
      </w:r>
      <w:proofErr w:type="spellEnd"/>
      <w:r w:rsidRPr="009C5FF7">
        <w:t xml:space="preserve">’ in order to automate, track and streamline the process. The Provider may use their own CMS in addition; however, the provider </w:t>
      </w:r>
      <w:r w:rsidRPr="009C5FF7">
        <w:rPr>
          <w:b/>
          <w:bCs/>
        </w:rPr>
        <w:t>will be expected</w:t>
      </w:r>
      <w:r w:rsidRPr="009C5FF7">
        <w:t xml:space="preserve"> to use </w:t>
      </w:r>
      <w:proofErr w:type="spellStart"/>
      <w:r w:rsidRPr="009C5FF7">
        <w:t>Orcuma</w:t>
      </w:r>
      <w:proofErr w:type="spellEnd"/>
      <w:r w:rsidRPr="009C5FF7">
        <w:t xml:space="preserve"> on Contract award to record progress against the CMP as directed by the Commissioners.</w:t>
      </w:r>
    </w:p>
    <w:p w14:paraId="34812A21" w14:textId="77777777" w:rsidR="009C5FF7" w:rsidRPr="009C5FF7" w:rsidRDefault="009C5FF7" w:rsidP="00651CA4">
      <w:pPr>
        <w:pStyle w:val="Heading3"/>
        <w:rPr>
          <w:lang w:eastAsia="en-GB"/>
        </w:rPr>
      </w:pPr>
      <w:r w:rsidRPr="009C5FF7">
        <w:t xml:space="preserve">The YNYCA will make a maximum of 10 licences available to the provider to access </w:t>
      </w:r>
      <w:proofErr w:type="spellStart"/>
      <w:r w:rsidRPr="009C5FF7">
        <w:t>Orcuma</w:t>
      </w:r>
      <w:proofErr w:type="spellEnd"/>
      <w:r w:rsidRPr="009C5FF7">
        <w:t xml:space="preserve">; however, the provider may purchase additional licences if required at a cost of £300 per full-time licence or £150 per part-time licence, excluding VAT, per annum. The initial cost and ongoing annual renewal costs of any additional licences for </w:t>
      </w:r>
      <w:proofErr w:type="spellStart"/>
      <w:r w:rsidRPr="009C5FF7">
        <w:t>Orcuma</w:t>
      </w:r>
      <w:proofErr w:type="spellEnd"/>
      <w:r w:rsidRPr="009C5FF7">
        <w:t xml:space="preserve"> is the responsibility of the Provider throughout the remaining contract period but can be included within the pricing response to this ITT; but the provider cannot include any costs associated with their own CMS if they choose to use their own CMS in addition to </w:t>
      </w:r>
      <w:proofErr w:type="spellStart"/>
      <w:r w:rsidRPr="009C5FF7">
        <w:t>Orcuma</w:t>
      </w:r>
      <w:proofErr w:type="spellEnd"/>
      <w:r w:rsidRPr="009C5FF7">
        <w:t>.</w:t>
      </w:r>
    </w:p>
    <w:p w14:paraId="208D6087" w14:textId="77777777" w:rsidR="002D0D86" w:rsidRDefault="002D0D86">
      <w:pPr>
        <w:spacing w:before="0" w:line="259" w:lineRule="auto"/>
        <w:rPr>
          <w:rFonts w:asciiTheme="majorHAnsi" w:eastAsiaTheme="majorEastAsia" w:hAnsiTheme="majorHAnsi" w:cstheme="majorBidi"/>
          <w:color w:val="002060"/>
          <w:sz w:val="40"/>
          <w:szCs w:val="40"/>
        </w:rPr>
      </w:pPr>
      <w:r>
        <w:rPr>
          <w:color w:val="002060"/>
        </w:rPr>
        <w:br w:type="page"/>
      </w:r>
    </w:p>
    <w:p w14:paraId="16C31045" w14:textId="6DD17E5B" w:rsidR="00E97866" w:rsidRDefault="00E97866" w:rsidP="00063554">
      <w:pPr>
        <w:pStyle w:val="Heading1"/>
        <w:rPr>
          <w:color w:val="002060"/>
        </w:rPr>
      </w:pPr>
      <w:bookmarkStart w:id="6" w:name="_Toc215577708"/>
      <w:r>
        <w:rPr>
          <w:color w:val="002060"/>
        </w:rPr>
        <w:lastRenderedPageBreak/>
        <w:t>Strategic Context</w:t>
      </w:r>
      <w:bookmarkEnd w:id="6"/>
    </w:p>
    <w:p w14:paraId="3BB5AC9F" w14:textId="77777777" w:rsidR="00A243B4" w:rsidRPr="00A243B4" w:rsidRDefault="00A243B4" w:rsidP="00E53ACC">
      <w:pPr>
        <w:pStyle w:val="Heading2"/>
      </w:pPr>
      <w:r w:rsidRPr="00A243B4">
        <w:t>York &amp; North Yorkshire Police &amp; Crime Plan</w:t>
      </w:r>
    </w:p>
    <w:p w14:paraId="43AC3690" w14:textId="77777777" w:rsidR="00A243B4" w:rsidRPr="00A243B4" w:rsidRDefault="00A243B4" w:rsidP="00C57D7C">
      <w:pPr>
        <w:pStyle w:val="Heading3"/>
        <w:numPr>
          <w:ilvl w:val="2"/>
          <w:numId w:val="39"/>
        </w:numPr>
        <w:rPr>
          <w:lang w:eastAsia="en-GB"/>
        </w:rPr>
      </w:pPr>
      <w:r w:rsidRPr="00A243B4">
        <w:rPr>
          <w:bCs/>
          <w:lang w:eastAsia="en-GB"/>
        </w:rPr>
        <w:t xml:space="preserve">As reflected in the York and North Yorkshire </w:t>
      </w:r>
      <w:hyperlink r:id="rId17" w:history="1">
        <w:r w:rsidRPr="00A243B4">
          <w:rPr>
            <w:bCs/>
            <w:color w:val="0000FF"/>
            <w:u w:val="single"/>
            <w:lang w:eastAsia="en-GB"/>
          </w:rPr>
          <w:t>Police and Crime Plan</w:t>
        </w:r>
      </w:hyperlink>
      <w:r w:rsidRPr="00A243B4">
        <w:rPr>
          <w:bCs/>
          <w:lang w:eastAsia="en-GB"/>
        </w:rPr>
        <w:t xml:space="preserve"> (2025-2029) the Mayor of York and North Yorkshire is committed to delivering safe spaces for all; tackling Violence Against Women &amp; Girls (VAWG) is a priority for both the Mayor and Deputy Mayor and the proposed service will be a contributor to this. </w:t>
      </w:r>
    </w:p>
    <w:p w14:paraId="40B6143E" w14:textId="77777777" w:rsidR="00A243B4" w:rsidRPr="00A243B4" w:rsidRDefault="00A243B4" w:rsidP="00A243B4">
      <w:pPr>
        <w:pStyle w:val="Heading3"/>
        <w:rPr>
          <w:lang w:eastAsia="en-GB"/>
        </w:rPr>
      </w:pPr>
      <w:r w:rsidRPr="00A243B4">
        <w:rPr>
          <w:lang w:eastAsia="en-GB"/>
        </w:rPr>
        <w:t xml:space="preserve">‘Work with Partners’ is another priority that is set out in the Police &amp; Crime Plan, specifically, “work with our partners to ensure a collaborative approach to identifying and protecting the most vulnerable people in York and North Yorkshire”. Collaborative working will be key to the successful delivery of this service, in particular optimising the skills and knowledge of other agencies and sharing resources, to improve outcomes for women in York and North Yorkshire. </w:t>
      </w:r>
    </w:p>
    <w:p w14:paraId="243377E0" w14:textId="77777777" w:rsidR="00A243B4" w:rsidRPr="00A243B4" w:rsidRDefault="00A243B4" w:rsidP="00A243B4">
      <w:pPr>
        <w:pStyle w:val="Heading3"/>
        <w:rPr>
          <w:lang w:eastAsia="en-GB"/>
        </w:rPr>
      </w:pPr>
      <w:r w:rsidRPr="00A243B4">
        <w:rPr>
          <w:lang w:eastAsia="en-GB"/>
        </w:rPr>
        <w:t xml:space="preserve">As stated in the Police and Crime Plan, the geography of the County creates challenges to ensuring that support to women is offered effectively and consistently. By working with the right partners in cities, towns, coastal communities, villages and rural areas, the provider must ensure that women are provided with or signposted to the most appropriate support. The provider will be required to strengthen partnerships and foster closer working relationships with a range of partners who are best placed to help support women. </w:t>
      </w:r>
    </w:p>
    <w:p w14:paraId="658A8EAF" w14:textId="77777777" w:rsidR="00A243B4" w:rsidRPr="00A243B4" w:rsidRDefault="00A243B4" w:rsidP="00E53ACC">
      <w:pPr>
        <w:pStyle w:val="Heading2"/>
      </w:pPr>
      <w:r w:rsidRPr="00A243B4">
        <w:t>Violence Against Women and Girls Strategy</w:t>
      </w:r>
    </w:p>
    <w:p w14:paraId="0F90C644" w14:textId="77777777" w:rsidR="00A243B4" w:rsidRPr="00A243B4" w:rsidRDefault="00A243B4" w:rsidP="00C57D7C">
      <w:pPr>
        <w:pStyle w:val="Heading3"/>
        <w:numPr>
          <w:ilvl w:val="2"/>
          <w:numId w:val="40"/>
        </w:numPr>
        <w:rPr>
          <w:lang w:eastAsia="en-GB"/>
        </w:rPr>
      </w:pPr>
      <w:r w:rsidRPr="00A243B4">
        <w:rPr>
          <w:lang w:eastAsia="en-GB"/>
        </w:rPr>
        <w:t xml:space="preserve">The service will help to deliver the objectives of the </w:t>
      </w:r>
      <w:hyperlink r:id="rId18" w:history="1">
        <w:r w:rsidRPr="00A243B4">
          <w:rPr>
            <w:color w:val="0000FF"/>
            <w:u w:val="single"/>
            <w:lang w:eastAsia="en-GB"/>
          </w:rPr>
          <w:t>York and North Yorkshire VAWG strategy</w:t>
        </w:r>
      </w:hyperlink>
      <w:r w:rsidRPr="00A243B4">
        <w:rPr>
          <w:lang w:eastAsia="en-GB"/>
        </w:rPr>
        <w:t xml:space="preserve">. The Strategy sets out a collective commitment from different agencies in York and North Yorkshire to tackle VAWG, as keeping women and girls safe, and ensuring they feel safe is not something that one agency can deliver their own. </w:t>
      </w:r>
    </w:p>
    <w:p w14:paraId="4012C764" w14:textId="77777777" w:rsidR="00A243B4" w:rsidRPr="00A243B4" w:rsidRDefault="00A243B4" w:rsidP="009A58D8">
      <w:pPr>
        <w:pStyle w:val="Heading3"/>
        <w:rPr>
          <w:lang w:eastAsia="en-GB"/>
        </w:rPr>
      </w:pPr>
      <w:r w:rsidRPr="00A243B4">
        <w:rPr>
          <w:lang w:eastAsia="en-GB"/>
        </w:rPr>
        <w:t>To inform the development and delivery of the strategy, consultation took place with local stakeholders and local victims/survivors of VAWG.</w:t>
      </w:r>
    </w:p>
    <w:p w14:paraId="2B781302" w14:textId="77777777" w:rsidR="00A243B4" w:rsidRPr="009A58D8" w:rsidRDefault="00A243B4" w:rsidP="009A58D8">
      <w:pPr>
        <w:pStyle w:val="Heading3"/>
        <w:rPr>
          <w:rFonts w:cs="Arial"/>
          <w:lang w:eastAsia="en-GB"/>
        </w:rPr>
      </w:pPr>
      <w:r w:rsidRPr="00A243B4">
        <w:rPr>
          <w:lang w:eastAsia="en-GB"/>
        </w:rPr>
        <w:t xml:space="preserve"> Some of the key </w:t>
      </w:r>
      <w:r w:rsidRPr="009A58D8">
        <w:rPr>
          <w:rFonts w:cs="Arial"/>
          <w:lang w:eastAsia="en-GB"/>
        </w:rPr>
        <w:t>issues raised by local Stakeholders included:</w:t>
      </w:r>
    </w:p>
    <w:p w14:paraId="387DF8BC" w14:textId="77777777" w:rsidR="00A243B4" w:rsidRPr="00A243B4" w:rsidRDefault="00A243B4" w:rsidP="00C57D7C">
      <w:pPr>
        <w:numPr>
          <w:ilvl w:val="0"/>
          <w:numId w:val="32"/>
        </w:numPr>
        <w:spacing w:before="0" w:after="120" w:line="276" w:lineRule="auto"/>
        <w:jc w:val="both"/>
        <w:rPr>
          <w:rFonts w:eastAsia="Times New Roman" w:cs="Arial"/>
          <w:kern w:val="0"/>
          <w:lang w:eastAsia="en-GB"/>
          <w14:ligatures w14:val="none"/>
        </w:rPr>
      </w:pPr>
      <w:r w:rsidRPr="00A243B4">
        <w:rPr>
          <w:rFonts w:eastAsia="Times New Roman" w:cs="Arial"/>
          <w:b/>
          <w:bCs/>
          <w:kern w:val="0"/>
          <w:lang w:eastAsia="en-GB"/>
          <w14:ligatures w14:val="none"/>
        </w:rPr>
        <w:t>Support</w:t>
      </w:r>
      <w:r w:rsidRPr="00A243B4">
        <w:rPr>
          <w:rFonts w:eastAsia="Times New Roman" w:cs="Arial"/>
          <w:kern w:val="0"/>
          <w:lang w:eastAsia="en-GB"/>
          <w14:ligatures w14:val="none"/>
        </w:rPr>
        <w:t> needs to be longer-term, trauma-informed and there should always be an ‘open-door’ policy, including repeat or re-referrals</w:t>
      </w:r>
    </w:p>
    <w:p w14:paraId="53BC294D" w14:textId="77777777" w:rsidR="00A243B4" w:rsidRPr="00A243B4" w:rsidRDefault="00A243B4" w:rsidP="00C57D7C">
      <w:pPr>
        <w:numPr>
          <w:ilvl w:val="0"/>
          <w:numId w:val="32"/>
        </w:numPr>
        <w:spacing w:before="0" w:after="120" w:line="276" w:lineRule="auto"/>
        <w:jc w:val="both"/>
        <w:rPr>
          <w:rFonts w:eastAsia="Times New Roman" w:cs="Arial"/>
          <w:kern w:val="0"/>
          <w:lang w:eastAsia="en-GB"/>
          <w14:ligatures w14:val="none"/>
        </w:rPr>
      </w:pPr>
      <w:r w:rsidRPr="00A243B4">
        <w:rPr>
          <w:rFonts w:eastAsia="Times New Roman" w:cs="Arial"/>
          <w:b/>
          <w:bCs/>
          <w:kern w:val="0"/>
          <w:lang w:eastAsia="en-GB"/>
          <w14:ligatures w14:val="none"/>
        </w:rPr>
        <w:t>Challenges navigating the whole criminal justice system</w:t>
      </w:r>
      <w:r w:rsidRPr="00A243B4">
        <w:rPr>
          <w:rFonts w:eastAsia="Times New Roman" w:cs="Arial"/>
          <w:kern w:val="0"/>
          <w:lang w:eastAsia="en-GB"/>
          <w14:ligatures w14:val="none"/>
        </w:rPr>
        <w:t> and the need for dedicated / specialist officers or Single Points of Contacts (“SPOCs”) throughout criminal justice processes</w:t>
      </w:r>
    </w:p>
    <w:p w14:paraId="7489431D" w14:textId="77777777" w:rsidR="00A243B4" w:rsidRPr="00A243B4" w:rsidRDefault="00A243B4" w:rsidP="00C57D7C">
      <w:pPr>
        <w:numPr>
          <w:ilvl w:val="0"/>
          <w:numId w:val="32"/>
        </w:numPr>
        <w:spacing w:before="0" w:after="120" w:line="276" w:lineRule="auto"/>
        <w:jc w:val="both"/>
        <w:rPr>
          <w:rFonts w:eastAsia="Times New Roman" w:cs="Arial"/>
          <w:kern w:val="0"/>
          <w:lang w:eastAsia="en-GB"/>
          <w14:ligatures w14:val="none"/>
        </w:rPr>
      </w:pPr>
      <w:r w:rsidRPr="00A243B4">
        <w:rPr>
          <w:rFonts w:eastAsia="Times New Roman" w:cs="Arial"/>
          <w:b/>
          <w:bCs/>
          <w:kern w:val="0"/>
          <w:lang w:eastAsia="en-GB"/>
          <w14:ligatures w14:val="none"/>
        </w:rPr>
        <w:t>Unique vulnerabilities of those living in rural and other isolated communities</w:t>
      </w:r>
    </w:p>
    <w:p w14:paraId="50E0AF10" w14:textId="77777777" w:rsidR="00A243B4" w:rsidRPr="00A243B4" w:rsidRDefault="00A243B4" w:rsidP="009A58D8">
      <w:pPr>
        <w:pStyle w:val="Heading3"/>
        <w:rPr>
          <w:lang w:eastAsia="en-GB"/>
        </w:rPr>
      </w:pPr>
      <w:r w:rsidRPr="00A243B4">
        <w:rPr>
          <w:lang w:eastAsia="en-GB"/>
        </w:rPr>
        <w:t>The key issues raised by local victim and survivors included:</w:t>
      </w:r>
    </w:p>
    <w:p w14:paraId="56A8D8A5" w14:textId="77777777" w:rsidR="00A243B4" w:rsidRPr="00A243B4" w:rsidRDefault="00A243B4" w:rsidP="00C57D7C">
      <w:pPr>
        <w:numPr>
          <w:ilvl w:val="0"/>
          <w:numId w:val="33"/>
        </w:numPr>
        <w:spacing w:before="0" w:after="120" w:line="276" w:lineRule="auto"/>
        <w:jc w:val="both"/>
        <w:rPr>
          <w:rFonts w:eastAsia="Times New Roman" w:cs="Arial"/>
          <w:kern w:val="0"/>
          <w:lang w:eastAsia="en-GB"/>
          <w14:ligatures w14:val="none"/>
        </w:rPr>
      </w:pPr>
      <w:r w:rsidRPr="00A243B4">
        <w:rPr>
          <w:rFonts w:eastAsia="Times New Roman" w:cs="Arial"/>
          <w:b/>
          <w:bCs/>
          <w:kern w:val="0"/>
          <w:shd w:val="clear" w:color="auto" w:fill="FFFFFF"/>
          <w:lang w:eastAsia="en-GB"/>
          <w14:ligatures w14:val="none"/>
        </w:rPr>
        <w:t>Importance of using non-judgemental language and questions</w:t>
      </w:r>
      <w:r w:rsidRPr="00A243B4">
        <w:rPr>
          <w:rFonts w:eastAsia="Times New Roman" w:cs="Arial"/>
          <w:kern w:val="0"/>
          <w:shd w:val="clear" w:color="auto" w:fill="FFFFFF"/>
          <w:lang w:eastAsia="en-GB"/>
          <w14:ligatures w14:val="none"/>
        </w:rPr>
        <w:t>; examples provided of judgemental language included when victims were asked “why did/didn’t you…” as this infers blame on their part, as well as demonstrating a lack of understanding of abuse and trauma responses. Similarly, we were told that asking someone to tell their “story” suggests that the experience they are recounting could be made-up</w:t>
      </w:r>
    </w:p>
    <w:p w14:paraId="268C17FF" w14:textId="77777777" w:rsidR="00A243B4" w:rsidRPr="00A243B4" w:rsidRDefault="00A243B4" w:rsidP="00C57D7C">
      <w:pPr>
        <w:numPr>
          <w:ilvl w:val="0"/>
          <w:numId w:val="33"/>
        </w:numPr>
        <w:spacing w:before="0" w:after="120" w:line="276" w:lineRule="auto"/>
        <w:jc w:val="both"/>
        <w:rPr>
          <w:rFonts w:eastAsia="Times New Roman" w:cs="Arial"/>
          <w:kern w:val="0"/>
          <w:lang w:eastAsia="en-GB"/>
          <w14:ligatures w14:val="none"/>
        </w:rPr>
      </w:pPr>
      <w:r w:rsidRPr="00A243B4">
        <w:rPr>
          <w:rFonts w:eastAsia="Times New Roman" w:cs="Arial"/>
          <w:b/>
          <w:bCs/>
          <w:kern w:val="0"/>
          <w:shd w:val="clear" w:color="auto" w:fill="FFFFFF"/>
          <w:lang w:eastAsia="en-GB"/>
          <w14:ligatures w14:val="none"/>
        </w:rPr>
        <w:t>More training on VAWG</w:t>
      </w:r>
      <w:r w:rsidRPr="00A243B4">
        <w:rPr>
          <w:rFonts w:eastAsia="Times New Roman" w:cs="Arial"/>
          <w:kern w:val="0"/>
          <w:shd w:val="clear" w:color="auto" w:fill="FFFFFF"/>
          <w:lang w:eastAsia="en-GB"/>
          <w14:ligatures w14:val="none"/>
        </w:rPr>
        <w:t xml:space="preserve"> is needed across a wider range of professions to be able to spot the signs and to know how to respond better, particularly in shifting the onus from the women to the perpetrator to make changes in their lives. This is particularly important as women can often feel retraumatised by an inappropriate response from a professional which may result in women disengaging from support</w:t>
      </w:r>
    </w:p>
    <w:p w14:paraId="6781543F" w14:textId="77777777" w:rsidR="00A243B4" w:rsidRPr="00A243B4" w:rsidRDefault="00A243B4" w:rsidP="009A58D8">
      <w:pPr>
        <w:pStyle w:val="Heading3"/>
        <w:rPr>
          <w:b/>
          <w:bCs/>
          <w:lang w:eastAsia="en-GB"/>
        </w:rPr>
      </w:pPr>
      <w:r w:rsidRPr="00A243B4">
        <w:rPr>
          <w:lang w:eastAsia="en-GB"/>
        </w:rPr>
        <w:lastRenderedPageBreak/>
        <w:t>In 2025, the YNYCA published a survey to gather views on violence and community safety issues in York and North Yorkshire, which included a section on Violence Against Women and Girls. On how to address VAWG, responses included:</w:t>
      </w:r>
    </w:p>
    <w:p w14:paraId="6789E115" w14:textId="77777777" w:rsidR="00A243B4" w:rsidRPr="00A243B4" w:rsidRDefault="00A243B4" w:rsidP="00C57D7C">
      <w:pPr>
        <w:numPr>
          <w:ilvl w:val="0"/>
          <w:numId w:val="37"/>
        </w:numPr>
        <w:spacing w:before="0" w:after="120" w:line="276" w:lineRule="auto"/>
        <w:jc w:val="both"/>
        <w:rPr>
          <w:rFonts w:eastAsia="Times New Roman" w:cs="Arial"/>
          <w:b/>
          <w:bCs/>
          <w:kern w:val="0"/>
          <w:lang w:eastAsia="en-GB"/>
          <w14:ligatures w14:val="none"/>
        </w:rPr>
      </w:pPr>
      <w:r w:rsidRPr="00A243B4">
        <w:rPr>
          <w:rFonts w:eastAsia="Times New Roman" w:cs="Arial"/>
          <w:kern w:val="0"/>
          <w:lang w:eastAsia="en-GB"/>
          <w14:ligatures w14:val="none"/>
        </w:rPr>
        <w:t>More safe spaces</w:t>
      </w:r>
    </w:p>
    <w:p w14:paraId="2F8CC78F" w14:textId="77777777" w:rsidR="00A243B4" w:rsidRPr="00A243B4" w:rsidRDefault="00A243B4" w:rsidP="00C57D7C">
      <w:pPr>
        <w:numPr>
          <w:ilvl w:val="0"/>
          <w:numId w:val="37"/>
        </w:numPr>
        <w:spacing w:before="0" w:after="120" w:line="276" w:lineRule="auto"/>
        <w:jc w:val="both"/>
        <w:rPr>
          <w:rFonts w:eastAsia="Times New Roman" w:cs="Arial"/>
          <w:b/>
          <w:bCs/>
          <w:kern w:val="0"/>
          <w:lang w:eastAsia="en-GB"/>
          <w14:ligatures w14:val="none"/>
        </w:rPr>
      </w:pPr>
      <w:r w:rsidRPr="00A243B4">
        <w:rPr>
          <w:rFonts w:eastAsia="Times New Roman" w:cs="Arial"/>
          <w:kern w:val="0"/>
          <w:lang w:eastAsia="en-GB"/>
          <w14:ligatures w14:val="none"/>
        </w:rPr>
        <w:t>Additional and ongoing funding into domestic abuse services</w:t>
      </w:r>
    </w:p>
    <w:p w14:paraId="46D08620" w14:textId="77777777" w:rsidR="00A243B4" w:rsidRPr="00A243B4" w:rsidRDefault="00A243B4" w:rsidP="00C57D7C">
      <w:pPr>
        <w:numPr>
          <w:ilvl w:val="0"/>
          <w:numId w:val="37"/>
        </w:numPr>
        <w:spacing w:before="0" w:after="120" w:line="276" w:lineRule="auto"/>
        <w:jc w:val="both"/>
        <w:rPr>
          <w:rFonts w:eastAsia="Times New Roman" w:cs="Arial"/>
          <w:b/>
          <w:bCs/>
          <w:kern w:val="0"/>
          <w:lang w:eastAsia="en-GB"/>
          <w14:ligatures w14:val="none"/>
        </w:rPr>
      </w:pPr>
      <w:r w:rsidRPr="00A243B4">
        <w:rPr>
          <w:rFonts w:eastAsia="Times New Roman" w:cs="Arial"/>
          <w:kern w:val="0"/>
          <w:lang w:eastAsia="en-GB"/>
          <w14:ligatures w14:val="none"/>
        </w:rPr>
        <w:t>Early intervention, prevention and education for young people</w:t>
      </w:r>
    </w:p>
    <w:p w14:paraId="48B656E9" w14:textId="77777777" w:rsidR="00A243B4" w:rsidRPr="00A243B4" w:rsidRDefault="00A243B4" w:rsidP="00C57D7C">
      <w:pPr>
        <w:numPr>
          <w:ilvl w:val="0"/>
          <w:numId w:val="37"/>
        </w:numPr>
        <w:spacing w:before="0" w:after="120" w:line="276" w:lineRule="auto"/>
        <w:jc w:val="both"/>
        <w:rPr>
          <w:rFonts w:eastAsia="Times New Roman" w:cs="Arial"/>
          <w:b/>
          <w:bCs/>
          <w:kern w:val="0"/>
          <w:lang w:eastAsia="en-GB"/>
          <w14:ligatures w14:val="none"/>
        </w:rPr>
      </w:pPr>
      <w:r w:rsidRPr="00A243B4">
        <w:rPr>
          <w:rFonts w:eastAsia="Times New Roman" w:cs="Arial"/>
          <w:kern w:val="0"/>
          <w:lang w:eastAsia="en-GB"/>
          <w14:ligatures w14:val="none"/>
        </w:rPr>
        <w:t>Focus on healthy relationships and educate about toxic relationships</w:t>
      </w:r>
    </w:p>
    <w:p w14:paraId="163107F5" w14:textId="77777777" w:rsidR="00A243B4" w:rsidRPr="00A243B4" w:rsidRDefault="00A243B4" w:rsidP="00E53ACC">
      <w:pPr>
        <w:pStyle w:val="Heading2"/>
      </w:pPr>
      <w:r w:rsidRPr="00A243B4">
        <w:t>North Yorkshire Victims’ Voice</w:t>
      </w:r>
    </w:p>
    <w:p w14:paraId="720AF746" w14:textId="77777777" w:rsidR="00A243B4" w:rsidRPr="009A58D8" w:rsidRDefault="00A243B4" w:rsidP="00C57D7C">
      <w:pPr>
        <w:pStyle w:val="Heading3"/>
        <w:numPr>
          <w:ilvl w:val="2"/>
          <w:numId w:val="41"/>
        </w:numPr>
        <w:rPr>
          <w:b/>
          <w:bCs/>
          <w:lang w:eastAsia="en-GB"/>
        </w:rPr>
      </w:pPr>
      <w:r w:rsidRPr="00A243B4">
        <w:rPr>
          <w:lang w:eastAsia="en-GB"/>
        </w:rPr>
        <w:t xml:space="preserve">Many of the women who access support via this proposed service may be victims of crimes such as domestic and/or sexual abuse and exploitation. Whilst they should always be signposted to the most relevant service such as the </w:t>
      </w:r>
      <w:hyperlink r:id="rId19" w:anchor="Community-based_Support_for_Victims_and_Survivors_of_Domestic_Abuse_IDAS_1418861" w:history="1">
        <w:r w:rsidRPr="009A58D8">
          <w:rPr>
            <w:color w:val="0000FF"/>
            <w:u w:val="single"/>
            <w:lang w:eastAsia="en-GB"/>
          </w:rPr>
          <w:t>Community-based support service for victims and survivors of Domestic Abuse</w:t>
        </w:r>
      </w:hyperlink>
      <w:r w:rsidRPr="00A243B4">
        <w:rPr>
          <w:lang w:eastAsia="en-GB"/>
        </w:rPr>
        <w:t xml:space="preserve"> and the </w:t>
      </w:r>
      <w:hyperlink r:id="rId20" w:anchor="Independent_Sexual_Violence_Adviser_ISVA_Service_IDAS_247712_and_the_Halo_Project_8211_33000" w:history="1">
        <w:r w:rsidRPr="009A58D8">
          <w:rPr>
            <w:color w:val="0000FF"/>
            <w:u w:val="single"/>
            <w:lang w:eastAsia="en-GB"/>
          </w:rPr>
          <w:t>Independent Sexual Violence Advisor (ISVA) service</w:t>
        </w:r>
      </w:hyperlink>
      <w:r w:rsidRPr="00A243B4">
        <w:rPr>
          <w:lang w:eastAsia="en-GB"/>
        </w:rPr>
        <w:t>, the proposed service must be equipped to support women who have been victims of a crime.</w:t>
      </w:r>
    </w:p>
    <w:p w14:paraId="29BD3E41" w14:textId="77777777" w:rsidR="00A243B4" w:rsidRPr="00A243B4" w:rsidRDefault="00A243B4" w:rsidP="009A58D8">
      <w:pPr>
        <w:pStyle w:val="Heading3"/>
        <w:rPr>
          <w:rFonts w:cs="Calibri"/>
          <w:lang w:eastAsia="en-GB"/>
        </w:rPr>
      </w:pPr>
      <w:r w:rsidRPr="00A243B4">
        <w:rPr>
          <w:rFonts w:cs="Calibri"/>
          <w:lang w:eastAsia="en-GB"/>
        </w:rPr>
        <w:t xml:space="preserve">In 2023, Victim Support, on behalf of the OPFCC undertook a piece of research: </w:t>
      </w:r>
      <w:hyperlink r:id="rId21" w:history="1">
        <w:r w:rsidRPr="00A243B4">
          <w:rPr>
            <w:rFonts w:cs="Calibri"/>
            <w:color w:val="0000FF"/>
            <w:u w:val="single"/>
            <w:lang w:eastAsia="en-GB"/>
          </w:rPr>
          <w:t>North Yorkshire Victims’ Voice</w:t>
        </w:r>
      </w:hyperlink>
      <w:r w:rsidRPr="00A243B4">
        <w:rPr>
          <w:rFonts w:cs="Calibri"/>
          <w:lang w:eastAsia="en-GB"/>
        </w:rPr>
        <w:t xml:space="preserve">. The research focused on the needs of victims and survivors, their experience of accessing support services, good practice, and gaps in service provision in York and North Yorkshire. </w:t>
      </w:r>
    </w:p>
    <w:p w14:paraId="5C0A06F9" w14:textId="77777777" w:rsidR="00A243B4" w:rsidRPr="00A243B4" w:rsidRDefault="00A243B4" w:rsidP="009A58D8">
      <w:pPr>
        <w:pStyle w:val="Heading3"/>
        <w:rPr>
          <w:lang w:eastAsia="en-GB"/>
        </w:rPr>
      </w:pPr>
      <w:r w:rsidRPr="00A243B4">
        <w:rPr>
          <w:lang w:eastAsia="en-GB"/>
        </w:rPr>
        <w:t xml:space="preserve">A pertinent finding from the research was that the needs of victims change over time so regular needs assessments should be conducted to identify any changes of the victim’s needs. </w:t>
      </w:r>
    </w:p>
    <w:p w14:paraId="07BA639D" w14:textId="77777777" w:rsidR="00A243B4" w:rsidRPr="00A243B4" w:rsidRDefault="00A243B4" w:rsidP="009A58D8">
      <w:pPr>
        <w:pStyle w:val="Heading3"/>
        <w:rPr>
          <w:lang w:eastAsia="en-GB"/>
        </w:rPr>
      </w:pPr>
      <w:r w:rsidRPr="00A243B4">
        <w:rPr>
          <w:lang w:eastAsia="en-GB"/>
        </w:rPr>
        <w:t>The research identified a variety of circumstances which might act as a barrier to accessing support services and suggested that:</w:t>
      </w:r>
    </w:p>
    <w:p w14:paraId="148C39C2" w14:textId="77777777" w:rsidR="00A243B4" w:rsidRPr="00A243B4" w:rsidRDefault="00A243B4" w:rsidP="00C57D7C">
      <w:pPr>
        <w:numPr>
          <w:ilvl w:val="0"/>
          <w:numId w:val="34"/>
        </w:numPr>
        <w:spacing w:before="0" w:after="120" w:line="276" w:lineRule="auto"/>
        <w:jc w:val="both"/>
        <w:rPr>
          <w:rFonts w:eastAsia="Times New Roman" w:cs="Arial"/>
          <w:kern w:val="0"/>
          <w:lang w:eastAsia="en-GB"/>
          <w14:ligatures w14:val="none"/>
        </w:rPr>
      </w:pPr>
      <w:r w:rsidRPr="00A243B4">
        <w:rPr>
          <w:rFonts w:eastAsia="Times New Roman" w:cs="Arial"/>
          <w:kern w:val="0"/>
          <w:lang w:eastAsia="en-GB"/>
          <w14:ligatures w14:val="none"/>
        </w:rPr>
        <w:t>The visibility of victim support services should be increased, and awareness raised of how to access support quickly and at the time of need</w:t>
      </w:r>
    </w:p>
    <w:p w14:paraId="62907209" w14:textId="77777777" w:rsidR="00A243B4" w:rsidRPr="00A243B4" w:rsidRDefault="00A243B4" w:rsidP="00C57D7C">
      <w:pPr>
        <w:numPr>
          <w:ilvl w:val="0"/>
          <w:numId w:val="34"/>
        </w:numPr>
        <w:spacing w:before="0" w:after="120" w:line="276" w:lineRule="auto"/>
        <w:jc w:val="both"/>
        <w:rPr>
          <w:rFonts w:eastAsia="Times New Roman" w:cs="Arial"/>
          <w:kern w:val="0"/>
          <w:lang w:eastAsia="en-GB"/>
          <w14:ligatures w14:val="none"/>
        </w:rPr>
      </w:pPr>
      <w:r w:rsidRPr="00A243B4">
        <w:rPr>
          <w:rFonts w:eastAsia="Times New Roman" w:cs="Arial"/>
          <w:kern w:val="0"/>
          <w:lang w:eastAsia="en-GB"/>
          <w14:ligatures w14:val="none"/>
        </w:rPr>
        <w:t>Knowledge of accessing the routes into services should be increased</w:t>
      </w:r>
    </w:p>
    <w:p w14:paraId="5A73A3B3" w14:textId="77777777" w:rsidR="00A243B4" w:rsidRPr="00A243B4" w:rsidRDefault="00A243B4" w:rsidP="00C57D7C">
      <w:pPr>
        <w:numPr>
          <w:ilvl w:val="0"/>
          <w:numId w:val="34"/>
        </w:numPr>
        <w:spacing w:before="0" w:after="120" w:line="276" w:lineRule="auto"/>
        <w:jc w:val="both"/>
        <w:rPr>
          <w:rFonts w:eastAsia="Times New Roman" w:cs="Arial"/>
          <w:kern w:val="0"/>
          <w:lang w:eastAsia="en-GB"/>
          <w14:ligatures w14:val="none"/>
        </w:rPr>
      </w:pPr>
      <w:r w:rsidRPr="00A243B4">
        <w:rPr>
          <w:rFonts w:eastAsia="Times New Roman" w:cs="Arial"/>
          <w:kern w:val="0"/>
          <w:lang w:eastAsia="en-GB"/>
          <w14:ligatures w14:val="none"/>
        </w:rPr>
        <w:t>Services should be accessible to victims who would benefit from language or communication support</w:t>
      </w:r>
    </w:p>
    <w:p w14:paraId="215C0177" w14:textId="77777777" w:rsidR="00A243B4" w:rsidRPr="00A243B4" w:rsidRDefault="00A243B4" w:rsidP="00C57D7C">
      <w:pPr>
        <w:numPr>
          <w:ilvl w:val="0"/>
          <w:numId w:val="34"/>
        </w:numPr>
        <w:spacing w:before="0" w:after="120" w:line="276" w:lineRule="auto"/>
        <w:jc w:val="both"/>
        <w:rPr>
          <w:rFonts w:eastAsia="Times New Roman" w:cs="Arial"/>
          <w:kern w:val="0"/>
          <w:lang w:eastAsia="en-GB"/>
          <w14:ligatures w14:val="none"/>
        </w:rPr>
      </w:pPr>
      <w:r w:rsidRPr="00A243B4">
        <w:rPr>
          <w:rFonts w:eastAsia="Times New Roman" w:cs="Arial"/>
          <w:kern w:val="0"/>
          <w:lang w:eastAsia="en-GB"/>
          <w14:ligatures w14:val="none"/>
        </w:rPr>
        <w:t>Flexible, out-of-hours provision should be considered in certain circumstances</w:t>
      </w:r>
    </w:p>
    <w:p w14:paraId="61B0FA3C" w14:textId="77777777" w:rsidR="00A243B4" w:rsidRPr="00A243B4" w:rsidRDefault="00A243B4" w:rsidP="00C57D7C">
      <w:pPr>
        <w:numPr>
          <w:ilvl w:val="0"/>
          <w:numId w:val="34"/>
        </w:numPr>
        <w:spacing w:before="0" w:after="120" w:line="276" w:lineRule="auto"/>
        <w:jc w:val="both"/>
        <w:rPr>
          <w:rFonts w:eastAsia="Times New Roman" w:cs="Arial"/>
          <w:kern w:val="0"/>
          <w:lang w:eastAsia="en-GB"/>
          <w14:ligatures w14:val="none"/>
        </w:rPr>
      </w:pPr>
      <w:r w:rsidRPr="00A243B4">
        <w:rPr>
          <w:rFonts w:eastAsia="Times New Roman" w:cs="Arial"/>
          <w:kern w:val="0"/>
          <w:lang w:eastAsia="en-GB"/>
          <w14:ligatures w14:val="none"/>
        </w:rPr>
        <w:t>Support should be offered through a variety of methods, including face-to-face, telephone or virtually (question)</w:t>
      </w:r>
    </w:p>
    <w:p w14:paraId="5D7CBEFD" w14:textId="77777777" w:rsidR="00A243B4" w:rsidRPr="00A243B4" w:rsidRDefault="00A243B4" w:rsidP="00E53ACC">
      <w:pPr>
        <w:pStyle w:val="Heading2"/>
      </w:pPr>
      <w:r w:rsidRPr="00A243B4">
        <w:t xml:space="preserve">Women in the Criminal Justice System </w:t>
      </w:r>
    </w:p>
    <w:p w14:paraId="15B7DF08" w14:textId="77777777" w:rsidR="00A243B4" w:rsidRPr="009A58D8" w:rsidRDefault="00A243B4" w:rsidP="00C57D7C">
      <w:pPr>
        <w:pStyle w:val="Heading3"/>
        <w:numPr>
          <w:ilvl w:val="2"/>
          <w:numId w:val="42"/>
        </w:numPr>
        <w:rPr>
          <w:b/>
          <w:bCs/>
          <w:lang w:eastAsia="en-GB"/>
        </w:rPr>
      </w:pPr>
      <w:r w:rsidRPr="00A243B4">
        <w:rPr>
          <w:lang w:eastAsia="en-GB"/>
        </w:rPr>
        <w:t>The service will also support women who may be perpetrators of crime, or who are at risk of entering the CJS. The Ministry of Justice (MoJ)</w:t>
      </w:r>
      <w:r w:rsidRPr="00A243B4">
        <w:rPr>
          <w:vertAlign w:val="superscript"/>
          <w:lang w:eastAsia="en-GB"/>
        </w:rPr>
        <w:footnoteReference w:id="4"/>
      </w:r>
      <w:r w:rsidRPr="00A243B4">
        <w:rPr>
          <w:lang w:eastAsia="en-GB"/>
        </w:rPr>
        <w:t xml:space="preserve"> state that whilst women are a minority in the CJS, those in contact often have complex needs that criminal justice agencies cannot tackle alone. The MoJ reports that:</w:t>
      </w:r>
    </w:p>
    <w:p w14:paraId="49F3F7B1" w14:textId="77777777" w:rsidR="00A243B4" w:rsidRPr="00A243B4" w:rsidRDefault="00A243B4" w:rsidP="00C57D7C">
      <w:pPr>
        <w:numPr>
          <w:ilvl w:val="0"/>
          <w:numId w:val="35"/>
        </w:numPr>
        <w:spacing w:before="0" w:after="120" w:line="276" w:lineRule="auto"/>
        <w:jc w:val="both"/>
        <w:rPr>
          <w:rFonts w:eastAsia="Times New Roman" w:cs="Arial"/>
          <w:b/>
          <w:bCs/>
          <w:kern w:val="0"/>
          <w:szCs w:val="24"/>
          <w:lang w:eastAsia="en-GB"/>
          <w14:ligatures w14:val="none"/>
        </w:rPr>
      </w:pPr>
      <w:r w:rsidRPr="00A243B4">
        <w:rPr>
          <w:rFonts w:eastAsia="Times New Roman" w:cs="Arial"/>
          <w:kern w:val="0"/>
          <w:szCs w:val="24"/>
          <w:lang w:eastAsia="en-GB"/>
          <w14:ligatures w14:val="none"/>
        </w:rPr>
        <w:t>Almost 60% of women in custody and supervised in the community have experienced domestic abuse</w:t>
      </w:r>
    </w:p>
    <w:p w14:paraId="2F722D93" w14:textId="77777777" w:rsidR="00A243B4" w:rsidRPr="00A243B4" w:rsidRDefault="00A243B4" w:rsidP="00C57D7C">
      <w:pPr>
        <w:numPr>
          <w:ilvl w:val="0"/>
          <w:numId w:val="35"/>
        </w:numPr>
        <w:spacing w:before="0" w:after="120" w:line="276" w:lineRule="auto"/>
        <w:jc w:val="both"/>
        <w:rPr>
          <w:rFonts w:eastAsia="Times New Roman" w:cs="Arial"/>
          <w:b/>
          <w:bCs/>
          <w:kern w:val="0"/>
          <w:szCs w:val="24"/>
          <w:lang w:eastAsia="en-GB"/>
          <w14:ligatures w14:val="none"/>
        </w:rPr>
      </w:pPr>
      <w:r w:rsidRPr="00A243B4">
        <w:rPr>
          <w:rFonts w:eastAsia="Times New Roman" w:cs="Arial"/>
          <w:kern w:val="0"/>
          <w:szCs w:val="24"/>
          <w:lang w:eastAsia="en-GB"/>
          <w14:ligatures w14:val="none"/>
        </w:rPr>
        <w:t>An estimated 24-31% of women cautioned or convicted have dependent children</w:t>
      </w:r>
    </w:p>
    <w:p w14:paraId="4A4B25EF" w14:textId="77777777" w:rsidR="00A243B4" w:rsidRPr="00A243B4" w:rsidRDefault="00A243B4" w:rsidP="00C57D7C">
      <w:pPr>
        <w:numPr>
          <w:ilvl w:val="0"/>
          <w:numId w:val="35"/>
        </w:numPr>
        <w:spacing w:before="0" w:after="120" w:line="276" w:lineRule="auto"/>
        <w:jc w:val="both"/>
        <w:rPr>
          <w:rFonts w:eastAsia="Times New Roman" w:cs="Arial"/>
          <w:b/>
          <w:bCs/>
          <w:kern w:val="0"/>
          <w:szCs w:val="24"/>
          <w:lang w:eastAsia="en-GB"/>
          <w14:ligatures w14:val="none"/>
        </w:rPr>
      </w:pPr>
      <w:r w:rsidRPr="00A243B4">
        <w:rPr>
          <w:rFonts w:eastAsia="Times New Roman" w:cs="Arial"/>
          <w:kern w:val="0"/>
          <w:szCs w:val="24"/>
          <w:lang w:eastAsia="en-GB"/>
          <w14:ligatures w14:val="none"/>
        </w:rPr>
        <w:lastRenderedPageBreak/>
        <w:t>Almost half of female prisoners said they committed their offence to support the drug use of someone else</w:t>
      </w:r>
    </w:p>
    <w:p w14:paraId="3FFB313E" w14:textId="77777777" w:rsidR="00A243B4" w:rsidRPr="00A243B4" w:rsidRDefault="00A243B4" w:rsidP="009A58D8">
      <w:pPr>
        <w:pStyle w:val="Heading3"/>
        <w:rPr>
          <w:b/>
          <w:bCs/>
          <w:lang w:eastAsia="en-GB"/>
        </w:rPr>
      </w:pPr>
      <w:r w:rsidRPr="00A243B4">
        <w:rPr>
          <w:lang w:eastAsia="en-GB"/>
        </w:rPr>
        <w:t>The Female Offender Strategy Delivery Plan (2022-25)</w:t>
      </w:r>
      <w:r w:rsidRPr="00A243B4">
        <w:rPr>
          <w:vertAlign w:val="superscript"/>
          <w:lang w:eastAsia="en-GB"/>
        </w:rPr>
        <w:footnoteReference w:id="5"/>
      </w:r>
      <w:r w:rsidRPr="00A243B4">
        <w:rPr>
          <w:lang w:eastAsia="en-GB"/>
        </w:rPr>
        <w:t xml:space="preserve"> states that women in the CJS are amongst the most vulnerable in society, with many having experienced trauma, domestic abuse, metal health and drug/alcohol problems. An approach that takes account of the different needs and backgrounds of women is most effective in addressing women’s offending behaviour. </w:t>
      </w:r>
    </w:p>
    <w:p w14:paraId="229CF530" w14:textId="77777777" w:rsidR="00A243B4" w:rsidRPr="00A243B4" w:rsidRDefault="00A243B4" w:rsidP="009A58D8">
      <w:pPr>
        <w:pStyle w:val="Heading3"/>
        <w:rPr>
          <w:b/>
          <w:bCs/>
          <w:lang w:eastAsia="en-GB"/>
        </w:rPr>
      </w:pPr>
      <w:r w:rsidRPr="00A243B4">
        <w:rPr>
          <w:lang w:eastAsia="en-GB"/>
        </w:rPr>
        <w:t>The Delivery Plan sets out key priorities that the proposed service will align to, and the provider(s) will be required to focus on these, particularly during Phase two. The priorities include:</w:t>
      </w:r>
    </w:p>
    <w:p w14:paraId="7A76E7DC" w14:textId="77777777" w:rsidR="00A243B4" w:rsidRPr="009A58D8" w:rsidRDefault="00A243B4" w:rsidP="00C57D7C">
      <w:pPr>
        <w:pStyle w:val="ListParagraph"/>
        <w:numPr>
          <w:ilvl w:val="0"/>
          <w:numId w:val="43"/>
        </w:numPr>
        <w:spacing w:before="0" w:after="120" w:line="276" w:lineRule="auto"/>
        <w:jc w:val="both"/>
        <w:rPr>
          <w:rFonts w:eastAsia="Times New Roman" w:cs="Arial"/>
          <w:b/>
          <w:bCs/>
          <w:kern w:val="0"/>
          <w:szCs w:val="24"/>
          <w:lang w:eastAsia="en-GB"/>
          <w14:ligatures w14:val="none"/>
        </w:rPr>
      </w:pPr>
      <w:r w:rsidRPr="009A58D8">
        <w:rPr>
          <w:rFonts w:eastAsia="Times New Roman" w:cs="Arial"/>
          <w:b/>
          <w:bCs/>
          <w:kern w:val="0"/>
          <w:szCs w:val="24"/>
          <w:lang w:eastAsia="en-GB"/>
          <w14:ligatures w14:val="none"/>
        </w:rPr>
        <w:t xml:space="preserve">Fewer women entering the justice system and reoffending – </w:t>
      </w:r>
      <w:r w:rsidRPr="009A58D8">
        <w:rPr>
          <w:rFonts w:eastAsia="Times New Roman" w:cs="Arial"/>
          <w:kern w:val="0"/>
          <w:szCs w:val="24"/>
          <w:lang w:eastAsia="en-GB"/>
          <w14:ligatures w14:val="none"/>
        </w:rPr>
        <w:t>women often commit low-level, non-violent offences for which they may receive a short custodial sentence. Women are over-represented for non-police prosecution offences such as TV Licence evasion, truancy of a child and benefit fraud. In some cases, their offending could have been prevented through earlier intervention including diversion from the CJS and into support. Failure to intervene earlier can result in convictions, which in turn can lead to loss of accommodation and employment, disruption to families and children and the beginning of a cycle of offending.</w:t>
      </w:r>
      <w:r w:rsidRPr="009A58D8">
        <w:rPr>
          <w:rFonts w:eastAsia="Times New Roman" w:cs="Arial"/>
          <w:b/>
          <w:bCs/>
          <w:kern w:val="0"/>
          <w:szCs w:val="24"/>
          <w:lang w:eastAsia="en-GB"/>
          <w14:ligatures w14:val="none"/>
        </w:rPr>
        <w:t xml:space="preserve"> </w:t>
      </w:r>
    </w:p>
    <w:p w14:paraId="3EA9D051" w14:textId="77777777" w:rsidR="00A243B4" w:rsidRPr="009A58D8" w:rsidRDefault="00A243B4" w:rsidP="00C57D7C">
      <w:pPr>
        <w:pStyle w:val="ListParagraph"/>
        <w:numPr>
          <w:ilvl w:val="0"/>
          <w:numId w:val="43"/>
        </w:numPr>
        <w:spacing w:before="0" w:after="120" w:line="276" w:lineRule="auto"/>
        <w:jc w:val="both"/>
        <w:rPr>
          <w:rFonts w:eastAsia="Times New Roman" w:cs="Arial"/>
          <w:b/>
          <w:bCs/>
          <w:kern w:val="0"/>
          <w:szCs w:val="24"/>
          <w:lang w:eastAsia="en-GB"/>
          <w14:ligatures w14:val="none"/>
        </w:rPr>
      </w:pPr>
      <w:r w:rsidRPr="009A58D8">
        <w:rPr>
          <w:rFonts w:eastAsia="Times New Roman" w:cs="Arial"/>
          <w:b/>
          <w:bCs/>
          <w:kern w:val="0"/>
          <w:szCs w:val="24"/>
          <w:lang w:eastAsia="en-GB"/>
          <w14:ligatures w14:val="none"/>
        </w:rPr>
        <w:t xml:space="preserve">Fewer women serving short custodial sentences with a greater proportion managed successfully in the community – </w:t>
      </w:r>
      <w:r w:rsidRPr="009A58D8">
        <w:rPr>
          <w:rFonts w:eastAsia="Times New Roman" w:cs="Arial"/>
          <w:kern w:val="0"/>
          <w:szCs w:val="24"/>
          <w:lang w:eastAsia="en-GB"/>
          <w14:ligatures w14:val="none"/>
        </w:rPr>
        <w:t xml:space="preserve">if the offence is proportionate, more women should be managed in the community and be supported to prevent reoffending, which will allow women to remain closer to their families and support networks. An effective community sentence means that women will be less likely to lose their accommodation and employment, limiting disruption to their family and children. To achieve this, courts need more information about the issues faced by women and the availability and suitability of different sentencing options. </w:t>
      </w:r>
    </w:p>
    <w:p w14:paraId="13A994C3" w14:textId="77777777" w:rsidR="00A243B4" w:rsidRPr="009A58D8" w:rsidRDefault="00A243B4" w:rsidP="00C57D7C">
      <w:pPr>
        <w:pStyle w:val="ListParagraph"/>
        <w:numPr>
          <w:ilvl w:val="0"/>
          <w:numId w:val="43"/>
        </w:numPr>
        <w:spacing w:before="0" w:after="120" w:line="276" w:lineRule="auto"/>
        <w:jc w:val="both"/>
        <w:rPr>
          <w:rFonts w:eastAsia="Times New Roman" w:cs="Arial"/>
          <w:b/>
          <w:bCs/>
          <w:kern w:val="0"/>
          <w:szCs w:val="24"/>
          <w:lang w:eastAsia="en-GB"/>
          <w14:ligatures w14:val="none"/>
        </w:rPr>
      </w:pPr>
      <w:r w:rsidRPr="009A58D8">
        <w:rPr>
          <w:rFonts w:eastAsia="Times New Roman" w:cs="Arial"/>
          <w:b/>
          <w:bCs/>
          <w:kern w:val="0"/>
          <w:szCs w:val="24"/>
          <w:lang w:eastAsia="en-GB"/>
          <w14:ligatures w14:val="none"/>
        </w:rPr>
        <w:t xml:space="preserve">Protecting the public through better outcomes for women on release – </w:t>
      </w:r>
      <w:r w:rsidRPr="009A58D8">
        <w:rPr>
          <w:rFonts w:eastAsia="Times New Roman" w:cs="Arial"/>
          <w:kern w:val="0"/>
          <w:szCs w:val="24"/>
          <w:lang w:eastAsia="en-GB"/>
          <w14:ligatures w14:val="none"/>
        </w:rPr>
        <w:t xml:space="preserve">reducing reoffending through effective resettlement should focus on protective factors such as a home, a job and access to substance use treatment. Women require tailored support that considers their distinct needs such as being more likely to be the main carer for a child or have multiple unmet needs such as a history of abuse or mental health problems which may prevent them from fully engaging with support. Continuity of healthcare is also vital for women who are more likely to have served a short sentence, reducing the time available to engage with support in custody. </w:t>
      </w:r>
    </w:p>
    <w:p w14:paraId="6BBCAE71" w14:textId="77777777" w:rsidR="00A243B4" w:rsidRPr="00A243B4" w:rsidRDefault="00A243B4" w:rsidP="009A58D8">
      <w:pPr>
        <w:pStyle w:val="Heading3"/>
        <w:rPr>
          <w:b/>
          <w:bCs/>
          <w:szCs w:val="24"/>
          <w:lang w:eastAsia="en-GB"/>
        </w:rPr>
      </w:pPr>
      <w:r w:rsidRPr="00A243B4">
        <w:rPr>
          <w:szCs w:val="24"/>
          <w:lang w:eastAsia="en-GB"/>
        </w:rPr>
        <w:t xml:space="preserve">Evidence contained with the </w:t>
      </w:r>
      <w:hyperlink r:id="rId22" w:history="1">
        <w:r w:rsidRPr="00A243B4">
          <w:rPr>
            <w:color w:val="0000FF"/>
            <w:szCs w:val="24"/>
            <w:u w:val="single"/>
            <w:lang w:eastAsia="en-GB"/>
          </w:rPr>
          <w:t>Independent Sentencing Review</w:t>
        </w:r>
      </w:hyperlink>
      <w:r w:rsidRPr="00A243B4">
        <w:rPr>
          <w:szCs w:val="24"/>
          <w:lang w:eastAsia="en-GB"/>
        </w:rPr>
        <w:t xml:space="preserve"> overwhelmingly suggests that rehabilitative support in the community is, in many cases, the most effective way to reduce reoffending. This is because underlying causes of offending through specialised and tailored interventions can be addressed. </w:t>
      </w:r>
    </w:p>
    <w:p w14:paraId="407D0855" w14:textId="77777777" w:rsidR="00A243B4" w:rsidRPr="009A58D8" w:rsidRDefault="00A243B4" w:rsidP="009A58D8">
      <w:pPr>
        <w:pStyle w:val="Heading3"/>
        <w:rPr>
          <w:rFonts w:cs="Arial"/>
          <w:b/>
          <w:bCs/>
          <w:lang w:eastAsia="en-GB"/>
        </w:rPr>
      </w:pPr>
      <w:r w:rsidRPr="00A243B4">
        <w:rPr>
          <w:lang w:eastAsia="en-GB"/>
        </w:rPr>
        <w:t xml:space="preserve">The provider will be required to work with the YNYCA and the Probation service to increase the confidence of sentencers to explore community sentencing for women so that fewer women, especially those on short-term sentences can be managed successfully and safely in the community whilst in receipt of support of the service. The MoJ state that the impact on women in custody and </w:t>
      </w:r>
      <w:r w:rsidRPr="009A58D8">
        <w:rPr>
          <w:rFonts w:cs="Arial"/>
          <w:lang w:eastAsia="en-GB"/>
        </w:rPr>
        <w:t>their families can be significant:</w:t>
      </w:r>
    </w:p>
    <w:p w14:paraId="17B57248" w14:textId="77777777" w:rsidR="00A243B4" w:rsidRPr="00A243B4" w:rsidRDefault="00A243B4" w:rsidP="00C57D7C">
      <w:pPr>
        <w:numPr>
          <w:ilvl w:val="0"/>
          <w:numId w:val="36"/>
        </w:numPr>
        <w:spacing w:before="0" w:after="120" w:line="276" w:lineRule="auto"/>
        <w:jc w:val="both"/>
        <w:rPr>
          <w:rFonts w:eastAsia="Times New Roman" w:cs="Arial"/>
          <w:kern w:val="0"/>
          <w:szCs w:val="24"/>
          <w:lang w:eastAsia="en-GB"/>
          <w14:ligatures w14:val="none"/>
        </w:rPr>
      </w:pPr>
      <w:r w:rsidRPr="00A243B4">
        <w:rPr>
          <w:rFonts w:eastAsia="Times New Roman" w:cs="Arial"/>
          <w:kern w:val="0"/>
          <w:szCs w:val="24"/>
          <w:lang w:eastAsia="en-GB"/>
          <w14:ligatures w14:val="none"/>
        </w:rPr>
        <w:t>The rate of self-harm incidents in prison is nearly 5 times as high for women than men</w:t>
      </w:r>
    </w:p>
    <w:p w14:paraId="26EDFFFC" w14:textId="77777777" w:rsidR="00A243B4" w:rsidRPr="00A243B4" w:rsidRDefault="00A243B4" w:rsidP="00C57D7C">
      <w:pPr>
        <w:numPr>
          <w:ilvl w:val="0"/>
          <w:numId w:val="36"/>
        </w:numPr>
        <w:spacing w:before="0" w:after="120" w:line="276" w:lineRule="auto"/>
        <w:jc w:val="both"/>
        <w:rPr>
          <w:rFonts w:eastAsia="Times New Roman" w:cs="Arial"/>
          <w:kern w:val="0"/>
          <w:szCs w:val="24"/>
          <w:lang w:eastAsia="en-GB"/>
          <w14:ligatures w14:val="none"/>
        </w:rPr>
      </w:pPr>
      <w:r w:rsidRPr="00A243B4">
        <w:rPr>
          <w:rFonts w:eastAsia="Times New Roman" w:cs="Arial"/>
          <w:kern w:val="0"/>
          <w:szCs w:val="24"/>
          <w:lang w:eastAsia="en-GB"/>
          <w14:ligatures w14:val="none"/>
        </w:rPr>
        <w:lastRenderedPageBreak/>
        <w:t>A high proportion of women are held in prisons more than 100 miles from home</w:t>
      </w:r>
    </w:p>
    <w:p w14:paraId="1382397F" w14:textId="77777777" w:rsidR="00A243B4" w:rsidRPr="00A243B4" w:rsidRDefault="00A243B4" w:rsidP="00C57D7C">
      <w:pPr>
        <w:numPr>
          <w:ilvl w:val="0"/>
          <w:numId w:val="36"/>
        </w:numPr>
        <w:spacing w:before="0" w:after="120" w:line="276" w:lineRule="auto"/>
        <w:jc w:val="both"/>
        <w:rPr>
          <w:rFonts w:eastAsia="Times New Roman" w:cs="Arial"/>
          <w:kern w:val="0"/>
          <w:szCs w:val="24"/>
          <w:lang w:eastAsia="en-GB"/>
          <w14:ligatures w14:val="none"/>
        </w:rPr>
      </w:pPr>
      <w:r w:rsidRPr="00A243B4">
        <w:rPr>
          <w:rFonts w:eastAsia="Times New Roman" w:cs="Arial"/>
          <w:kern w:val="0"/>
          <w:szCs w:val="24"/>
          <w:lang w:eastAsia="en-GB"/>
          <w14:ligatures w14:val="none"/>
        </w:rPr>
        <w:t xml:space="preserve">Only around 1 in 4 imprisoned mothers reported that their children lived with their partner during imprisonment, compared with around 9 in 10 imprisoned fathers.  </w:t>
      </w:r>
    </w:p>
    <w:p w14:paraId="05E4738A" w14:textId="127ECD51" w:rsidR="00A243B4" w:rsidRPr="00E53ACC" w:rsidRDefault="00A243B4" w:rsidP="00E53ACC">
      <w:pPr>
        <w:pStyle w:val="Heading2"/>
      </w:pPr>
      <w:r w:rsidRPr="00E53ACC">
        <w:lastRenderedPageBreak/>
        <w:t xml:space="preserve">Substance use issues are often to linked to women who offend. The Centre for Justice Innovation published a </w:t>
      </w:r>
      <w:r w:rsidR="00830EFF" w:rsidRPr="00E53ACC">
        <w:t xml:space="preserve">report: </w:t>
      </w:r>
      <w:r w:rsidRPr="00E53ACC">
        <w:t>Exploring women’s experience of drug and alcohol treatment in the West Midlands’</w:t>
      </w:r>
      <w:r w:rsidRPr="00E53ACC">
        <w:rPr>
          <w:vertAlign w:val="superscript"/>
        </w:rPr>
        <w:footnoteReference w:id="6"/>
      </w:r>
      <w:r w:rsidRPr="00E53ACC">
        <w:t xml:space="preserve">. The research found that to have the best chance of achieving recovery, women need treatment in safe appropriate spaces which respond to the complex inter-relationships between substance use issues and trauma, abuse, poverty and homelessness. Women need holistic treatment that addresses the physical, mental, emotional and financial harms that they have experienced. </w:t>
      </w:r>
    </w:p>
    <w:p w14:paraId="283123AA" w14:textId="77777777" w:rsidR="00A243B4" w:rsidRPr="00E53ACC" w:rsidRDefault="00A243B4" w:rsidP="00E53ACC">
      <w:pPr>
        <w:pStyle w:val="Heading2"/>
      </w:pPr>
      <w:r w:rsidRPr="00E53ACC">
        <w:t>The research found that:</w:t>
      </w:r>
    </w:p>
    <w:p w14:paraId="003202E2" w14:textId="77777777" w:rsidR="00A243B4" w:rsidRPr="009A58D8" w:rsidRDefault="00A243B4" w:rsidP="00C57D7C">
      <w:pPr>
        <w:pStyle w:val="Heading3"/>
        <w:numPr>
          <w:ilvl w:val="2"/>
          <w:numId w:val="44"/>
        </w:numPr>
        <w:rPr>
          <w:b/>
          <w:bCs/>
          <w:lang w:eastAsia="en-GB"/>
        </w:rPr>
      </w:pPr>
      <w:r w:rsidRPr="00A243B4">
        <w:rPr>
          <w:lang w:eastAsia="en-GB"/>
        </w:rPr>
        <w:t xml:space="preserve">When services were delivered in mixed-gender spaces, women often found these to be chaotic or unsafe environments. Some women reported being targeted by predatory male service-users whilst accessing treatment. </w:t>
      </w:r>
    </w:p>
    <w:p w14:paraId="19A54E94" w14:textId="77777777" w:rsidR="00A243B4" w:rsidRPr="00A243B4" w:rsidRDefault="00A243B4" w:rsidP="009A58D8">
      <w:pPr>
        <w:pStyle w:val="Heading3"/>
        <w:rPr>
          <w:b/>
          <w:bCs/>
          <w:lang w:eastAsia="en-GB"/>
        </w:rPr>
      </w:pPr>
      <w:r w:rsidRPr="00A243B4">
        <w:rPr>
          <w:lang w:eastAsia="en-GB"/>
        </w:rPr>
        <w:t>Women were not always offered the option of a same-gender keyworker.</w:t>
      </w:r>
    </w:p>
    <w:p w14:paraId="75C43943" w14:textId="77777777" w:rsidR="00A243B4" w:rsidRPr="00A243B4" w:rsidRDefault="00A243B4" w:rsidP="009A58D8">
      <w:pPr>
        <w:pStyle w:val="Heading3"/>
        <w:rPr>
          <w:b/>
          <w:bCs/>
          <w:lang w:eastAsia="en-GB"/>
        </w:rPr>
      </w:pPr>
      <w:r w:rsidRPr="00A243B4">
        <w:rPr>
          <w:lang w:eastAsia="en-GB"/>
        </w:rPr>
        <w:t>The way that some services were set up meant that it was difficult to manage treatment alongside childcare responsibilities</w:t>
      </w:r>
    </w:p>
    <w:p w14:paraId="03D5C213" w14:textId="77777777" w:rsidR="00A243B4" w:rsidRPr="00A243B4" w:rsidRDefault="00A243B4" w:rsidP="009A58D8">
      <w:pPr>
        <w:pStyle w:val="Heading3"/>
        <w:rPr>
          <w:lang w:eastAsia="en-GB"/>
        </w:rPr>
      </w:pPr>
      <w:r w:rsidRPr="00A243B4">
        <w:rPr>
          <w:lang w:eastAsia="en-GB"/>
        </w:rPr>
        <w:t>Systems were often not flexible enough to respond to the needs of women with significant trauma – women might not have sufficient time to build up trusting relationships with keyworkers or may be excluded from services due to missed appointments or behaviour interpreted as ‘disruptive’.</w:t>
      </w:r>
    </w:p>
    <w:p w14:paraId="3A830CD3" w14:textId="77777777" w:rsidR="00A243B4" w:rsidRPr="00A243B4" w:rsidRDefault="00A243B4" w:rsidP="009A58D8">
      <w:pPr>
        <w:pStyle w:val="Heading3"/>
        <w:rPr>
          <w:lang w:eastAsia="en-GB"/>
        </w:rPr>
      </w:pPr>
      <w:r w:rsidRPr="00A243B4">
        <w:rPr>
          <w:lang w:eastAsia="en-GB"/>
        </w:rPr>
        <w:t>Treatment services often worked in silos rather than in partnership with other important services such as Women’s Centres – services should explore the potential to deliver treatment from Women’s Centres.</w:t>
      </w:r>
    </w:p>
    <w:p w14:paraId="508FBDCA" w14:textId="77777777" w:rsidR="00A243B4" w:rsidRPr="00E53ACC" w:rsidRDefault="00A243B4" w:rsidP="00E53ACC">
      <w:pPr>
        <w:pStyle w:val="Heading2"/>
      </w:pPr>
      <w:r w:rsidRPr="00E53ACC">
        <w:t>The Voices of Women</w:t>
      </w:r>
    </w:p>
    <w:p w14:paraId="3570BEA2" w14:textId="77777777" w:rsidR="00A243B4" w:rsidRPr="00A243B4" w:rsidRDefault="00A243B4" w:rsidP="00C57D7C">
      <w:pPr>
        <w:pStyle w:val="Heading3"/>
        <w:numPr>
          <w:ilvl w:val="2"/>
          <w:numId w:val="45"/>
        </w:numPr>
        <w:rPr>
          <w:lang w:eastAsia="en-GB"/>
        </w:rPr>
      </w:pPr>
      <w:r w:rsidRPr="00A243B4">
        <w:rPr>
          <w:lang w:eastAsia="en-GB"/>
        </w:rPr>
        <w:t xml:space="preserve">Revolving Doors Agency have previously undertaken research with those with lived experience of the CJS in York and North Yorkshire. </w:t>
      </w:r>
    </w:p>
    <w:p w14:paraId="414E14EF" w14:textId="77777777" w:rsidR="00A243B4" w:rsidRPr="00A243B4" w:rsidRDefault="00A243B4" w:rsidP="007B79C4">
      <w:pPr>
        <w:pStyle w:val="Heading3"/>
        <w:rPr>
          <w:lang w:eastAsia="en-GB"/>
        </w:rPr>
      </w:pPr>
      <w:r w:rsidRPr="00A243B4">
        <w:rPr>
          <w:lang w:eastAsia="en-GB"/>
        </w:rPr>
        <w:t xml:space="preserve">The research found that the experience of trauma can negatively impact a person’s engagement in services. People may repeatedly miss or cancel appointments, show poor adherence to support plans or have anxiety about seeking support. These behaviours are difficult because they can have a negative impact on the support organisations’ metrics for success (such as engagement and referrals) and subsequently individuals with the highest level of need can go under-served and labelled as “non-compliant”, “frequent flyers” or “complex”. This reinforces the fact that services should be flexible in their offer of engagement and support, and that individual cases shouldn’t be automatically closed if their engagement rates aren’t high or if they appear mistrustful of a service. </w:t>
      </w:r>
    </w:p>
    <w:p w14:paraId="6B85E49F" w14:textId="77777777" w:rsidR="00A243B4" w:rsidRPr="00A243B4" w:rsidRDefault="00A243B4" w:rsidP="007B79C4">
      <w:pPr>
        <w:pStyle w:val="Heading3"/>
        <w:rPr>
          <w:lang w:eastAsia="en-GB"/>
        </w:rPr>
      </w:pPr>
      <w:r w:rsidRPr="00A243B4">
        <w:rPr>
          <w:lang w:eastAsia="en-GB"/>
        </w:rPr>
        <w:t>Respondents from the study frequently raised concerns about the difficulties in getting referrals to services, particularly prior to reaching a crisis point. Their accounts highlighted a clear need for earlier identification of issues, especially prior to arrest, or by the latest at the point of arrest. They reported that they had limited and sometimes incorrect information relating to both what was available and how they should go about accessing services. Their concerns included lack of awareness for community-based support, locations of offices or drop-in centres.</w:t>
      </w:r>
    </w:p>
    <w:p w14:paraId="0AA092C3" w14:textId="77777777" w:rsidR="00A243B4" w:rsidRPr="00A243B4" w:rsidRDefault="00A243B4" w:rsidP="007B79C4">
      <w:pPr>
        <w:pStyle w:val="Heading3"/>
        <w:rPr>
          <w:lang w:eastAsia="en-GB"/>
        </w:rPr>
      </w:pPr>
      <w:r w:rsidRPr="00A243B4">
        <w:rPr>
          <w:lang w:eastAsia="en-GB"/>
        </w:rPr>
        <w:t>Respondents from the local study felt that services, including criminal justice agencies, too often focused on asking “what did you do?” rather than “what has happened to you?”. They felt that the police and courts did not ask them what was happening in their lives leading up to the offence, and what support they needed then to be able to address the main causes of their offending. They felt their needs, stemming from a childhood of abuse and neglect, followed by mental ill-health, homelessness and substance use were often dismissed by agencies.</w:t>
      </w:r>
    </w:p>
    <w:p w14:paraId="4D2B0500" w14:textId="77777777" w:rsidR="00A243B4" w:rsidRPr="00A243B4" w:rsidRDefault="00A243B4" w:rsidP="007B79C4">
      <w:pPr>
        <w:pStyle w:val="Heading3"/>
        <w:rPr>
          <w:lang w:eastAsia="en-GB"/>
        </w:rPr>
      </w:pPr>
      <w:r w:rsidRPr="00A243B4">
        <w:rPr>
          <w:lang w:eastAsia="en-GB"/>
        </w:rPr>
        <w:lastRenderedPageBreak/>
        <w:t xml:space="preserve">A woman with a history of problematic substance use stated: “I understand there are consequences and people appreciate that if you do bad things then there is a price, but not everything is black and white. It is as if somehow that is going to stop just by being condemned, no it instead perpetuates a cycle. When you are labelled as a bad person, given more punishment, that’s more reason to pick up a drink. Somewhere in that cycle, they need to see how for some people there </w:t>
      </w:r>
      <w:proofErr w:type="gramStart"/>
      <w:r w:rsidRPr="00A243B4">
        <w:rPr>
          <w:lang w:eastAsia="en-GB"/>
        </w:rPr>
        <w:t>isn’t any chance</w:t>
      </w:r>
      <w:proofErr w:type="gramEnd"/>
      <w:r w:rsidRPr="00A243B4">
        <w:rPr>
          <w:lang w:eastAsia="en-GB"/>
        </w:rPr>
        <w:t xml:space="preserve"> of changing”</w:t>
      </w:r>
    </w:p>
    <w:p w14:paraId="066BB9C1" w14:textId="77777777" w:rsidR="00A243B4" w:rsidRPr="00E53ACC" w:rsidRDefault="00A243B4" w:rsidP="00E53ACC">
      <w:pPr>
        <w:pStyle w:val="Heading2"/>
      </w:pPr>
      <w:r w:rsidRPr="00E53ACC">
        <w:t>Women with lived experience of receiving probation support were involved in a scoping report in South Yorkshire</w:t>
      </w:r>
      <w:r w:rsidRPr="00E53ACC">
        <w:rPr>
          <w:vertAlign w:val="superscript"/>
        </w:rPr>
        <w:footnoteReference w:id="7"/>
      </w:r>
      <w:r w:rsidRPr="00E53ACC">
        <w:t xml:space="preserve"> and were asked what they would like to see in a service that was designed specifically for women, and which services should be </w:t>
      </w:r>
      <w:proofErr w:type="spellStart"/>
      <w:r w:rsidRPr="00E53ACC">
        <w:t>prioritised</w:t>
      </w:r>
      <w:proofErr w:type="spellEnd"/>
      <w:r w:rsidRPr="00E53ACC">
        <w:t xml:space="preserve"> for women. </w:t>
      </w:r>
    </w:p>
    <w:p w14:paraId="6DC1D20A" w14:textId="77777777" w:rsidR="00A243B4" w:rsidRPr="00A243B4" w:rsidRDefault="00A243B4" w:rsidP="00C57D7C">
      <w:pPr>
        <w:pStyle w:val="Heading3"/>
        <w:numPr>
          <w:ilvl w:val="2"/>
          <w:numId w:val="46"/>
        </w:numPr>
        <w:rPr>
          <w:lang w:eastAsia="en-GB"/>
        </w:rPr>
      </w:pPr>
      <w:r w:rsidRPr="00A243B4">
        <w:rPr>
          <w:lang w:eastAsia="en-GB"/>
        </w:rPr>
        <w:t xml:space="preserve">The gaps in mental health provision was a dominant theme in the report, particularly the challenges of trying to navigate the system whilst unwell. Also, the women felt that mental health provision only became available once an offence had been committed and they were sentenced, and once their probation supervision was complete, this support would be revoked. </w:t>
      </w:r>
    </w:p>
    <w:p w14:paraId="3FA3BAED" w14:textId="77777777" w:rsidR="00A243B4" w:rsidRPr="00A243B4" w:rsidRDefault="00A243B4" w:rsidP="00974705">
      <w:pPr>
        <w:pStyle w:val="Heading3"/>
        <w:rPr>
          <w:lang w:eastAsia="en-GB"/>
        </w:rPr>
      </w:pPr>
      <w:r w:rsidRPr="00A243B4">
        <w:rPr>
          <w:lang w:eastAsia="en-GB"/>
        </w:rPr>
        <w:t xml:space="preserve">This ‘cliff edge’ of support ceasing caused anxieties for the women – by the time the women had built up trusting relationships and were ready to start exploring pathways such as education, employment and training, their time on the programme was coming to an end and the support was no longer available. The women did not feel able to start working with another agency as resharing their experiences was often traumatic. </w:t>
      </w:r>
    </w:p>
    <w:p w14:paraId="0746E227" w14:textId="77777777" w:rsidR="00A243B4" w:rsidRPr="00A243B4" w:rsidRDefault="00A243B4" w:rsidP="00974705">
      <w:pPr>
        <w:pStyle w:val="Heading3"/>
        <w:rPr>
          <w:lang w:eastAsia="en-GB"/>
        </w:rPr>
      </w:pPr>
      <w:r w:rsidRPr="00A243B4">
        <w:rPr>
          <w:lang w:eastAsia="en-GB"/>
        </w:rPr>
        <w:t xml:space="preserve">Accommodation was also raised as an issue by the women, particularly the use of temporary accommodation which men can also access. Women also prefer to be housed in their local areas so their children’s needs can be considered and so they are close to their support network. </w:t>
      </w:r>
    </w:p>
    <w:p w14:paraId="455EB3A8" w14:textId="77777777" w:rsidR="00A243B4" w:rsidRPr="00A243B4" w:rsidRDefault="00A243B4" w:rsidP="00974705">
      <w:pPr>
        <w:pStyle w:val="Heading3"/>
        <w:rPr>
          <w:lang w:eastAsia="en-GB"/>
        </w:rPr>
      </w:pPr>
      <w:r w:rsidRPr="00A243B4">
        <w:rPr>
          <w:lang w:eastAsia="en-GB"/>
        </w:rPr>
        <w:t xml:space="preserve">The women involved in the report expressed desires to train as peer mentors to provide support to other women. </w:t>
      </w:r>
    </w:p>
    <w:p w14:paraId="5D1F046E" w14:textId="77777777" w:rsidR="00A243B4" w:rsidRPr="00A243B4" w:rsidRDefault="00A243B4" w:rsidP="00974705">
      <w:pPr>
        <w:pStyle w:val="Heading3"/>
        <w:rPr>
          <w:lang w:eastAsia="en-GB"/>
        </w:rPr>
      </w:pPr>
      <w:r w:rsidRPr="00A243B4">
        <w:rPr>
          <w:lang w:eastAsia="en-GB"/>
        </w:rPr>
        <w:t xml:space="preserve">The women also noted that support prior to entering the CJS is beneficial and may have deterred them from offending in the first place. Whilst acknowledging that these services may be available, it is the navigation of the services that proves to be overwhelming, and having someone to advocate on their behalf would have been invaluable. </w:t>
      </w:r>
    </w:p>
    <w:p w14:paraId="09F9C5FB" w14:textId="77777777" w:rsidR="00A243B4" w:rsidRPr="00A243B4" w:rsidRDefault="00A243B4" w:rsidP="00E53ACC">
      <w:pPr>
        <w:pStyle w:val="Heading2"/>
      </w:pPr>
      <w:r w:rsidRPr="00A243B4">
        <w:t>Further consultation took place with women in HMP Askham Grange and HMP Newhall, focusing on accessing support in rural areas. The women highlighted a number of barriers, which included:</w:t>
      </w:r>
    </w:p>
    <w:p w14:paraId="4E2CF5BD" w14:textId="77777777" w:rsidR="00A243B4" w:rsidRPr="00A243B4" w:rsidRDefault="00A243B4" w:rsidP="00C57D7C">
      <w:pPr>
        <w:pStyle w:val="Heading3"/>
        <w:numPr>
          <w:ilvl w:val="2"/>
          <w:numId w:val="47"/>
        </w:numPr>
        <w:rPr>
          <w:lang w:eastAsia="en-GB"/>
        </w:rPr>
      </w:pPr>
      <w:r w:rsidRPr="00A243B4">
        <w:rPr>
          <w:lang w:eastAsia="en-GB"/>
        </w:rPr>
        <w:t>Travelling more than 30 minutes to access support due to limited public transport, and issues such as anxiety and agoraphobia.</w:t>
      </w:r>
    </w:p>
    <w:p w14:paraId="2DDC3F69" w14:textId="77777777" w:rsidR="00A243B4" w:rsidRPr="00A243B4" w:rsidRDefault="00A243B4" w:rsidP="00974705">
      <w:pPr>
        <w:pStyle w:val="Heading3"/>
        <w:rPr>
          <w:lang w:eastAsia="en-GB"/>
        </w:rPr>
      </w:pPr>
      <w:r w:rsidRPr="00A243B4">
        <w:rPr>
          <w:lang w:eastAsia="en-GB"/>
        </w:rPr>
        <w:t>Crowded spaces in larger towns and cities.</w:t>
      </w:r>
    </w:p>
    <w:p w14:paraId="75795A43" w14:textId="77777777" w:rsidR="00A243B4" w:rsidRPr="00A243B4" w:rsidRDefault="00A243B4" w:rsidP="00974705">
      <w:pPr>
        <w:pStyle w:val="Heading3"/>
        <w:rPr>
          <w:lang w:eastAsia="en-GB"/>
        </w:rPr>
      </w:pPr>
      <w:r w:rsidRPr="00A243B4">
        <w:rPr>
          <w:lang w:eastAsia="en-GB"/>
        </w:rPr>
        <w:t>Accessing mainstream services where drug dealers congregate</w:t>
      </w:r>
    </w:p>
    <w:p w14:paraId="4B88A23E" w14:textId="77777777" w:rsidR="00A243B4" w:rsidRPr="00A243B4" w:rsidRDefault="00A243B4" w:rsidP="00E53ACC">
      <w:pPr>
        <w:pStyle w:val="Heading2"/>
      </w:pPr>
      <w:r w:rsidRPr="00A243B4">
        <w:t xml:space="preserve">The women also highlighted the importance of joined up working so that women don’t have to repeat their experiences and a named worker who can make referrals between agencies, so the woman doesn’t have to do this. </w:t>
      </w:r>
    </w:p>
    <w:p w14:paraId="53C4FF8F" w14:textId="77777777" w:rsidR="00A243B4" w:rsidRPr="00A243B4" w:rsidRDefault="00A243B4" w:rsidP="00E53ACC">
      <w:pPr>
        <w:pStyle w:val="Heading2"/>
      </w:pPr>
      <w:r w:rsidRPr="00A243B4">
        <w:t>In 2025, the YNYCA provided funding for the Women’s Unlocked project, which involved a group of young women aged 16-24 developing a campaign aimed at improving reporting of VAWG incidents. This included designing an educational pack for professionals, detailing, through lived experience, the barriers young women face when reporting VAWG, and how professionals can work to reduce these. The recommendations from the educational pack included:</w:t>
      </w:r>
    </w:p>
    <w:p w14:paraId="478D0563" w14:textId="77777777" w:rsidR="00A243B4" w:rsidRPr="00A243B4" w:rsidRDefault="00A243B4" w:rsidP="00C57D7C">
      <w:pPr>
        <w:numPr>
          <w:ilvl w:val="0"/>
          <w:numId w:val="38"/>
        </w:numPr>
        <w:spacing w:before="0" w:after="240" w:line="276" w:lineRule="auto"/>
        <w:rPr>
          <w:rFonts w:eastAsia="Times New Roman" w:cs="Arial"/>
          <w:kern w:val="0"/>
          <w:lang w:eastAsia="en-GB"/>
          <w14:ligatures w14:val="none"/>
        </w:rPr>
      </w:pPr>
      <w:r w:rsidRPr="00A243B4">
        <w:rPr>
          <w:rFonts w:eastAsia="Times New Roman" w:cs="Arial"/>
          <w:b/>
          <w:bCs/>
          <w:kern w:val="0"/>
          <w:lang w:eastAsia="en-GB"/>
          <w14:ligatures w14:val="none"/>
        </w:rPr>
        <w:t xml:space="preserve">Communication – </w:t>
      </w:r>
      <w:r w:rsidRPr="00A243B4">
        <w:rPr>
          <w:rFonts w:eastAsia="Times New Roman" w:cs="Arial"/>
          <w:kern w:val="0"/>
          <w:lang w:eastAsia="en-GB"/>
          <w14:ligatures w14:val="none"/>
        </w:rPr>
        <w:t>it is essential that details of support services are shared with the victim in a timely fashion</w:t>
      </w:r>
    </w:p>
    <w:p w14:paraId="08148B26" w14:textId="77777777" w:rsidR="00A243B4" w:rsidRPr="00A243B4" w:rsidRDefault="00A243B4" w:rsidP="00C57D7C">
      <w:pPr>
        <w:numPr>
          <w:ilvl w:val="0"/>
          <w:numId w:val="38"/>
        </w:numPr>
        <w:spacing w:before="0" w:after="240" w:line="276" w:lineRule="auto"/>
        <w:rPr>
          <w:rFonts w:eastAsia="Times New Roman" w:cs="Arial"/>
          <w:kern w:val="0"/>
          <w:lang w:eastAsia="en-GB"/>
          <w14:ligatures w14:val="none"/>
        </w:rPr>
      </w:pPr>
      <w:r w:rsidRPr="00A243B4">
        <w:rPr>
          <w:rFonts w:eastAsia="Times New Roman" w:cs="Arial"/>
          <w:b/>
          <w:bCs/>
          <w:kern w:val="0"/>
          <w:lang w:eastAsia="en-GB"/>
          <w14:ligatures w14:val="none"/>
        </w:rPr>
        <w:lastRenderedPageBreak/>
        <w:t xml:space="preserve">Consideration </w:t>
      </w:r>
      <w:r w:rsidRPr="00A243B4">
        <w:rPr>
          <w:rFonts w:eastAsia="Times New Roman" w:cs="Arial"/>
          <w:kern w:val="0"/>
          <w:lang w:eastAsia="en-GB"/>
          <w14:ligatures w14:val="none"/>
        </w:rPr>
        <w:t>– when engaging with victims of VAWG, it is crucial to recognise that many may experience intense nervousness or anxiety when speaking out. The absence of a safe and trusted environment can further silence victims, especially when they do not feel comfortable with the individual they are speaking to – where possible, providing access to trained female professionals can significantly enhance a victim’s sense of safety and willingness to disclose sensitive information</w:t>
      </w:r>
    </w:p>
    <w:p w14:paraId="4D4FC2E6" w14:textId="77777777" w:rsidR="00E97866" w:rsidRDefault="00E97866">
      <w:pPr>
        <w:spacing w:before="0" w:line="259" w:lineRule="auto"/>
        <w:rPr>
          <w:rFonts w:asciiTheme="majorHAnsi" w:eastAsiaTheme="majorEastAsia" w:hAnsiTheme="majorHAnsi" w:cstheme="majorBidi"/>
          <w:color w:val="002060"/>
          <w:sz w:val="40"/>
          <w:szCs w:val="40"/>
        </w:rPr>
      </w:pPr>
      <w:r>
        <w:rPr>
          <w:color w:val="002060"/>
        </w:rPr>
        <w:br w:type="page"/>
      </w:r>
    </w:p>
    <w:p w14:paraId="5325409F" w14:textId="55FFDCCF" w:rsidR="00AD0E23" w:rsidRDefault="00AD0E23" w:rsidP="00063554">
      <w:pPr>
        <w:pStyle w:val="Heading1"/>
        <w:rPr>
          <w:color w:val="002060"/>
        </w:rPr>
      </w:pPr>
      <w:bookmarkStart w:id="7" w:name="_Toc215577709"/>
      <w:r>
        <w:rPr>
          <w:color w:val="002060"/>
        </w:rPr>
        <w:lastRenderedPageBreak/>
        <w:t>Types of Support Needs</w:t>
      </w:r>
      <w:bookmarkEnd w:id="7"/>
    </w:p>
    <w:p w14:paraId="21E1737D" w14:textId="77777777" w:rsidR="00D61D2D" w:rsidRPr="00D61D2D" w:rsidRDefault="00D61D2D" w:rsidP="00E53ACC">
      <w:pPr>
        <w:pStyle w:val="Heading2"/>
      </w:pPr>
      <w:r w:rsidRPr="00D61D2D">
        <w:t>There will be many types of support needs that women may present with who use the proposed service, including:</w:t>
      </w:r>
    </w:p>
    <w:p w14:paraId="61184DF0"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Substance Use</w:t>
      </w:r>
    </w:p>
    <w:p w14:paraId="7C72CD9F"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Mental Health</w:t>
      </w:r>
    </w:p>
    <w:p w14:paraId="5B473A01"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Offending behaviour</w:t>
      </w:r>
    </w:p>
    <w:p w14:paraId="56893245"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Sexual Exploitation including sex working</w:t>
      </w:r>
    </w:p>
    <w:p w14:paraId="685A6F35"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 xml:space="preserve">Criminal Exploitation </w:t>
      </w:r>
    </w:p>
    <w:p w14:paraId="706944E7"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Social Isolation</w:t>
      </w:r>
    </w:p>
    <w:p w14:paraId="11854D67"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 xml:space="preserve">Neurodiversity </w:t>
      </w:r>
    </w:p>
    <w:p w14:paraId="41F72915"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Homelessness</w:t>
      </w:r>
    </w:p>
    <w:p w14:paraId="41EFDB1A"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Economic Instability</w:t>
      </w:r>
    </w:p>
    <w:p w14:paraId="29B5516F"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Trauma</w:t>
      </w:r>
    </w:p>
    <w:p w14:paraId="2C01D2C3"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Victim of a crime</w:t>
      </w:r>
    </w:p>
    <w:p w14:paraId="5CFF4899"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History of abuse</w:t>
      </w:r>
    </w:p>
    <w:p w14:paraId="4890F38B"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Low self-esteem</w:t>
      </w:r>
    </w:p>
    <w:p w14:paraId="7BDBECCA"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Independent living skills</w:t>
      </w:r>
    </w:p>
    <w:p w14:paraId="3F1804A8"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Health and wellbeing</w:t>
      </w:r>
    </w:p>
    <w:p w14:paraId="177783DD"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Education, Training and Employment</w:t>
      </w:r>
    </w:p>
    <w:p w14:paraId="5F0A7F2A"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Hidden harms</w:t>
      </w:r>
    </w:p>
    <w:p w14:paraId="30BD4BD8" w14:textId="77777777" w:rsidR="00D61D2D" w:rsidRPr="00D61D2D" w:rsidRDefault="00D61D2D" w:rsidP="00C57D7C">
      <w:pPr>
        <w:numPr>
          <w:ilvl w:val="0"/>
          <w:numId w:val="48"/>
        </w:numPr>
        <w:spacing w:before="0" w:after="120" w:line="276" w:lineRule="auto"/>
        <w:jc w:val="both"/>
        <w:rPr>
          <w:rFonts w:eastAsia="Times New Roman" w:cs="Arial"/>
          <w:kern w:val="0"/>
          <w14:ligatures w14:val="none"/>
        </w:rPr>
      </w:pPr>
      <w:r w:rsidRPr="00D61D2D">
        <w:rPr>
          <w:rFonts w:eastAsia="Times New Roman" w:cs="Arial"/>
          <w:kern w:val="0"/>
          <w14:ligatures w14:val="none"/>
        </w:rPr>
        <w:t xml:space="preserve">Modern Slavery and Human Trafficking </w:t>
      </w:r>
    </w:p>
    <w:p w14:paraId="69137249" w14:textId="101E2EBE" w:rsidR="00D61D2D" w:rsidRPr="00D61D2D" w:rsidRDefault="00D61D2D" w:rsidP="00C57D7C">
      <w:pPr>
        <w:pStyle w:val="Heading3"/>
        <w:numPr>
          <w:ilvl w:val="2"/>
          <w:numId w:val="49"/>
        </w:numPr>
      </w:pPr>
      <w:r w:rsidRPr="00D61D2D">
        <w:t>This list is not intended to be exhaustive</w:t>
      </w:r>
      <w:r w:rsidRPr="00D61D2D">
        <w:rPr>
          <w:b/>
          <w:bCs/>
        </w:rPr>
        <w:t xml:space="preserve"> </w:t>
      </w:r>
      <w:r w:rsidRPr="00D61D2D">
        <w:t>and many of the support needs will intersect</w:t>
      </w:r>
      <w:r w:rsidR="00F52318">
        <w:t>.</w:t>
      </w:r>
    </w:p>
    <w:p w14:paraId="2A144C0A" w14:textId="77777777" w:rsidR="00D61D2D" w:rsidRPr="00D61D2D" w:rsidRDefault="00D61D2D" w:rsidP="00E53ACC">
      <w:pPr>
        <w:pStyle w:val="Heading2"/>
      </w:pPr>
      <w:r w:rsidRPr="00D61D2D">
        <w:t xml:space="preserve">Skilled frontline delivery staff will be required to effectively identify specific needs, intersectionality and those who may experience multiple </w:t>
      </w:r>
      <w:proofErr w:type="gramStart"/>
      <w:r w:rsidRPr="00D61D2D">
        <w:t>disadvantage</w:t>
      </w:r>
      <w:proofErr w:type="gramEnd"/>
      <w:r w:rsidRPr="00D61D2D">
        <w:t xml:space="preserve">. A strengths-based approach is required to encourage a sense of empowerment and improve the experience of women accessing the service. </w:t>
      </w:r>
    </w:p>
    <w:p w14:paraId="10956033" w14:textId="77777777" w:rsidR="00AD0E23" w:rsidRDefault="00AD0E23">
      <w:pPr>
        <w:spacing w:before="0" w:line="259" w:lineRule="auto"/>
        <w:rPr>
          <w:rFonts w:asciiTheme="majorHAnsi" w:eastAsiaTheme="majorEastAsia" w:hAnsiTheme="majorHAnsi" w:cstheme="majorBidi"/>
          <w:color w:val="002060"/>
          <w:sz w:val="40"/>
          <w:szCs w:val="40"/>
        </w:rPr>
      </w:pPr>
      <w:r>
        <w:rPr>
          <w:color w:val="002060"/>
        </w:rPr>
        <w:br w:type="page"/>
      </w:r>
    </w:p>
    <w:p w14:paraId="172B7A5E" w14:textId="08D533D3" w:rsidR="00D61D2D" w:rsidRDefault="00D61D2D" w:rsidP="00063554">
      <w:pPr>
        <w:pStyle w:val="Heading1"/>
        <w:rPr>
          <w:color w:val="002060"/>
        </w:rPr>
      </w:pPr>
      <w:bookmarkStart w:id="8" w:name="_Toc215577710"/>
      <w:r>
        <w:rPr>
          <w:color w:val="002060"/>
        </w:rPr>
        <w:lastRenderedPageBreak/>
        <w:t>Joint Working</w:t>
      </w:r>
      <w:bookmarkEnd w:id="8"/>
    </w:p>
    <w:p w14:paraId="268C079B" w14:textId="350906B8" w:rsidR="00AD214F" w:rsidRPr="00BF6B3F" w:rsidRDefault="00AD214F" w:rsidP="00E53ACC">
      <w:pPr>
        <w:pStyle w:val="Heading2"/>
      </w:pPr>
      <w:r w:rsidRPr="00BF6B3F">
        <w:t xml:space="preserve">The </w:t>
      </w:r>
      <w:r w:rsidRPr="00AD783C">
        <w:rPr>
          <w:lang w:eastAsia="en-US"/>
        </w:rPr>
        <w:t>Provider</w:t>
      </w:r>
      <w:r w:rsidRPr="00BF6B3F">
        <w:t xml:space="preserve"> will work closely with the </w:t>
      </w:r>
      <w:r w:rsidR="00F52318">
        <w:t>YNYCA</w:t>
      </w:r>
      <w:r w:rsidRPr="00BF6B3F">
        <w:t xml:space="preserve"> and other specialist service providers to continually improve effective referral processes</w:t>
      </w:r>
      <w:r>
        <w:t xml:space="preserve"> and service development.</w:t>
      </w:r>
    </w:p>
    <w:p w14:paraId="650C8F30" w14:textId="74CFF54B" w:rsidR="00AD214F" w:rsidRPr="00BF6B3F" w:rsidRDefault="00AD214F" w:rsidP="00E53ACC">
      <w:pPr>
        <w:pStyle w:val="Heading2"/>
      </w:pPr>
      <w:r w:rsidRPr="00BF6B3F">
        <w:t xml:space="preserve">The Provider will attend relevant multi-agency meetings, forums and other events as directed by the </w:t>
      </w:r>
      <w:r w:rsidR="00F52318">
        <w:t>YNYCA</w:t>
      </w:r>
      <w:r w:rsidRPr="00BF6B3F">
        <w:t>.</w:t>
      </w:r>
    </w:p>
    <w:p w14:paraId="2DDE0206" w14:textId="77777777" w:rsidR="00AD214F" w:rsidRPr="00BF6B3F" w:rsidRDefault="00AD214F" w:rsidP="00E53ACC">
      <w:pPr>
        <w:pStyle w:val="Heading2"/>
      </w:pPr>
      <w:r w:rsidRPr="00BF6B3F">
        <w:t xml:space="preserve">The Provider will be required to work closely with a range of other services and local partnerships, including other support providers. </w:t>
      </w:r>
      <w:r w:rsidRPr="005757FD">
        <w:rPr>
          <w:rFonts w:cstheme="minorHAnsi"/>
        </w:rPr>
        <w:t xml:space="preserve">The full list of </w:t>
      </w:r>
      <w:r>
        <w:rPr>
          <w:rFonts w:cstheme="minorHAnsi"/>
        </w:rPr>
        <w:t>YNYCA</w:t>
      </w:r>
      <w:r w:rsidRPr="005757FD">
        <w:rPr>
          <w:rFonts w:cstheme="minorHAnsi"/>
        </w:rPr>
        <w:t xml:space="preserve"> Commissioned Services can be found </w:t>
      </w:r>
      <w:hyperlink r:id="rId23" w:history="1">
        <w:r w:rsidRPr="005757FD">
          <w:rPr>
            <w:rStyle w:val="Hyperlink"/>
            <w:b/>
            <w:bCs/>
            <w:lang w:eastAsia="en-US"/>
          </w:rPr>
          <w:t>here</w:t>
        </w:r>
      </w:hyperlink>
      <w:r w:rsidRPr="005757FD">
        <w:rPr>
          <w:rFonts w:cstheme="minorHAnsi"/>
        </w:rPr>
        <w:t xml:space="preserve">. It is expected that the Provider will establish strong relationships with the following </w:t>
      </w:r>
      <w:r>
        <w:rPr>
          <w:rFonts w:cstheme="minorHAnsi"/>
        </w:rPr>
        <w:t>YNCA</w:t>
      </w:r>
      <w:r w:rsidRPr="005757FD">
        <w:rPr>
          <w:rFonts w:cstheme="minorHAnsi"/>
        </w:rPr>
        <w:t xml:space="preserve"> commissioned services in particular:</w:t>
      </w:r>
    </w:p>
    <w:p w14:paraId="39007500" w14:textId="77777777" w:rsidR="00AD214F" w:rsidRPr="00AD214F" w:rsidRDefault="00AD214F" w:rsidP="00C57D7C">
      <w:pPr>
        <w:pStyle w:val="Heading3"/>
        <w:numPr>
          <w:ilvl w:val="2"/>
          <w:numId w:val="50"/>
        </w:numPr>
        <w:rPr>
          <w:rFonts w:cstheme="minorHAnsi"/>
          <w:b/>
          <w:bCs/>
          <w:sz w:val="32"/>
          <w:szCs w:val="32"/>
        </w:rPr>
      </w:pPr>
      <w:hyperlink r:id="rId24" w:anchor="Community-based_Support_for_Victims_and_Survivors_of_Domestic_Abuse_IDAS_1418861" w:history="1">
        <w:r w:rsidRPr="00AD214F">
          <w:rPr>
            <w:rStyle w:val="Hyperlink"/>
            <w:rFonts w:cs="Arial"/>
            <w:b/>
            <w:bCs/>
          </w:rPr>
          <w:t>Domestic</w:t>
        </w:r>
      </w:hyperlink>
      <w:r>
        <w:t xml:space="preserve"> &amp;</w:t>
      </w:r>
      <w:hyperlink r:id="rId25" w:anchor="Independent_Sexual_Violence_Adviser_ISVA_Service_IDAS_247712_and_the_Halo_Project_8211_33000" w:history="1">
        <w:r w:rsidRPr="00AD214F">
          <w:rPr>
            <w:rStyle w:val="Hyperlink"/>
            <w:rFonts w:cs="Arial"/>
          </w:rPr>
          <w:t xml:space="preserve"> </w:t>
        </w:r>
        <w:r w:rsidRPr="00AD214F">
          <w:rPr>
            <w:rStyle w:val="Hyperlink"/>
            <w:rFonts w:cs="Arial"/>
            <w:b/>
            <w:bCs/>
          </w:rPr>
          <w:t>Sexual</w:t>
        </w:r>
      </w:hyperlink>
      <w:r>
        <w:t xml:space="preserve"> Abuse Support Services provided by IDAS</w:t>
      </w:r>
    </w:p>
    <w:p w14:paraId="61954C27" w14:textId="77777777" w:rsidR="00AD214F" w:rsidRPr="00BF6B3F" w:rsidRDefault="00AD214F" w:rsidP="00AD214F">
      <w:pPr>
        <w:pStyle w:val="Heading3"/>
      </w:pPr>
      <w:hyperlink r:id="rId26" w:anchor="Adult_Sexual_Assault_Referral_Centre_SARC_Mountain_Healthcare_8211_167000" w:history="1">
        <w:r w:rsidRPr="001919D1">
          <w:rPr>
            <w:rStyle w:val="Hyperlink"/>
            <w:rFonts w:cstheme="minorHAnsi"/>
            <w:b/>
            <w:bCs/>
          </w:rPr>
          <w:t>Adult Sexual Assault Referral Centre</w:t>
        </w:r>
      </w:hyperlink>
      <w:r w:rsidRPr="001919D1">
        <w:rPr>
          <w:rFonts w:cstheme="minorHAnsi"/>
        </w:rPr>
        <w:t xml:space="preserve"> (“SARC”) </w:t>
      </w:r>
      <w:r>
        <w:rPr>
          <w:rFonts w:cstheme="minorHAnsi"/>
        </w:rPr>
        <w:t>provided by Mountain Healthcare</w:t>
      </w:r>
    </w:p>
    <w:p w14:paraId="37975520" w14:textId="77777777" w:rsidR="00AD214F" w:rsidRPr="00BF6B3F" w:rsidRDefault="00AD214F" w:rsidP="00AD214F">
      <w:pPr>
        <w:pStyle w:val="Heading3"/>
      </w:pPr>
      <w:hyperlink r:id="rId27" w:anchor="Counselling_service_Survive_and_Community_Counselling_243500" w:history="1">
        <w:r w:rsidRPr="000668FD">
          <w:rPr>
            <w:rStyle w:val="Hyperlink"/>
            <w:rFonts w:cstheme="minorHAnsi"/>
            <w:b/>
            <w:bCs/>
          </w:rPr>
          <w:t>Counselling Services</w:t>
        </w:r>
      </w:hyperlink>
      <w:r w:rsidRPr="002B6DF3">
        <w:rPr>
          <w:rFonts w:cstheme="minorHAnsi"/>
        </w:rPr>
        <w:t xml:space="preserve"> provided by Survive and Community Counselling</w:t>
      </w:r>
    </w:p>
    <w:p w14:paraId="43A9881D" w14:textId="77777777" w:rsidR="00AD214F" w:rsidRPr="002261CA" w:rsidRDefault="00AD214F" w:rsidP="00AD214F">
      <w:pPr>
        <w:pStyle w:val="Heading3"/>
      </w:pPr>
      <w:hyperlink r:id="rId28" w:anchor="Exploitation_Missing_Support_Service_North_Yorkshire_SOS_200000" w:history="1">
        <w:r w:rsidRPr="002B6DF3">
          <w:rPr>
            <w:rStyle w:val="Hyperlink"/>
            <w:rFonts w:cstheme="minorHAnsi"/>
            <w:b/>
            <w:bCs/>
          </w:rPr>
          <w:t>North Yorkshire SOS+</w:t>
        </w:r>
      </w:hyperlink>
      <w:r w:rsidRPr="002B6DF3">
        <w:rPr>
          <w:rFonts w:cstheme="minorHAnsi"/>
        </w:rPr>
        <w:t xml:space="preserve"> Exploitation &amp; Missing Service provided by St. Giles Trust</w:t>
      </w:r>
    </w:p>
    <w:p w14:paraId="59D7920E" w14:textId="77777777" w:rsidR="00AD214F" w:rsidRPr="002261CA" w:rsidRDefault="00AD214F" w:rsidP="00AD214F">
      <w:pPr>
        <w:pStyle w:val="Heading3"/>
      </w:pPr>
      <w:hyperlink r:id="rId29" w:anchor="Restorative_Justice_service_Restorative_Solutions_187650" w:history="1">
        <w:r w:rsidRPr="007044EC">
          <w:rPr>
            <w:rStyle w:val="Hyperlink"/>
            <w:rFonts w:cstheme="minorHAnsi"/>
            <w:b/>
            <w:bCs/>
          </w:rPr>
          <w:t>Restorative Justice Service</w:t>
        </w:r>
      </w:hyperlink>
      <w:r>
        <w:rPr>
          <w:rFonts w:cstheme="minorHAnsi"/>
        </w:rPr>
        <w:t xml:space="preserve"> provided by Restorative Solutions</w:t>
      </w:r>
    </w:p>
    <w:p w14:paraId="3E0B14E7" w14:textId="77777777" w:rsidR="00AD214F" w:rsidRPr="00FB3C11" w:rsidRDefault="00AD214F" w:rsidP="00AD214F">
      <w:pPr>
        <w:pStyle w:val="Heading3"/>
      </w:pPr>
      <w:hyperlink r:id="rId30" w:anchor="Independent_Victim_Adviser_IVA_service_Victim_Support_230000" w:history="1">
        <w:r w:rsidRPr="007044EC">
          <w:rPr>
            <w:rStyle w:val="Hyperlink"/>
            <w:rFonts w:cs="Arial"/>
            <w:b/>
            <w:bCs/>
          </w:rPr>
          <w:t>Independent Victim Advisor</w:t>
        </w:r>
      </w:hyperlink>
      <w:r>
        <w:t xml:space="preserve"> (IVA) Service provided by Victim Support</w:t>
      </w:r>
    </w:p>
    <w:p w14:paraId="4A2DB863" w14:textId="77777777" w:rsidR="00AD214F" w:rsidRPr="00FB3C11" w:rsidRDefault="00AD214F" w:rsidP="00E53ACC">
      <w:pPr>
        <w:pStyle w:val="Heading2"/>
      </w:pPr>
      <w:r>
        <w:t>Other services which the provider will be expected to form strong links with include:</w:t>
      </w:r>
    </w:p>
    <w:p w14:paraId="570778F8" w14:textId="77777777" w:rsidR="00AD214F" w:rsidRPr="009F6D9E" w:rsidRDefault="00AD214F" w:rsidP="00C57D7C">
      <w:pPr>
        <w:pStyle w:val="Heading3"/>
        <w:numPr>
          <w:ilvl w:val="2"/>
          <w:numId w:val="51"/>
        </w:numPr>
      </w:pPr>
      <w:hyperlink r:id="rId31" w:anchor="North_Yorkshire_Substance_Use_service_North_Yorkshire_Horizons_adult_service_159000_Waythrough_young_persons_service_6000" w:history="1">
        <w:r w:rsidRPr="00AD214F">
          <w:rPr>
            <w:rStyle w:val="Hyperlink"/>
            <w:rFonts w:cstheme="minorHAnsi"/>
            <w:b/>
            <w:bCs/>
          </w:rPr>
          <w:t>North Yorkshire Substance Use</w:t>
        </w:r>
      </w:hyperlink>
      <w:r w:rsidRPr="00AD214F">
        <w:rPr>
          <w:rFonts w:cstheme="minorHAnsi"/>
        </w:rPr>
        <w:t xml:space="preserve"> service provided by </w:t>
      </w:r>
      <w:proofErr w:type="spellStart"/>
      <w:r w:rsidRPr="00AD214F">
        <w:rPr>
          <w:rFonts w:cstheme="minorHAnsi"/>
        </w:rPr>
        <w:t>Waythrough</w:t>
      </w:r>
      <w:proofErr w:type="spellEnd"/>
    </w:p>
    <w:p w14:paraId="54B8951D" w14:textId="77777777" w:rsidR="00AD214F" w:rsidRPr="00265F59" w:rsidRDefault="00AD214F" w:rsidP="00AD214F">
      <w:pPr>
        <w:pStyle w:val="Heading3"/>
      </w:pPr>
      <w:hyperlink r:id="rId32" w:anchor="York_Substance_use_service_Change_Grow_Live_80000" w:history="1">
        <w:r w:rsidRPr="0067295B">
          <w:rPr>
            <w:rStyle w:val="Hyperlink"/>
            <w:rFonts w:cstheme="minorHAnsi"/>
            <w:b/>
            <w:bCs/>
          </w:rPr>
          <w:t>York Substance Use</w:t>
        </w:r>
      </w:hyperlink>
      <w:r>
        <w:rPr>
          <w:rFonts w:cstheme="minorHAnsi"/>
        </w:rPr>
        <w:t xml:space="preserve"> service provided by Change, Grow, Live</w:t>
      </w:r>
    </w:p>
    <w:p w14:paraId="483D5D44" w14:textId="77777777" w:rsidR="00AD214F" w:rsidRPr="00BF6B3F" w:rsidRDefault="00AD214F" w:rsidP="00AD214F">
      <w:pPr>
        <w:pStyle w:val="Heading3"/>
      </w:pPr>
      <w:r>
        <w:t>Footsteps provided by St. Giles Trust</w:t>
      </w:r>
    </w:p>
    <w:p w14:paraId="752FCA79" w14:textId="321E1087" w:rsidR="00AD214F" w:rsidRPr="00AD214F" w:rsidRDefault="00AD214F" w:rsidP="00E53ACC">
      <w:pPr>
        <w:pStyle w:val="Heading2"/>
      </w:pPr>
      <w:r w:rsidRPr="00AD214F">
        <w:t xml:space="preserve">The Provider will also be required to attend local / regional / national meetings as directed by the </w:t>
      </w:r>
      <w:r w:rsidR="00F52318">
        <w:t>YNYCA</w:t>
      </w:r>
      <w:r w:rsidRPr="00AD214F">
        <w:t xml:space="preserve">. </w:t>
      </w:r>
    </w:p>
    <w:p w14:paraId="45777CD1" w14:textId="77777777" w:rsidR="00AD214F" w:rsidRPr="00AD214F" w:rsidRDefault="00AD214F" w:rsidP="00AD214F">
      <w:pPr>
        <w:pStyle w:val="ListParagraph"/>
        <w:autoSpaceDE w:val="0"/>
        <w:autoSpaceDN w:val="0"/>
        <w:adjustRightInd w:val="0"/>
        <w:spacing w:after="120"/>
        <w:ind w:left="432"/>
        <w:jc w:val="both"/>
        <w:rPr>
          <w:rFonts w:cs="Arial"/>
          <w:sz w:val="20"/>
          <w:szCs w:val="20"/>
        </w:rPr>
      </w:pPr>
    </w:p>
    <w:p w14:paraId="13FC3751" w14:textId="77777777" w:rsidR="00AD214F" w:rsidRPr="00765827" w:rsidRDefault="00AD214F" w:rsidP="00E53ACC">
      <w:pPr>
        <w:pStyle w:val="Heading2"/>
        <w:rPr>
          <w:sz w:val="20"/>
          <w:szCs w:val="20"/>
        </w:rPr>
      </w:pPr>
      <w:r w:rsidRPr="00765827">
        <w:t>Budget</w:t>
      </w:r>
    </w:p>
    <w:tbl>
      <w:tblPr>
        <w:tblStyle w:val="TableGrid"/>
        <w:tblW w:w="6521" w:type="dxa"/>
        <w:tblInd w:w="562" w:type="dxa"/>
        <w:tblLook w:val="04A0" w:firstRow="1" w:lastRow="0" w:firstColumn="1" w:lastColumn="0" w:noHBand="0" w:noVBand="1"/>
      </w:tblPr>
      <w:tblGrid>
        <w:gridCol w:w="1318"/>
        <w:gridCol w:w="1801"/>
        <w:gridCol w:w="1701"/>
        <w:gridCol w:w="1701"/>
      </w:tblGrid>
      <w:tr w:rsidR="00AD214F" w:rsidRPr="00BF6B3F" w14:paraId="67528500" w14:textId="77777777" w:rsidTr="00F52318">
        <w:trPr>
          <w:trHeight w:val="1020"/>
        </w:trPr>
        <w:tc>
          <w:tcPr>
            <w:tcW w:w="1318" w:type="dxa"/>
            <w:shd w:val="clear" w:color="auto" w:fill="DAE9F7" w:themeFill="text2" w:themeFillTint="1A"/>
          </w:tcPr>
          <w:p w14:paraId="4DE2ECA7" w14:textId="388B9F0A" w:rsidR="00AD214F" w:rsidRPr="00F52318" w:rsidRDefault="00F52318" w:rsidP="00F44331">
            <w:pPr>
              <w:pStyle w:val="ListParagraph"/>
              <w:autoSpaceDE w:val="0"/>
              <w:autoSpaceDN w:val="0"/>
              <w:adjustRightInd w:val="0"/>
              <w:spacing w:after="120"/>
              <w:ind w:left="0"/>
              <w:rPr>
                <w:b/>
                <w:sz w:val="22"/>
                <w:szCs w:val="22"/>
              </w:rPr>
            </w:pPr>
            <w:r w:rsidRPr="00F52318">
              <w:rPr>
                <w:b/>
                <w:bCs/>
                <w:sz w:val="22"/>
                <w:szCs w:val="22"/>
              </w:rPr>
              <w:t xml:space="preserve">Initial </w:t>
            </w:r>
            <w:r w:rsidR="00AD214F" w:rsidRPr="00F52318">
              <w:rPr>
                <w:b/>
                <w:sz w:val="22"/>
                <w:szCs w:val="22"/>
              </w:rPr>
              <w:t>Contract Period</w:t>
            </w:r>
          </w:p>
        </w:tc>
        <w:tc>
          <w:tcPr>
            <w:tcW w:w="1801" w:type="dxa"/>
            <w:shd w:val="clear" w:color="auto" w:fill="DAE9F7" w:themeFill="text2" w:themeFillTint="1A"/>
          </w:tcPr>
          <w:p w14:paraId="56782EF2" w14:textId="365CAECC" w:rsidR="00AD214F" w:rsidRPr="00F52318" w:rsidRDefault="00AD214F" w:rsidP="00F44331">
            <w:pPr>
              <w:pStyle w:val="ListParagraph"/>
              <w:autoSpaceDE w:val="0"/>
              <w:autoSpaceDN w:val="0"/>
              <w:adjustRightInd w:val="0"/>
              <w:spacing w:after="120"/>
              <w:ind w:left="0"/>
              <w:jc w:val="center"/>
              <w:rPr>
                <w:b/>
                <w:sz w:val="22"/>
                <w:szCs w:val="22"/>
              </w:rPr>
            </w:pPr>
            <w:r w:rsidRPr="00F52318">
              <w:rPr>
                <w:b/>
                <w:sz w:val="22"/>
                <w:szCs w:val="22"/>
              </w:rPr>
              <w:t xml:space="preserve">Year </w:t>
            </w:r>
            <w:r w:rsidR="00F52318" w:rsidRPr="00F52318">
              <w:rPr>
                <w:b/>
                <w:bCs/>
                <w:sz w:val="22"/>
                <w:szCs w:val="22"/>
              </w:rPr>
              <w:t>1</w:t>
            </w:r>
          </w:p>
          <w:p w14:paraId="55E35DAD" w14:textId="77777777" w:rsidR="00F52318" w:rsidRPr="00F52318" w:rsidRDefault="00F52318" w:rsidP="00F44331">
            <w:pPr>
              <w:pStyle w:val="ListParagraph"/>
              <w:autoSpaceDE w:val="0"/>
              <w:autoSpaceDN w:val="0"/>
              <w:adjustRightInd w:val="0"/>
              <w:spacing w:after="120"/>
              <w:ind w:left="0"/>
              <w:jc w:val="center"/>
              <w:rPr>
                <w:b/>
                <w:bCs/>
                <w:sz w:val="22"/>
                <w:szCs w:val="22"/>
              </w:rPr>
            </w:pPr>
          </w:p>
          <w:p w14:paraId="5BADD3E7" w14:textId="3C71D963" w:rsidR="00AD214F" w:rsidRPr="00F52318" w:rsidRDefault="00AD214F" w:rsidP="00F44331">
            <w:pPr>
              <w:pStyle w:val="ListParagraph"/>
              <w:autoSpaceDE w:val="0"/>
              <w:autoSpaceDN w:val="0"/>
              <w:adjustRightInd w:val="0"/>
              <w:spacing w:after="120"/>
              <w:ind w:left="0"/>
              <w:rPr>
                <w:sz w:val="22"/>
                <w:szCs w:val="22"/>
              </w:rPr>
            </w:pPr>
            <w:r w:rsidRPr="00F52318">
              <w:rPr>
                <w:sz w:val="22"/>
                <w:szCs w:val="22"/>
              </w:rPr>
              <w:t>3</w:t>
            </w:r>
            <w:r w:rsidRPr="00F52318">
              <w:rPr>
                <w:sz w:val="22"/>
                <w:szCs w:val="22"/>
                <w:vertAlign w:val="superscript"/>
              </w:rPr>
              <w:t>rd</w:t>
            </w:r>
            <w:r w:rsidRPr="00F52318">
              <w:rPr>
                <w:sz w:val="22"/>
                <w:szCs w:val="22"/>
              </w:rPr>
              <w:t xml:space="preserve"> May </w:t>
            </w:r>
            <w:r w:rsidR="00F52318" w:rsidRPr="00F52318">
              <w:rPr>
                <w:sz w:val="22"/>
                <w:szCs w:val="22"/>
              </w:rPr>
              <w:t>2026</w:t>
            </w:r>
            <w:r w:rsidRPr="00F52318">
              <w:rPr>
                <w:sz w:val="22"/>
                <w:szCs w:val="22"/>
              </w:rPr>
              <w:t>- 2</w:t>
            </w:r>
            <w:r w:rsidRPr="00F52318">
              <w:rPr>
                <w:sz w:val="22"/>
                <w:szCs w:val="22"/>
                <w:vertAlign w:val="superscript"/>
              </w:rPr>
              <w:t>nd</w:t>
            </w:r>
            <w:r w:rsidRPr="00F52318">
              <w:rPr>
                <w:sz w:val="22"/>
                <w:szCs w:val="22"/>
              </w:rPr>
              <w:t xml:space="preserve"> May </w:t>
            </w:r>
            <w:r w:rsidR="00F52318" w:rsidRPr="00F52318">
              <w:rPr>
                <w:sz w:val="22"/>
                <w:szCs w:val="22"/>
              </w:rPr>
              <w:t>2027</w:t>
            </w:r>
          </w:p>
        </w:tc>
        <w:tc>
          <w:tcPr>
            <w:tcW w:w="1701" w:type="dxa"/>
            <w:shd w:val="clear" w:color="auto" w:fill="DAE9F7" w:themeFill="text2" w:themeFillTint="1A"/>
          </w:tcPr>
          <w:p w14:paraId="36A72487" w14:textId="79794841" w:rsidR="00AD214F" w:rsidRPr="00F52318" w:rsidRDefault="00AD214F" w:rsidP="00F44331">
            <w:pPr>
              <w:pStyle w:val="ListParagraph"/>
              <w:autoSpaceDE w:val="0"/>
              <w:autoSpaceDN w:val="0"/>
              <w:adjustRightInd w:val="0"/>
              <w:spacing w:after="120"/>
              <w:ind w:left="0"/>
              <w:jc w:val="center"/>
              <w:rPr>
                <w:b/>
                <w:sz w:val="22"/>
                <w:szCs w:val="22"/>
              </w:rPr>
            </w:pPr>
            <w:r w:rsidRPr="00F52318">
              <w:rPr>
                <w:b/>
                <w:sz w:val="22"/>
                <w:szCs w:val="22"/>
              </w:rPr>
              <w:t xml:space="preserve">Year </w:t>
            </w:r>
            <w:r w:rsidR="00F52318" w:rsidRPr="00F52318">
              <w:rPr>
                <w:b/>
                <w:bCs/>
                <w:sz w:val="22"/>
                <w:szCs w:val="22"/>
              </w:rPr>
              <w:t>2</w:t>
            </w:r>
          </w:p>
          <w:p w14:paraId="75798DB0" w14:textId="77777777" w:rsidR="00F52318" w:rsidRPr="00F52318" w:rsidRDefault="00F52318" w:rsidP="00F44331">
            <w:pPr>
              <w:pStyle w:val="ListParagraph"/>
              <w:autoSpaceDE w:val="0"/>
              <w:autoSpaceDN w:val="0"/>
              <w:adjustRightInd w:val="0"/>
              <w:spacing w:after="120"/>
              <w:ind w:left="0"/>
              <w:rPr>
                <w:sz w:val="22"/>
                <w:szCs w:val="22"/>
              </w:rPr>
            </w:pPr>
          </w:p>
          <w:p w14:paraId="45312031" w14:textId="67DA7434" w:rsidR="00AD214F" w:rsidRPr="00F52318" w:rsidRDefault="00AD214F" w:rsidP="00F44331">
            <w:pPr>
              <w:pStyle w:val="ListParagraph"/>
              <w:autoSpaceDE w:val="0"/>
              <w:autoSpaceDN w:val="0"/>
              <w:adjustRightInd w:val="0"/>
              <w:spacing w:after="120"/>
              <w:ind w:left="0"/>
              <w:rPr>
                <w:sz w:val="22"/>
                <w:szCs w:val="22"/>
              </w:rPr>
            </w:pPr>
            <w:r w:rsidRPr="00F52318">
              <w:rPr>
                <w:sz w:val="22"/>
                <w:szCs w:val="22"/>
              </w:rPr>
              <w:t>3</w:t>
            </w:r>
            <w:r w:rsidRPr="00F52318">
              <w:rPr>
                <w:sz w:val="22"/>
                <w:szCs w:val="22"/>
                <w:vertAlign w:val="superscript"/>
              </w:rPr>
              <w:t>rd</w:t>
            </w:r>
            <w:r w:rsidRPr="00F52318">
              <w:rPr>
                <w:sz w:val="22"/>
                <w:szCs w:val="22"/>
              </w:rPr>
              <w:t xml:space="preserve"> May </w:t>
            </w:r>
            <w:r w:rsidR="00F52318" w:rsidRPr="00F52318">
              <w:rPr>
                <w:sz w:val="22"/>
                <w:szCs w:val="22"/>
              </w:rPr>
              <w:t>2027</w:t>
            </w:r>
            <w:r w:rsidRPr="00F52318">
              <w:rPr>
                <w:sz w:val="22"/>
                <w:szCs w:val="22"/>
              </w:rPr>
              <w:t>-2</w:t>
            </w:r>
            <w:r w:rsidRPr="00F52318">
              <w:rPr>
                <w:sz w:val="22"/>
                <w:szCs w:val="22"/>
                <w:vertAlign w:val="superscript"/>
              </w:rPr>
              <w:t>nd</w:t>
            </w:r>
            <w:r w:rsidRPr="00F52318">
              <w:rPr>
                <w:sz w:val="22"/>
                <w:szCs w:val="22"/>
              </w:rPr>
              <w:t xml:space="preserve"> May </w:t>
            </w:r>
            <w:r w:rsidR="00F52318" w:rsidRPr="00F52318">
              <w:rPr>
                <w:sz w:val="22"/>
                <w:szCs w:val="22"/>
              </w:rPr>
              <w:t>2030</w:t>
            </w:r>
          </w:p>
        </w:tc>
        <w:tc>
          <w:tcPr>
            <w:tcW w:w="1701" w:type="dxa"/>
            <w:shd w:val="clear" w:color="auto" w:fill="DAE9F7" w:themeFill="text2" w:themeFillTint="1A"/>
          </w:tcPr>
          <w:p w14:paraId="08ACC6C7" w14:textId="77777777" w:rsidR="00AD214F" w:rsidRPr="00F52318" w:rsidRDefault="00AD214F" w:rsidP="00F52318">
            <w:pPr>
              <w:pStyle w:val="ListParagraph"/>
              <w:autoSpaceDE w:val="0"/>
              <w:autoSpaceDN w:val="0"/>
              <w:adjustRightInd w:val="0"/>
              <w:spacing w:after="120"/>
              <w:ind w:left="0"/>
              <w:rPr>
                <w:b/>
                <w:sz w:val="22"/>
                <w:szCs w:val="22"/>
              </w:rPr>
            </w:pPr>
            <w:r w:rsidRPr="00F52318">
              <w:rPr>
                <w:b/>
                <w:sz w:val="22"/>
                <w:szCs w:val="22"/>
              </w:rPr>
              <w:t>Total Contract Value</w:t>
            </w:r>
          </w:p>
        </w:tc>
      </w:tr>
      <w:tr w:rsidR="00AD214F" w:rsidRPr="00BF6B3F" w14:paraId="2502D3E2" w14:textId="77777777" w:rsidTr="00F52318">
        <w:tc>
          <w:tcPr>
            <w:tcW w:w="1318" w:type="dxa"/>
            <w:shd w:val="clear" w:color="auto" w:fill="FFFFFF" w:themeFill="background1"/>
          </w:tcPr>
          <w:p w14:paraId="63C5407E" w14:textId="00F59B9F" w:rsidR="00AD214F" w:rsidRPr="00AD214F" w:rsidRDefault="00AD214F" w:rsidP="00F44331">
            <w:pPr>
              <w:pStyle w:val="ListParagraph"/>
              <w:autoSpaceDE w:val="0"/>
              <w:autoSpaceDN w:val="0"/>
              <w:adjustRightInd w:val="0"/>
              <w:spacing w:after="120"/>
              <w:ind w:left="0"/>
              <w:rPr>
                <w:b/>
                <w:bCs/>
                <w:sz w:val="22"/>
                <w:szCs w:val="22"/>
              </w:rPr>
            </w:pPr>
          </w:p>
        </w:tc>
        <w:tc>
          <w:tcPr>
            <w:tcW w:w="1801" w:type="dxa"/>
            <w:shd w:val="clear" w:color="auto" w:fill="FFFFFF" w:themeFill="background1"/>
          </w:tcPr>
          <w:p w14:paraId="6EDA9465" w14:textId="07AB11E4" w:rsidR="00AD214F" w:rsidRPr="00E53ACC" w:rsidRDefault="00E53ACC" w:rsidP="00F44331">
            <w:pPr>
              <w:pStyle w:val="ListParagraph"/>
              <w:autoSpaceDE w:val="0"/>
              <w:autoSpaceDN w:val="0"/>
              <w:adjustRightInd w:val="0"/>
              <w:spacing w:after="120"/>
              <w:ind w:left="0"/>
              <w:jc w:val="both"/>
              <w:rPr>
                <w:sz w:val="22"/>
                <w:szCs w:val="22"/>
              </w:rPr>
            </w:pPr>
            <w:r w:rsidRPr="00E53ACC">
              <w:rPr>
                <w:sz w:val="22"/>
                <w:szCs w:val="22"/>
              </w:rPr>
              <w:t>£395,834</w:t>
            </w:r>
          </w:p>
        </w:tc>
        <w:tc>
          <w:tcPr>
            <w:tcW w:w="1701" w:type="dxa"/>
            <w:shd w:val="clear" w:color="auto" w:fill="FFFFFF" w:themeFill="background1"/>
          </w:tcPr>
          <w:p w14:paraId="527BEADD" w14:textId="4C035EA2" w:rsidR="00AD214F" w:rsidRPr="00AD214F" w:rsidRDefault="00E53ACC" w:rsidP="00F44331">
            <w:pPr>
              <w:pStyle w:val="ListParagraph"/>
              <w:autoSpaceDE w:val="0"/>
              <w:autoSpaceDN w:val="0"/>
              <w:adjustRightInd w:val="0"/>
              <w:spacing w:after="120"/>
              <w:ind w:left="0"/>
              <w:jc w:val="both"/>
              <w:rPr>
                <w:sz w:val="22"/>
                <w:szCs w:val="22"/>
              </w:rPr>
            </w:pPr>
            <w:r>
              <w:rPr>
                <w:sz w:val="22"/>
                <w:szCs w:val="22"/>
              </w:rPr>
              <w:t>£378,000</w:t>
            </w:r>
          </w:p>
        </w:tc>
        <w:tc>
          <w:tcPr>
            <w:tcW w:w="1701" w:type="dxa"/>
            <w:shd w:val="clear" w:color="auto" w:fill="FFFFFF" w:themeFill="background1"/>
          </w:tcPr>
          <w:p w14:paraId="76EE0A02" w14:textId="24C86F5A" w:rsidR="00AD214F" w:rsidRPr="00E53ACC" w:rsidRDefault="00E53ACC" w:rsidP="00F44331">
            <w:pPr>
              <w:pStyle w:val="ListParagraph"/>
              <w:autoSpaceDE w:val="0"/>
              <w:autoSpaceDN w:val="0"/>
              <w:adjustRightInd w:val="0"/>
              <w:spacing w:after="120"/>
              <w:ind w:left="0"/>
              <w:jc w:val="both"/>
              <w:rPr>
                <w:sz w:val="22"/>
                <w:szCs w:val="22"/>
              </w:rPr>
            </w:pPr>
            <w:r>
              <w:rPr>
                <w:sz w:val="22"/>
                <w:szCs w:val="22"/>
              </w:rPr>
              <w:t>£773,834</w:t>
            </w:r>
          </w:p>
        </w:tc>
      </w:tr>
    </w:tbl>
    <w:p w14:paraId="6D11FE3D" w14:textId="56ED2E5A" w:rsidR="00AD214F" w:rsidRPr="00BF6B3F" w:rsidRDefault="00AD214F" w:rsidP="00C57D7C">
      <w:pPr>
        <w:pStyle w:val="Heading3"/>
        <w:numPr>
          <w:ilvl w:val="2"/>
          <w:numId w:val="52"/>
        </w:numPr>
      </w:pPr>
      <w:r w:rsidRPr="00BF6B3F">
        <w:lastRenderedPageBreak/>
        <w:t>The budget outlined above indicates the maximum financial value of the Service over the initial Contract period.</w:t>
      </w:r>
    </w:p>
    <w:p w14:paraId="66536856" w14:textId="64182855" w:rsidR="00AD214F" w:rsidRPr="00591035" w:rsidRDefault="00AD214F" w:rsidP="00C16098">
      <w:pPr>
        <w:pStyle w:val="Heading3"/>
        <w:rPr>
          <w:lang w:val="en-US"/>
        </w:rPr>
      </w:pPr>
      <w:r w:rsidRPr="00591035">
        <w:rPr>
          <w:lang w:val="en-US"/>
        </w:rPr>
        <w:t xml:space="preserve">The budget should be spent in the appropriate financial year identified above and cannot be carried forward to the following financial year or drawn back from a future financial year without prior agreement of the </w:t>
      </w:r>
      <w:r w:rsidR="001D2944">
        <w:rPr>
          <w:lang w:val="en-US"/>
        </w:rPr>
        <w:t>YNYCA</w:t>
      </w:r>
      <w:r w:rsidRPr="00591035">
        <w:rPr>
          <w:lang w:val="en-US"/>
        </w:rPr>
        <w:t>.</w:t>
      </w:r>
    </w:p>
    <w:p w14:paraId="28D6A6F3" w14:textId="77777777" w:rsidR="00AD214F" w:rsidRPr="00405848" w:rsidRDefault="00AD214F" w:rsidP="00C16098">
      <w:pPr>
        <w:pStyle w:val="Heading3"/>
        <w:rPr>
          <w:b/>
          <w:lang w:val="en-US"/>
        </w:rPr>
      </w:pPr>
      <w:r w:rsidRPr="00405848">
        <w:rPr>
          <w:lang w:val="en-US"/>
        </w:rPr>
        <w:t>The Provider must report on all expenditure in full against the budget allocated for the Development and Innovation elements of the Service, and separately from reporting of expenditure against the Core Service budget line as above.</w:t>
      </w:r>
    </w:p>
    <w:p w14:paraId="4DCF8DD8" w14:textId="0539FEE1" w:rsidR="00AD214F" w:rsidRPr="00DB569E" w:rsidRDefault="00AD214F" w:rsidP="00C16098">
      <w:pPr>
        <w:pStyle w:val="Heading3"/>
        <w:rPr>
          <w:b/>
          <w:lang w:val="en-US"/>
        </w:rPr>
      </w:pPr>
      <w:r w:rsidRPr="00060ECE">
        <w:rPr>
          <w:lang w:val="en-US"/>
        </w:rPr>
        <w:t xml:space="preserve">Financial monitoring, including any underspend, will be broken down monthly, but submitted and reviewed with </w:t>
      </w:r>
      <w:r w:rsidR="001D2944">
        <w:rPr>
          <w:lang w:val="en-US"/>
        </w:rPr>
        <w:t>the YNYCA</w:t>
      </w:r>
      <w:r w:rsidRPr="00060ECE">
        <w:rPr>
          <w:lang w:val="en-US"/>
        </w:rPr>
        <w:t xml:space="preserve"> on a quarterly basis.</w:t>
      </w:r>
    </w:p>
    <w:p w14:paraId="7454B6C6" w14:textId="77777777" w:rsidR="00D61D2D" w:rsidRDefault="00D61D2D">
      <w:pPr>
        <w:spacing w:before="0" w:line="259" w:lineRule="auto"/>
        <w:rPr>
          <w:rFonts w:asciiTheme="majorHAnsi" w:eastAsiaTheme="majorEastAsia" w:hAnsiTheme="majorHAnsi" w:cstheme="majorBidi"/>
          <w:color w:val="002060"/>
          <w:sz w:val="40"/>
          <w:szCs w:val="40"/>
        </w:rPr>
      </w:pPr>
      <w:r>
        <w:rPr>
          <w:color w:val="002060"/>
        </w:rPr>
        <w:br w:type="page"/>
      </w:r>
    </w:p>
    <w:p w14:paraId="22AFEA58" w14:textId="43602870" w:rsidR="002835EC" w:rsidRDefault="002835EC" w:rsidP="00063554">
      <w:pPr>
        <w:pStyle w:val="Heading1"/>
        <w:rPr>
          <w:color w:val="002060"/>
        </w:rPr>
      </w:pPr>
      <w:bookmarkStart w:id="9" w:name="_Toc215577711"/>
      <w:r>
        <w:rPr>
          <w:color w:val="002060"/>
        </w:rPr>
        <w:lastRenderedPageBreak/>
        <w:t>Scope and Specification</w:t>
      </w:r>
      <w:bookmarkEnd w:id="9"/>
    </w:p>
    <w:p w14:paraId="34527877" w14:textId="77777777" w:rsidR="003D49F2" w:rsidRPr="003D49F2" w:rsidRDefault="003D49F2" w:rsidP="00E53ACC">
      <w:pPr>
        <w:pStyle w:val="Heading2"/>
        <w:rPr>
          <w:rFonts w:cs="Calibri"/>
        </w:rPr>
      </w:pPr>
      <w:r w:rsidRPr="003D49F2">
        <w:t>Service Model</w:t>
      </w:r>
    </w:p>
    <w:p w14:paraId="5AE43E9A" w14:textId="77777777" w:rsidR="003D49F2" w:rsidRPr="003D49F2" w:rsidRDefault="003D49F2" w:rsidP="00E53ACC">
      <w:pPr>
        <w:pStyle w:val="Heading2"/>
        <w:rPr>
          <w:rFonts w:cs="Calibri"/>
          <w:b/>
          <w:bCs/>
        </w:rPr>
      </w:pPr>
      <w:r w:rsidRPr="003D49F2">
        <w:t xml:space="preserve">It is proposed that the service will include a service manager who will oversee the different elements of the service and who will drive the Women’s Whole System Approach. </w:t>
      </w:r>
    </w:p>
    <w:p w14:paraId="01427DD4" w14:textId="102DB279" w:rsidR="003D49F2" w:rsidRPr="003D49F2" w:rsidRDefault="003D49F2" w:rsidP="00E53ACC">
      <w:pPr>
        <w:pStyle w:val="Heading2"/>
        <w:rPr>
          <w:b/>
          <w:bCs/>
        </w:rPr>
      </w:pPr>
      <w:r w:rsidRPr="003D49F2">
        <w:t xml:space="preserve">As a minimum, the service will provide a minimum of </w:t>
      </w:r>
      <w:r w:rsidR="006157CD">
        <w:t>8</w:t>
      </w:r>
      <w:r w:rsidRPr="003D49F2">
        <w:t xml:space="preserve"> FTE case-holding key workers to ensure the requirements of the differing service elements are met and to ensure resilience within the team</w:t>
      </w:r>
      <w:r w:rsidR="006157CD">
        <w:t>.</w:t>
      </w:r>
    </w:p>
    <w:p w14:paraId="6EE1E65C" w14:textId="4DB9C771" w:rsidR="003D49F2" w:rsidRPr="003D49F2" w:rsidRDefault="003D49F2" w:rsidP="00E53ACC">
      <w:pPr>
        <w:pStyle w:val="Heading2"/>
        <w:rPr>
          <w:b/>
          <w:bCs/>
        </w:rPr>
      </w:pPr>
      <w:r w:rsidRPr="003D49F2">
        <w:t xml:space="preserve">The service is required to work across the whole of York and North Yorkshire; coverage must be provided </w:t>
      </w:r>
      <w:proofErr w:type="gramStart"/>
      <w:r w:rsidRPr="003D49F2">
        <w:t>to</w:t>
      </w:r>
      <w:proofErr w:type="gramEnd"/>
      <w:r w:rsidRPr="003D49F2">
        <w:t xml:space="preserve"> the following </w:t>
      </w:r>
      <w:r w:rsidR="001D2944" w:rsidRPr="003D49F2">
        <w:t>areas</w:t>
      </w:r>
      <w:r w:rsidRPr="003D49F2">
        <w:t xml:space="preserve"> of York and North Yorkshire:</w:t>
      </w:r>
    </w:p>
    <w:p w14:paraId="6B4F480A" w14:textId="77777777" w:rsidR="003D49F2" w:rsidRPr="003D49F2" w:rsidRDefault="003D49F2" w:rsidP="00C57D7C">
      <w:pPr>
        <w:pStyle w:val="Heading3"/>
        <w:numPr>
          <w:ilvl w:val="2"/>
          <w:numId w:val="61"/>
        </w:numPr>
        <w:rPr>
          <w:lang w:eastAsia="en-GB"/>
        </w:rPr>
      </w:pPr>
      <w:r w:rsidRPr="003D49F2">
        <w:rPr>
          <w:b/>
          <w:bCs/>
          <w:lang w:eastAsia="en-GB"/>
        </w:rPr>
        <w:t>County</w:t>
      </w:r>
      <w:r w:rsidRPr="003D49F2">
        <w:rPr>
          <w:lang w:eastAsia="en-GB"/>
        </w:rPr>
        <w:t xml:space="preserve"> (Harrogate, Craven, Hambleton, </w:t>
      </w:r>
      <w:proofErr w:type="spellStart"/>
      <w:r w:rsidRPr="003D49F2">
        <w:rPr>
          <w:lang w:eastAsia="en-GB"/>
        </w:rPr>
        <w:t>Richmondshire</w:t>
      </w:r>
      <w:proofErr w:type="spellEnd"/>
      <w:r w:rsidRPr="003D49F2">
        <w:rPr>
          <w:lang w:eastAsia="en-GB"/>
        </w:rPr>
        <w:t>)</w:t>
      </w:r>
    </w:p>
    <w:p w14:paraId="5B8B8D4F" w14:textId="77777777" w:rsidR="003D49F2" w:rsidRPr="003D49F2" w:rsidRDefault="003D49F2" w:rsidP="003D49F2">
      <w:pPr>
        <w:pStyle w:val="Heading3"/>
        <w:rPr>
          <w:lang w:eastAsia="en-GB"/>
        </w:rPr>
      </w:pPr>
      <w:r w:rsidRPr="003D49F2">
        <w:rPr>
          <w:b/>
          <w:bCs/>
          <w:lang w:eastAsia="en-GB"/>
        </w:rPr>
        <w:t>Coast</w:t>
      </w:r>
      <w:r w:rsidRPr="003D49F2">
        <w:rPr>
          <w:lang w:eastAsia="en-GB"/>
        </w:rPr>
        <w:t xml:space="preserve"> (Scarborough &amp; Ryedale)</w:t>
      </w:r>
    </w:p>
    <w:p w14:paraId="13B8FC46" w14:textId="77777777" w:rsidR="003D49F2" w:rsidRPr="003D49F2" w:rsidRDefault="003D49F2" w:rsidP="003D49F2">
      <w:pPr>
        <w:pStyle w:val="Heading3"/>
        <w:rPr>
          <w:b/>
          <w:bCs/>
          <w:lang w:val="en-US"/>
        </w:rPr>
      </w:pPr>
      <w:r w:rsidRPr="003D49F2">
        <w:rPr>
          <w:b/>
          <w:bCs/>
          <w:lang w:val="en-US"/>
        </w:rPr>
        <w:t xml:space="preserve">City </w:t>
      </w:r>
      <w:r w:rsidRPr="003D49F2">
        <w:rPr>
          <w:lang w:val="en-US"/>
        </w:rPr>
        <w:t>(York &amp; Selby)</w:t>
      </w:r>
    </w:p>
    <w:p w14:paraId="3AB2C479" w14:textId="3E328E10" w:rsidR="003D49F2" w:rsidRPr="003D49F2" w:rsidRDefault="003D49F2" w:rsidP="00E53ACC">
      <w:pPr>
        <w:pStyle w:val="Heading2"/>
        <w:rPr>
          <w:rFonts w:cs="Calibri"/>
          <w:b/>
          <w:bCs/>
        </w:rPr>
      </w:pPr>
      <w:r w:rsidRPr="003D49F2">
        <w:t xml:space="preserve">Each woman who comes into contact with the service will be triaged to establish the type of support that is required, which will be documented on </w:t>
      </w:r>
      <w:proofErr w:type="spellStart"/>
      <w:r w:rsidRPr="003D49F2">
        <w:t>Orcuma</w:t>
      </w:r>
      <w:proofErr w:type="spellEnd"/>
      <w:r w:rsidRPr="003D49F2">
        <w:t xml:space="preserve"> </w:t>
      </w:r>
      <w:r w:rsidRPr="006157CD">
        <w:t>(see section</w:t>
      </w:r>
      <w:r w:rsidR="006157CD" w:rsidRPr="006157CD">
        <w:t xml:space="preserve"> 4.8.4</w:t>
      </w:r>
      <w:r w:rsidRPr="006157CD">
        <w:t>)</w:t>
      </w:r>
      <w:r w:rsidRPr="003D49F2">
        <w:t xml:space="preserve"> in a format agreed with the YNYCA Contract Manager. </w:t>
      </w:r>
    </w:p>
    <w:p w14:paraId="772834E3" w14:textId="77777777" w:rsidR="003D49F2" w:rsidRPr="003D49F2" w:rsidRDefault="003D49F2" w:rsidP="00E53ACC">
      <w:pPr>
        <w:pStyle w:val="Heading2"/>
        <w:rPr>
          <w:rFonts w:cs="Calibri"/>
        </w:rPr>
      </w:pPr>
      <w:r w:rsidRPr="003D49F2">
        <w:t>Keyworker Model</w:t>
      </w:r>
    </w:p>
    <w:p w14:paraId="5C81EDFC" w14:textId="3E7A2019" w:rsidR="003D49F2" w:rsidRPr="003D49F2" w:rsidRDefault="003D49F2" w:rsidP="00E53ACC">
      <w:pPr>
        <w:pStyle w:val="Heading2"/>
        <w:rPr>
          <w:b/>
        </w:rPr>
      </w:pPr>
      <w:r w:rsidRPr="003D49F2">
        <w:t xml:space="preserve">The keyworker model will ensure </w:t>
      </w:r>
      <w:r w:rsidR="001D2944">
        <w:t>that</w:t>
      </w:r>
      <w:r w:rsidRPr="003D49F2">
        <w:t xml:space="preserve"> named, dedicated support is available for everyone, and the nature of the support must be flexible both in terms of engagement techniques and direct intervention delivery. </w:t>
      </w:r>
    </w:p>
    <w:p w14:paraId="7F93D0C2" w14:textId="77777777" w:rsidR="003D49F2" w:rsidRPr="003D49F2" w:rsidRDefault="003D49F2" w:rsidP="00E53ACC">
      <w:pPr>
        <w:pStyle w:val="Heading2"/>
        <w:rPr>
          <w:rFonts w:cs="Calibri"/>
          <w:b/>
        </w:rPr>
      </w:pPr>
      <w:r w:rsidRPr="003D49F2">
        <w:t xml:space="preserve">For those who require longer-term support, the keyworker will attempt to build a trusted relationship with the woman and will offer a bespoke, holistic package of support to identify needs across a range of pathways. Keyworkers will ensure each woman’s needs are assessed and documented to </w:t>
      </w:r>
      <w:proofErr w:type="spellStart"/>
      <w:r w:rsidRPr="003D49F2">
        <w:t>prioritise</w:t>
      </w:r>
      <w:proofErr w:type="spellEnd"/>
      <w:r w:rsidRPr="003D49F2">
        <w:t xml:space="preserve"> and attempt to address any underlying needs. </w:t>
      </w:r>
    </w:p>
    <w:p w14:paraId="64BC981D" w14:textId="485BA22A" w:rsidR="003D49F2" w:rsidRPr="003D49F2" w:rsidRDefault="003D49F2" w:rsidP="00E53ACC">
      <w:pPr>
        <w:pStyle w:val="Heading2"/>
        <w:rPr>
          <w:rFonts w:cs="Calibri"/>
          <w:b/>
        </w:rPr>
      </w:pPr>
      <w:r w:rsidRPr="003D49F2">
        <w:t xml:space="preserve">The </w:t>
      </w:r>
      <w:r w:rsidR="001D2944">
        <w:t>YNYCA</w:t>
      </w:r>
      <w:r w:rsidRPr="003D49F2">
        <w:t xml:space="preserve"> </w:t>
      </w:r>
      <w:proofErr w:type="spellStart"/>
      <w:r w:rsidRPr="003D49F2">
        <w:t>recognise</w:t>
      </w:r>
      <w:proofErr w:type="spellEnd"/>
      <w:r w:rsidRPr="003D49F2">
        <w:t xml:space="preserve"> that engaging women into accessing this type of provision can be challenging and the provider will need to be innovative in its use of engagement methods. The methods by which keyworkers undertake needs assessment </w:t>
      </w:r>
      <w:proofErr w:type="gramStart"/>
      <w:r w:rsidRPr="003D49F2">
        <w:t>is</w:t>
      </w:r>
      <w:proofErr w:type="gramEnd"/>
      <w:r w:rsidRPr="003D49F2">
        <w:t xml:space="preserve"> likely to vary depending on the individual. It is </w:t>
      </w:r>
      <w:proofErr w:type="spellStart"/>
      <w:r w:rsidRPr="003D49F2">
        <w:t>recognised</w:t>
      </w:r>
      <w:proofErr w:type="spellEnd"/>
      <w:r w:rsidRPr="003D49F2">
        <w:t xml:space="preserve"> that needs assessments may not always be formal and may not take place during initial meetings. However, the provider will be required to undertake and document an assessment of need, either in conjunction with, or by using their professional knowledge of working with the woman to establish the type of support that is required. The needs assessment will allow for the development of a bespoke support plan if this is required, identifying realistic and strengths focused, time bound goals and act as a baseline against which progression can be evidenced.</w:t>
      </w:r>
    </w:p>
    <w:p w14:paraId="32247145" w14:textId="77777777" w:rsidR="003D49F2" w:rsidRPr="003D49F2" w:rsidRDefault="003D49F2" w:rsidP="00E53ACC">
      <w:pPr>
        <w:pStyle w:val="Heading2"/>
      </w:pPr>
      <w:r w:rsidRPr="003D49F2">
        <w:t>Caseloads</w:t>
      </w:r>
    </w:p>
    <w:p w14:paraId="3B1A2AA6" w14:textId="77777777" w:rsidR="003D49F2" w:rsidRPr="001F58A9" w:rsidRDefault="003D49F2" w:rsidP="00C57D7C">
      <w:pPr>
        <w:pStyle w:val="Heading3"/>
        <w:numPr>
          <w:ilvl w:val="2"/>
          <w:numId w:val="62"/>
        </w:numPr>
        <w:rPr>
          <w:rFonts w:cs="Calibri"/>
          <w:b/>
          <w:lang w:val="en-US"/>
        </w:rPr>
      </w:pPr>
      <w:r w:rsidRPr="003D49F2">
        <w:rPr>
          <w:lang w:eastAsia="en-GB"/>
        </w:rPr>
        <w:t>Based on:</w:t>
      </w:r>
    </w:p>
    <w:p w14:paraId="75E30030" w14:textId="77777777" w:rsidR="003D49F2" w:rsidRPr="001F58A9" w:rsidRDefault="003D49F2" w:rsidP="00C57D7C">
      <w:pPr>
        <w:pStyle w:val="ListParagraph"/>
        <w:numPr>
          <w:ilvl w:val="0"/>
          <w:numId w:val="63"/>
        </w:numPr>
        <w:spacing w:before="0" w:after="240" w:line="276" w:lineRule="auto"/>
        <w:rPr>
          <w:rFonts w:eastAsia="Times New Roman" w:cs="Arial"/>
          <w:b/>
          <w:bCs/>
          <w:kern w:val="0"/>
          <w:lang w:val="en-US"/>
          <w14:ligatures w14:val="none"/>
        </w:rPr>
      </w:pPr>
      <w:r w:rsidRPr="001F58A9">
        <w:rPr>
          <w:rFonts w:eastAsia="Times New Roman" w:cs="Arial"/>
          <w:bCs/>
          <w:kern w:val="0"/>
          <w:lang w:eastAsia="en-GB"/>
          <w14:ligatures w14:val="none"/>
        </w:rPr>
        <w:t>Previous need and demand of the existing services for women in York and North Yorkshire</w:t>
      </w:r>
    </w:p>
    <w:p w14:paraId="208B2222" w14:textId="77777777" w:rsidR="003D49F2" w:rsidRPr="001F58A9" w:rsidRDefault="003D49F2" w:rsidP="00C57D7C">
      <w:pPr>
        <w:pStyle w:val="ListParagraph"/>
        <w:numPr>
          <w:ilvl w:val="0"/>
          <w:numId w:val="63"/>
        </w:numPr>
        <w:spacing w:before="0" w:after="240" w:line="276" w:lineRule="auto"/>
        <w:rPr>
          <w:rFonts w:eastAsia="Times New Roman" w:cs="Arial"/>
          <w:b/>
          <w:bCs/>
          <w:kern w:val="0"/>
          <w:lang w:val="en-US"/>
          <w14:ligatures w14:val="none"/>
        </w:rPr>
      </w:pPr>
      <w:r w:rsidRPr="001F58A9">
        <w:rPr>
          <w:rFonts w:eastAsia="Times New Roman" w:cs="Arial"/>
          <w:bCs/>
          <w:kern w:val="0"/>
          <w:lang w:eastAsia="en-GB"/>
          <w14:ligatures w14:val="none"/>
        </w:rPr>
        <w:t>The fact the proposed new service will have a wider geographical reach than previous services</w:t>
      </w:r>
    </w:p>
    <w:p w14:paraId="14A92D06" w14:textId="0AFA2B76" w:rsidR="003D49F2" w:rsidRPr="001F58A9" w:rsidRDefault="003D49F2" w:rsidP="00C57D7C">
      <w:pPr>
        <w:pStyle w:val="ListParagraph"/>
        <w:numPr>
          <w:ilvl w:val="0"/>
          <w:numId w:val="63"/>
        </w:numPr>
        <w:spacing w:before="0" w:after="240" w:line="276" w:lineRule="auto"/>
        <w:rPr>
          <w:rFonts w:eastAsia="Times New Roman" w:cs="Arial"/>
          <w:b/>
          <w:bCs/>
          <w:kern w:val="0"/>
          <w:lang w:val="en-US"/>
          <w14:ligatures w14:val="none"/>
        </w:rPr>
      </w:pPr>
      <w:r w:rsidRPr="001F58A9">
        <w:rPr>
          <w:rFonts w:eastAsia="Times New Roman" w:cs="Arial"/>
          <w:bCs/>
          <w:kern w:val="0"/>
          <w:lang w:eastAsia="en-GB"/>
          <w14:ligatures w14:val="none"/>
        </w:rPr>
        <w:t xml:space="preserve">The requirement of the identification of women </w:t>
      </w:r>
      <w:r w:rsidR="001D2944">
        <w:rPr>
          <w:rFonts w:eastAsia="Times New Roman" w:cs="Arial"/>
          <w:bCs/>
          <w:kern w:val="0"/>
          <w:lang w:eastAsia="en-GB"/>
          <w14:ligatures w14:val="none"/>
        </w:rPr>
        <w:t>and girls</w:t>
      </w:r>
      <w:r w:rsidRPr="001F58A9">
        <w:rPr>
          <w:rFonts w:eastAsia="Times New Roman" w:cs="Arial"/>
          <w:bCs/>
          <w:kern w:val="0"/>
          <w:lang w:eastAsia="en-GB"/>
          <w14:ligatures w14:val="none"/>
        </w:rPr>
        <w:t xml:space="preserve"> who may not already be known to services via assertive outreach</w:t>
      </w:r>
    </w:p>
    <w:p w14:paraId="3930FB46" w14:textId="649E2BE3" w:rsidR="003D49F2" w:rsidRPr="003D49F2" w:rsidRDefault="003D49F2" w:rsidP="001F58A9">
      <w:pPr>
        <w:pStyle w:val="Heading3"/>
        <w:rPr>
          <w:rFonts w:cs="Calibri"/>
          <w:b/>
          <w:lang w:val="en-US"/>
        </w:rPr>
      </w:pPr>
      <w:r w:rsidRPr="003D49F2">
        <w:rPr>
          <w:lang w:eastAsia="en-GB"/>
        </w:rPr>
        <w:lastRenderedPageBreak/>
        <w:t xml:space="preserve">The expectation is that the service will identify and engage with a minimum of </w:t>
      </w:r>
      <w:r w:rsidRPr="003D49F2">
        <w:rPr>
          <w:b/>
          <w:lang w:eastAsia="en-GB"/>
        </w:rPr>
        <w:t>5</w:t>
      </w:r>
      <w:r w:rsidR="00BD63A0">
        <w:rPr>
          <w:b/>
          <w:lang w:eastAsia="en-GB"/>
        </w:rPr>
        <w:t>28</w:t>
      </w:r>
      <w:r w:rsidRPr="003D49F2">
        <w:rPr>
          <w:lang w:eastAsia="en-GB"/>
        </w:rPr>
        <w:t xml:space="preserve"> women per annum, who will require either longer-term case management support or brief intervention support. </w:t>
      </w:r>
    </w:p>
    <w:p w14:paraId="272479D5" w14:textId="77777777" w:rsidR="003D49F2" w:rsidRPr="00C93B74" w:rsidRDefault="003D49F2" w:rsidP="00C93B74">
      <w:pPr>
        <w:pStyle w:val="Heading3"/>
        <w:rPr>
          <w:rFonts w:cs="Arial"/>
          <w:b/>
          <w:lang w:val="en-US"/>
        </w:rPr>
      </w:pPr>
      <w:r w:rsidRPr="00C93B74">
        <w:rPr>
          <w:rFonts w:cs="Arial"/>
          <w:lang w:eastAsia="en-GB"/>
        </w:rPr>
        <w:t>It is expected that this number will be achieved by:</w:t>
      </w:r>
    </w:p>
    <w:p w14:paraId="3D62AC35" w14:textId="29CF673A" w:rsidR="003D49F2" w:rsidRPr="00C93B74" w:rsidRDefault="003D49F2" w:rsidP="00C57D7C">
      <w:pPr>
        <w:pStyle w:val="ListParagraph"/>
        <w:numPr>
          <w:ilvl w:val="0"/>
          <w:numId w:val="64"/>
        </w:numPr>
        <w:spacing w:before="0" w:after="240" w:line="276" w:lineRule="auto"/>
        <w:rPr>
          <w:rFonts w:eastAsia="Times New Roman" w:cs="Arial"/>
          <w:b/>
          <w:bCs/>
          <w:kern w:val="0"/>
          <w:lang w:val="en-US"/>
          <w14:ligatures w14:val="none"/>
        </w:rPr>
      </w:pPr>
      <w:r w:rsidRPr="00C93B74">
        <w:rPr>
          <w:rFonts w:eastAsia="Times New Roman" w:cs="Arial"/>
          <w:kern w:val="0"/>
          <w:lang w:eastAsia="en-GB"/>
          <w14:ligatures w14:val="none"/>
        </w:rPr>
        <w:t xml:space="preserve">Receiving diversionary Out of Court Resolution referrals from the police </w:t>
      </w:r>
      <w:r w:rsidRPr="008718F0">
        <w:rPr>
          <w:rFonts w:eastAsia="Times New Roman" w:cs="Arial"/>
          <w:kern w:val="0"/>
          <w:lang w:eastAsia="en-GB"/>
          <w14:ligatures w14:val="none"/>
        </w:rPr>
        <w:t>(see section</w:t>
      </w:r>
      <w:r w:rsidR="008718F0" w:rsidRPr="008718F0">
        <w:rPr>
          <w:rFonts w:eastAsia="Times New Roman" w:cs="Arial"/>
          <w:kern w:val="0"/>
          <w:lang w:eastAsia="en-GB"/>
          <w14:ligatures w14:val="none"/>
        </w:rPr>
        <w:t xml:space="preserve"> </w:t>
      </w:r>
      <w:r w:rsidR="008718F0" w:rsidRPr="00AA53CA">
        <w:rPr>
          <w:rFonts w:eastAsia="Times New Roman" w:cs="Arial"/>
          <w:kern w:val="0"/>
          <w:lang w:eastAsia="en-GB"/>
          <w14:ligatures w14:val="none"/>
        </w:rPr>
        <w:t>10.2</w:t>
      </w:r>
      <w:r w:rsidR="00AA53CA" w:rsidRPr="00AA53CA">
        <w:rPr>
          <w:rFonts w:eastAsia="Times New Roman" w:cs="Arial"/>
          <w:kern w:val="0"/>
          <w:lang w:eastAsia="en-GB"/>
          <w14:ligatures w14:val="none"/>
        </w:rPr>
        <w:t>.</w:t>
      </w:r>
      <w:r w:rsidR="008718F0" w:rsidRPr="00AA53CA">
        <w:rPr>
          <w:rFonts w:eastAsia="Times New Roman" w:cs="Arial"/>
          <w:kern w:val="0"/>
          <w:lang w:eastAsia="en-GB"/>
          <w14:ligatures w14:val="none"/>
        </w:rPr>
        <w:t>3</w:t>
      </w:r>
      <w:r w:rsidRPr="008718F0">
        <w:rPr>
          <w:rFonts w:eastAsia="Times New Roman" w:cs="Arial"/>
          <w:kern w:val="0"/>
          <w:lang w:eastAsia="en-GB"/>
          <w14:ligatures w14:val="none"/>
        </w:rPr>
        <w:t>)</w:t>
      </w:r>
      <w:r w:rsidRPr="00C93B74">
        <w:rPr>
          <w:rFonts w:eastAsia="Times New Roman" w:cs="Arial"/>
          <w:kern w:val="0"/>
          <w:lang w:eastAsia="en-GB"/>
          <w14:ligatures w14:val="none"/>
        </w:rPr>
        <w:t xml:space="preserve">  </w:t>
      </w:r>
    </w:p>
    <w:p w14:paraId="0D754034" w14:textId="14B7E880" w:rsidR="003D49F2" w:rsidRPr="00C93B74" w:rsidRDefault="003D49F2" w:rsidP="00C57D7C">
      <w:pPr>
        <w:pStyle w:val="ListParagraph"/>
        <w:numPr>
          <w:ilvl w:val="0"/>
          <w:numId w:val="64"/>
        </w:numPr>
        <w:spacing w:before="0" w:after="240" w:line="276" w:lineRule="auto"/>
        <w:rPr>
          <w:rFonts w:eastAsia="Times New Roman" w:cs="Arial"/>
          <w:b/>
          <w:bCs/>
          <w:kern w:val="0"/>
          <w:lang w:val="en-US"/>
          <w14:ligatures w14:val="none"/>
        </w:rPr>
      </w:pPr>
      <w:r w:rsidRPr="00C93B74">
        <w:rPr>
          <w:rFonts w:eastAsia="Times New Roman" w:cs="Arial"/>
          <w:kern w:val="0"/>
          <w:lang w:eastAsia="en-GB"/>
          <w14:ligatures w14:val="none"/>
        </w:rPr>
        <w:t xml:space="preserve">Receiving diversionary voluntary referrals from partner agencies for women who are at risk of, or involved with the CJS </w:t>
      </w:r>
      <w:r w:rsidRPr="008718F0">
        <w:rPr>
          <w:rFonts w:eastAsia="Times New Roman" w:cs="Arial"/>
          <w:kern w:val="0"/>
          <w:lang w:eastAsia="en-GB"/>
          <w14:ligatures w14:val="none"/>
        </w:rPr>
        <w:t>(see section</w:t>
      </w:r>
      <w:r w:rsidR="008718F0" w:rsidRPr="008718F0">
        <w:rPr>
          <w:rFonts w:eastAsia="Times New Roman" w:cs="Arial"/>
          <w:kern w:val="0"/>
          <w:lang w:eastAsia="en-GB"/>
          <w14:ligatures w14:val="none"/>
        </w:rPr>
        <w:t xml:space="preserve"> </w:t>
      </w:r>
      <w:r w:rsidR="008718F0" w:rsidRPr="00AA53CA">
        <w:rPr>
          <w:rFonts w:eastAsia="Times New Roman" w:cs="Arial"/>
          <w:kern w:val="0"/>
          <w:lang w:eastAsia="en-GB"/>
          <w14:ligatures w14:val="none"/>
        </w:rPr>
        <w:t>10.2</w:t>
      </w:r>
      <w:r w:rsidR="00AA53CA" w:rsidRPr="00AA53CA">
        <w:rPr>
          <w:rFonts w:eastAsia="Times New Roman" w:cs="Arial"/>
          <w:kern w:val="0"/>
          <w:lang w:eastAsia="en-GB"/>
          <w14:ligatures w14:val="none"/>
        </w:rPr>
        <w:t>.</w:t>
      </w:r>
      <w:r w:rsidR="008718F0" w:rsidRPr="00AA53CA">
        <w:rPr>
          <w:rFonts w:eastAsia="Times New Roman" w:cs="Arial"/>
          <w:kern w:val="0"/>
          <w:lang w:eastAsia="en-GB"/>
          <w14:ligatures w14:val="none"/>
        </w:rPr>
        <w:t>3</w:t>
      </w:r>
      <w:r w:rsidRPr="008718F0">
        <w:rPr>
          <w:rFonts w:eastAsia="Times New Roman" w:cs="Arial"/>
          <w:kern w:val="0"/>
          <w:lang w:eastAsia="en-GB"/>
          <w14:ligatures w14:val="none"/>
        </w:rPr>
        <w:t>)</w:t>
      </w:r>
      <w:r w:rsidRPr="00C93B74">
        <w:rPr>
          <w:rFonts w:eastAsia="Times New Roman" w:cs="Arial"/>
          <w:kern w:val="0"/>
          <w:lang w:eastAsia="en-GB"/>
          <w14:ligatures w14:val="none"/>
        </w:rPr>
        <w:t xml:space="preserve"> </w:t>
      </w:r>
    </w:p>
    <w:p w14:paraId="662CC149" w14:textId="620DA25C" w:rsidR="003D49F2" w:rsidRPr="00C93B74" w:rsidRDefault="003D49F2" w:rsidP="00C57D7C">
      <w:pPr>
        <w:pStyle w:val="ListParagraph"/>
        <w:numPr>
          <w:ilvl w:val="0"/>
          <w:numId w:val="64"/>
        </w:numPr>
        <w:spacing w:before="0" w:after="240" w:line="276" w:lineRule="auto"/>
        <w:rPr>
          <w:rFonts w:eastAsia="Times New Roman" w:cs="Arial"/>
          <w:b/>
          <w:bCs/>
          <w:kern w:val="0"/>
          <w:lang w:val="en-US"/>
          <w14:ligatures w14:val="none"/>
        </w:rPr>
      </w:pPr>
      <w:r w:rsidRPr="00C93B74">
        <w:rPr>
          <w:rFonts w:eastAsia="Times New Roman" w:cs="Arial"/>
          <w:kern w:val="0"/>
          <w:lang w:eastAsia="en-GB"/>
          <w14:ligatures w14:val="none"/>
        </w:rPr>
        <w:t>Receiving referrals from partners into the Women’s Centres (see section</w:t>
      </w:r>
      <w:r w:rsidR="00AA53CA">
        <w:rPr>
          <w:rFonts w:eastAsia="Times New Roman" w:cs="Arial"/>
          <w:kern w:val="0"/>
          <w:lang w:eastAsia="en-GB"/>
          <w14:ligatures w14:val="none"/>
        </w:rPr>
        <w:t xml:space="preserve"> 10</w:t>
      </w:r>
      <w:r w:rsidRPr="00C93B74">
        <w:rPr>
          <w:rFonts w:eastAsia="Times New Roman" w:cs="Arial"/>
          <w:kern w:val="0"/>
          <w:lang w:eastAsia="en-GB"/>
          <w14:ligatures w14:val="none"/>
        </w:rPr>
        <w:t>)</w:t>
      </w:r>
    </w:p>
    <w:p w14:paraId="5E0008C6" w14:textId="77777777" w:rsidR="003D49F2" w:rsidRPr="00C93B74" w:rsidRDefault="003D49F2" w:rsidP="00C57D7C">
      <w:pPr>
        <w:pStyle w:val="ListParagraph"/>
        <w:numPr>
          <w:ilvl w:val="0"/>
          <w:numId w:val="64"/>
        </w:numPr>
        <w:spacing w:before="0" w:after="240" w:line="276" w:lineRule="auto"/>
        <w:rPr>
          <w:rFonts w:eastAsia="Times New Roman" w:cs="Arial"/>
          <w:b/>
          <w:bCs/>
          <w:kern w:val="0"/>
          <w:lang w:val="en-US"/>
          <w14:ligatures w14:val="none"/>
        </w:rPr>
      </w:pPr>
      <w:r w:rsidRPr="00C93B74">
        <w:rPr>
          <w:rFonts w:eastAsia="Times New Roman" w:cs="Arial"/>
          <w:kern w:val="0"/>
          <w:lang w:eastAsia="en-GB"/>
          <w14:ligatures w14:val="none"/>
        </w:rPr>
        <w:t>Generating referrals from drop-in sessions/group work/partner co-location at the Women’s Centres</w:t>
      </w:r>
    </w:p>
    <w:p w14:paraId="425D8C6A" w14:textId="77777777" w:rsidR="003D49F2" w:rsidRPr="00C93B74" w:rsidRDefault="003D49F2" w:rsidP="00C57D7C">
      <w:pPr>
        <w:pStyle w:val="ListParagraph"/>
        <w:numPr>
          <w:ilvl w:val="0"/>
          <w:numId w:val="64"/>
        </w:numPr>
        <w:spacing w:before="0" w:after="240" w:line="276" w:lineRule="auto"/>
        <w:rPr>
          <w:rFonts w:eastAsia="Times New Roman" w:cs="Arial"/>
          <w:b/>
          <w:bCs/>
          <w:kern w:val="0"/>
          <w:lang w:val="en-US"/>
          <w14:ligatures w14:val="none"/>
        </w:rPr>
      </w:pPr>
      <w:r w:rsidRPr="00C93B74">
        <w:rPr>
          <w:rFonts w:eastAsia="Times New Roman" w:cs="Arial"/>
          <w:kern w:val="0"/>
          <w:lang w:eastAsia="en-GB"/>
          <w14:ligatures w14:val="none"/>
        </w:rPr>
        <w:t>Generating referrals from community outreach</w:t>
      </w:r>
    </w:p>
    <w:p w14:paraId="19E09B59" w14:textId="77777777" w:rsidR="003D49F2" w:rsidRPr="00C93B74" w:rsidRDefault="003D49F2" w:rsidP="00C57D7C">
      <w:pPr>
        <w:pStyle w:val="ListParagraph"/>
        <w:numPr>
          <w:ilvl w:val="0"/>
          <w:numId w:val="64"/>
        </w:numPr>
        <w:spacing w:before="0" w:after="240" w:line="276" w:lineRule="auto"/>
        <w:rPr>
          <w:rFonts w:eastAsia="Times New Roman" w:cs="Arial"/>
          <w:kern w:val="0"/>
          <w:lang w:val="en-US"/>
          <w14:ligatures w14:val="none"/>
        </w:rPr>
      </w:pPr>
      <w:r w:rsidRPr="00C93B74">
        <w:rPr>
          <w:rFonts w:eastAsia="Times New Roman" w:cs="Arial"/>
          <w:kern w:val="0"/>
          <w:lang w:val="en-US"/>
          <w14:ligatures w14:val="none"/>
        </w:rPr>
        <w:t>Self-referrals</w:t>
      </w:r>
    </w:p>
    <w:p w14:paraId="58B45AD4" w14:textId="77777777" w:rsidR="003D49F2" w:rsidRPr="00C93B74" w:rsidRDefault="003D49F2" w:rsidP="00C57D7C">
      <w:pPr>
        <w:pStyle w:val="ListParagraph"/>
        <w:numPr>
          <w:ilvl w:val="0"/>
          <w:numId w:val="64"/>
        </w:numPr>
        <w:spacing w:before="0" w:after="240" w:line="276" w:lineRule="auto"/>
        <w:rPr>
          <w:rFonts w:eastAsia="Times New Roman" w:cs="Arial"/>
          <w:kern w:val="0"/>
          <w:lang w:val="en-US"/>
          <w14:ligatures w14:val="none"/>
        </w:rPr>
      </w:pPr>
      <w:r w:rsidRPr="00C93B74">
        <w:rPr>
          <w:rFonts w:eastAsia="Times New Roman" w:cs="Arial"/>
          <w:kern w:val="0"/>
          <w:lang w:val="en-US"/>
          <w14:ligatures w14:val="none"/>
        </w:rPr>
        <w:t>Brief Intervention contacts via outreach with both women and girls</w:t>
      </w:r>
    </w:p>
    <w:p w14:paraId="1A0D6B62" w14:textId="5D607836" w:rsidR="003D49F2" w:rsidRPr="00C93B74" w:rsidRDefault="003D49F2" w:rsidP="00C57D7C">
      <w:pPr>
        <w:pStyle w:val="ListParagraph"/>
        <w:numPr>
          <w:ilvl w:val="0"/>
          <w:numId w:val="64"/>
        </w:numPr>
        <w:spacing w:before="0" w:after="240" w:line="276" w:lineRule="auto"/>
        <w:rPr>
          <w:rFonts w:eastAsia="Times New Roman" w:cs="Arial"/>
          <w:kern w:val="0"/>
          <w:lang w:val="en-US"/>
          <w14:ligatures w14:val="none"/>
        </w:rPr>
      </w:pPr>
      <w:r w:rsidRPr="00C93B74">
        <w:rPr>
          <w:rFonts w:eastAsia="Times New Roman" w:cs="Arial"/>
          <w:kern w:val="0"/>
          <w:lang w:val="en-US"/>
          <w14:ligatures w14:val="none"/>
        </w:rPr>
        <w:t>Delivering group work</w:t>
      </w:r>
    </w:p>
    <w:p w14:paraId="0FDD4574" w14:textId="77777777" w:rsidR="003D49F2" w:rsidRPr="003D49F2" w:rsidRDefault="003D49F2" w:rsidP="00016786">
      <w:pPr>
        <w:pStyle w:val="Heading3"/>
        <w:rPr>
          <w:rFonts w:cs="Calibri"/>
          <w:lang w:val="en-US"/>
        </w:rPr>
      </w:pPr>
      <w:r w:rsidRPr="003D49F2">
        <w:rPr>
          <w:lang w:eastAsia="en-GB"/>
        </w:rPr>
        <w:t>The length of time a woman is engaged with the service will be tailored to specific, identified needs but we anticipate that the average length of support for those who require longer-term support via the full case management process will be six months.</w:t>
      </w:r>
    </w:p>
    <w:p w14:paraId="36BE251E" w14:textId="77777777" w:rsidR="003D49F2" w:rsidRPr="003D49F2" w:rsidRDefault="003D49F2" w:rsidP="00016786">
      <w:pPr>
        <w:pStyle w:val="Heading3"/>
        <w:rPr>
          <w:rFonts w:cs="Calibri"/>
          <w:lang w:val="en-US"/>
        </w:rPr>
      </w:pPr>
      <w:r w:rsidRPr="003D49F2">
        <w:rPr>
          <w:lang w:eastAsia="en-GB"/>
        </w:rPr>
        <w:t>Due to the sometimes-complex nature of the cases that require longer-term support, the caseload expectation for the full case-management process per 1 FTE keyworker is 15. This should also allow capacity for each keyworker to work with an additional three women who require brief intervention support, and to lead group-work and drop-in sessions, as required.</w:t>
      </w:r>
    </w:p>
    <w:p w14:paraId="37A2CFA8" w14:textId="77777777" w:rsidR="003D49F2" w:rsidRDefault="003D49F2" w:rsidP="00016786">
      <w:pPr>
        <w:pStyle w:val="Heading3"/>
        <w:rPr>
          <w:lang w:eastAsia="en-GB"/>
        </w:rPr>
      </w:pPr>
      <w:r w:rsidRPr="003D49F2">
        <w:rPr>
          <w:lang w:eastAsia="en-GB"/>
        </w:rPr>
        <w:t>Taking the above into account, we have been guided to set out the below as minimum FTE and caseload expectations for the service. However, the provider will be required to outline their preferred organisational delivery model for the service to meet the needs of the specification within the financial envelope.</w:t>
      </w:r>
    </w:p>
    <w:p w14:paraId="5C0B67F3" w14:textId="77777777" w:rsidR="001D2944" w:rsidRPr="001D2944" w:rsidRDefault="001D2944" w:rsidP="001D2944">
      <w:pPr>
        <w:rPr>
          <w:lang w:eastAsia="en-GB"/>
        </w:rPr>
      </w:pPr>
    </w:p>
    <w:tbl>
      <w:tblPr>
        <w:tblStyle w:val="TableGrid1"/>
        <w:tblW w:w="0" w:type="auto"/>
        <w:tblInd w:w="720" w:type="dxa"/>
        <w:tblLook w:val="04A0" w:firstRow="1" w:lastRow="0" w:firstColumn="1" w:lastColumn="0" w:noHBand="0" w:noVBand="1"/>
      </w:tblPr>
      <w:tblGrid>
        <w:gridCol w:w="1543"/>
        <w:gridCol w:w="1560"/>
        <w:gridCol w:w="1701"/>
        <w:gridCol w:w="1701"/>
        <w:gridCol w:w="1791"/>
      </w:tblGrid>
      <w:tr w:rsidR="003D49F2" w:rsidRPr="003D49F2" w14:paraId="338101CC" w14:textId="77777777" w:rsidTr="003D49F2">
        <w:tc>
          <w:tcPr>
            <w:tcW w:w="1543" w:type="dxa"/>
            <w:shd w:val="clear" w:color="auto" w:fill="BDD6EE"/>
          </w:tcPr>
          <w:p w14:paraId="7C053F1D" w14:textId="77777777" w:rsidR="003D49F2" w:rsidRPr="003D49F2" w:rsidRDefault="003D49F2" w:rsidP="003D49F2">
            <w:pPr>
              <w:widowControl w:val="0"/>
              <w:autoSpaceDE w:val="0"/>
              <w:autoSpaceDN w:val="0"/>
              <w:adjustRightInd w:val="0"/>
              <w:spacing w:after="120" w:line="276" w:lineRule="auto"/>
              <w:jc w:val="center"/>
              <w:rPr>
                <w:rFonts w:ascii="Calibri" w:hAnsi="Calibri" w:cs="Calibri"/>
                <w:b/>
                <w:sz w:val="22"/>
                <w:szCs w:val="22"/>
              </w:rPr>
            </w:pPr>
            <w:r w:rsidRPr="003D49F2">
              <w:rPr>
                <w:rFonts w:ascii="Calibri" w:hAnsi="Calibri" w:cs="Calibri"/>
                <w:b/>
                <w:sz w:val="22"/>
                <w:szCs w:val="22"/>
              </w:rPr>
              <w:t>Cohort</w:t>
            </w:r>
          </w:p>
        </w:tc>
        <w:tc>
          <w:tcPr>
            <w:tcW w:w="1560" w:type="dxa"/>
            <w:shd w:val="clear" w:color="auto" w:fill="BDD6EE"/>
          </w:tcPr>
          <w:p w14:paraId="705328A1" w14:textId="77777777" w:rsidR="003D49F2" w:rsidRPr="003D49F2" w:rsidRDefault="003D49F2" w:rsidP="003D49F2">
            <w:pPr>
              <w:widowControl w:val="0"/>
              <w:autoSpaceDE w:val="0"/>
              <w:autoSpaceDN w:val="0"/>
              <w:adjustRightInd w:val="0"/>
              <w:spacing w:after="120" w:line="276" w:lineRule="auto"/>
              <w:jc w:val="center"/>
              <w:rPr>
                <w:rFonts w:ascii="Calibri" w:hAnsi="Calibri" w:cs="Calibri"/>
                <w:b/>
                <w:sz w:val="22"/>
                <w:szCs w:val="22"/>
              </w:rPr>
            </w:pPr>
            <w:r w:rsidRPr="003D49F2">
              <w:rPr>
                <w:rFonts w:ascii="Calibri" w:hAnsi="Calibri" w:cs="Calibri"/>
                <w:b/>
                <w:sz w:val="22"/>
                <w:szCs w:val="22"/>
              </w:rPr>
              <w:t>Caseload per FTE at any one time</w:t>
            </w:r>
          </w:p>
        </w:tc>
        <w:tc>
          <w:tcPr>
            <w:tcW w:w="1701" w:type="dxa"/>
            <w:shd w:val="clear" w:color="auto" w:fill="BDD6EE"/>
          </w:tcPr>
          <w:p w14:paraId="414A944F" w14:textId="77777777" w:rsidR="003D49F2" w:rsidRPr="003D49F2" w:rsidRDefault="003D49F2" w:rsidP="003D49F2">
            <w:pPr>
              <w:widowControl w:val="0"/>
              <w:autoSpaceDE w:val="0"/>
              <w:autoSpaceDN w:val="0"/>
              <w:adjustRightInd w:val="0"/>
              <w:spacing w:after="120" w:line="276" w:lineRule="auto"/>
              <w:jc w:val="center"/>
              <w:rPr>
                <w:rFonts w:ascii="Calibri" w:hAnsi="Calibri" w:cs="Calibri"/>
                <w:b/>
                <w:sz w:val="22"/>
                <w:szCs w:val="22"/>
              </w:rPr>
            </w:pPr>
            <w:r w:rsidRPr="003D49F2">
              <w:rPr>
                <w:rFonts w:ascii="Calibri" w:hAnsi="Calibri" w:cs="Calibri"/>
                <w:b/>
                <w:sz w:val="22"/>
                <w:szCs w:val="22"/>
              </w:rPr>
              <w:t>Average time on programme</w:t>
            </w:r>
          </w:p>
        </w:tc>
        <w:tc>
          <w:tcPr>
            <w:tcW w:w="1701" w:type="dxa"/>
            <w:shd w:val="clear" w:color="auto" w:fill="BDD6EE"/>
          </w:tcPr>
          <w:p w14:paraId="65288339" w14:textId="77777777" w:rsidR="003D49F2" w:rsidRPr="003D49F2" w:rsidRDefault="003D49F2" w:rsidP="003D49F2">
            <w:pPr>
              <w:widowControl w:val="0"/>
              <w:autoSpaceDE w:val="0"/>
              <w:autoSpaceDN w:val="0"/>
              <w:adjustRightInd w:val="0"/>
              <w:spacing w:after="120" w:line="276" w:lineRule="auto"/>
              <w:jc w:val="center"/>
              <w:rPr>
                <w:rFonts w:ascii="Calibri" w:hAnsi="Calibri" w:cs="Calibri"/>
                <w:b/>
                <w:sz w:val="22"/>
                <w:szCs w:val="22"/>
              </w:rPr>
            </w:pPr>
            <w:r w:rsidRPr="003D49F2">
              <w:rPr>
                <w:rFonts w:ascii="Calibri" w:hAnsi="Calibri" w:cs="Calibri"/>
                <w:b/>
                <w:sz w:val="22"/>
                <w:szCs w:val="22"/>
              </w:rPr>
              <w:t xml:space="preserve">Cases per year, per FTE </w:t>
            </w:r>
          </w:p>
        </w:tc>
        <w:tc>
          <w:tcPr>
            <w:tcW w:w="1791" w:type="dxa"/>
            <w:shd w:val="clear" w:color="auto" w:fill="BDD6EE"/>
          </w:tcPr>
          <w:p w14:paraId="5E3F0A75" w14:textId="0324B8A8" w:rsidR="003D49F2" w:rsidRPr="003D49F2" w:rsidRDefault="003D49F2" w:rsidP="003D49F2">
            <w:pPr>
              <w:widowControl w:val="0"/>
              <w:autoSpaceDE w:val="0"/>
              <w:autoSpaceDN w:val="0"/>
              <w:adjustRightInd w:val="0"/>
              <w:spacing w:after="120" w:line="276" w:lineRule="auto"/>
              <w:jc w:val="center"/>
              <w:rPr>
                <w:rFonts w:ascii="Calibri" w:hAnsi="Calibri" w:cs="Calibri"/>
                <w:b/>
                <w:sz w:val="22"/>
                <w:szCs w:val="22"/>
              </w:rPr>
            </w:pPr>
            <w:r w:rsidRPr="003D49F2">
              <w:rPr>
                <w:rFonts w:ascii="Calibri" w:hAnsi="Calibri" w:cs="Calibri"/>
                <w:b/>
                <w:sz w:val="22"/>
                <w:szCs w:val="22"/>
              </w:rPr>
              <w:t>Cases per year across service (</w:t>
            </w:r>
            <w:r w:rsidR="00BD63A0">
              <w:rPr>
                <w:rFonts w:ascii="Calibri" w:hAnsi="Calibri" w:cs="Calibri"/>
                <w:b/>
                <w:sz w:val="22"/>
                <w:szCs w:val="22"/>
              </w:rPr>
              <w:t>8</w:t>
            </w:r>
            <w:r w:rsidRPr="003D49F2">
              <w:rPr>
                <w:rFonts w:ascii="Calibri" w:hAnsi="Calibri" w:cs="Calibri"/>
                <w:b/>
                <w:sz w:val="22"/>
                <w:szCs w:val="22"/>
              </w:rPr>
              <w:t xml:space="preserve"> FTE)</w:t>
            </w:r>
          </w:p>
        </w:tc>
      </w:tr>
      <w:tr w:rsidR="003D49F2" w:rsidRPr="003D49F2" w14:paraId="1336BFCB" w14:textId="77777777" w:rsidTr="00F44331">
        <w:tc>
          <w:tcPr>
            <w:tcW w:w="1543" w:type="dxa"/>
          </w:tcPr>
          <w:p w14:paraId="772EBA09" w14:textId="77777777" w:rsidR="003D49F2" w:rsidRPr="003D49F2" w:rsidRDefault="003D49F2" w:rsidP="003D49F2">
            <w:pPr>
              <w:widowControl w:val="0"/>
              <w:autoSpaceDE w:val="0"/>
              <w:autoSpaceDN w:val="0"/>
              <w:adjustRightInd w:val="0"/>
              <w:spacing w:after="120" w:line="276" w:lineRule="auto"/>
              <w:rPr>
                <w:rFonts w:ascii="Calibri" w:hAnsi="Calibri" w:cs="Calibri"/>
                <w:b/>
                <w:sz w:val="22"/>
                <w:szCs w:val="22"/>
              </w:rPr>
            </w:pPr>
            <w:r w:rsidRPr="003D49F2">
              <w:rPr>
                <w:rFonts w:ascii="Calibri" w:hAnsi="Calibri" w:cs="Calibri"/>
                <w:b/>
                <w:sz w:val="22"/>
                <w:szCs w:val="22"/>
              </w:rPr>
              <w:t>Longer-term Case management</w:t>
            </w:r>
          </w:p>
        </w:tc>
        <w:tc>
          <w:tcPr>
            <w:tcW w:w="1560" w:type="dxa"/>
          </w:tcPr>
          <w:p w14:paraId="56A3DDAF" w14:textId="77777777" w:rsidR="003D49F2" w:rsidRPr="003D49F2" w:rsidRDefault="003D49F2" w:rsidP="003D49F2">
            <w:pPr>
              <w:widowControl w:val="0"/>
              <w:autoSpaceDE w:val="0"/>
              <w:autoSpaceDN w:val="0"/>
              <w:adjustRightInd w:val="0"/>
              <w:spacing w:after="120" w:line="276" w:lineRule="auto"/>
              <w:jc w:val="right"/>
              <w:rPr>
                <w:rFonts w:ascii="Calibri" w:hAnsi="Calibri" w:cs="Calibri"/>
                <w:b/>
                <w:sz w:val="22"/>
                <w:szCs w:val="22"/>
              </w:rPr>
            </w:pPr>
            <w:r w:rsidRPr="003D49F2">
              <w:rPr>
                <w:rFonts w:ascii="Calibri" w:hAnsi="Calibri" w:cs="Calibri"/>
                <w:b/>
                <w:sz w:val="22"/>
                <w:szCs w:val="22"/>
              </w:rPr>
              <w:t xml:space="preserve"> 15</w:t>
            </w:r>
          </w:p>
        </w:tc>
        <w:tc>
          <w:tcPr>
            <w:tcW w:w="1701" w:type="dxa"/>
          </w:tcPr>
          <w:p w14:paraId="677C6A7F" w14:textId="77777777" w:rsidR="003D49F2" w:rsidRPr="003D49F2" w:rsidRDefault="003D49F2" w:rsidP="003D49F2">
            <w:pPr>
              <w:widowControl w:val="0"/>
              <w:autoSpaceDE w:val="0"/>
              <w:autoSpaceDN w:val="0"/>
              <w:adjustRightInd w:val="0"/>
              <w:spacing w:after="120" w:line="276" w:lineRule="auto"/>
              <w:jc w:val="right"/>
              <w:rPr>
                <w:rFonts w:ascii="Calibri" w:hAnsi="Calibri" w:cs="Calibri"/>
                <w:b/>
                <w:sz w:val="22"/>
                <w:szCs w:val="22"/>
              </w:rPr>
            </w:pPr>
            <w:r w:rsidRPr="003D49F2">
              <w:rPr>
                <w:rFonts w:ascii="Calibri" w:hAnsi="Calibri" w:cs="Calibri"/>
                <w:b/>
                <w:sz w:val="22"/>
                <w:szCs w:val="22"/>
              </w:rPr>
              <w:t>6 months</w:t>
            </w:r>
          </w:p>
        </w:tc>
        <w:tc>
          <w:tcPr>
            <w:tcW w:w="1701" w:type="dxa"/>
          </w:tcPr>
          <w:p w14:paraId="2B0E87DE" w14:textId="77777777" w:rsidR="003D49F2" w:rsidRPr="003D49F2" w:rsidRDefault="003D49F2" w:rsidP="003D49F2">
            <w:pPr>
              <w:widowControl w:val="0"/>
              <w:autoSpaceDE w:val="0"/>
              <w:autoSpaceDN w:val="0"/>
              <w:adjustRightInd w:val="0"/>
              <w:spacing w:after="120" w:line="276" w:lineRule="auto"/>
              <w:jc w:val="right"/>
              <w:rPr>
                <w:rFonts w:ascii="Calibri" w:hAnsi="Calibri" w:cs="Calibri"/>
                <w:b/>
                <w:sz w:val="22"/>
                <w:szCs w:val="22"/>
              </w:rPr>
            </w:pPr>
            <w:r w:rsidRPr="003D49F2">
              <w:rPr>
                <w:rFonts w:ascii="Calibri" w:hAnsi="Calibri" w:cs="Calibri"/>
                <w:b/>
                <w:sz w:val="22"/>
                <w:szCs w:val="22"/>
              </w:rPr>
              <w:t>30</w:t>
            </w:r>
          </w:p>
        </w:tc>
        <w:tc>
          <w:tcPr>
            <w:tcW w:w="1791" w:type="dxa"/>
          </w:tcPr>
          <w:p w14:paraId="677F218B" w14:textId="41C7E090" w:rsidR="003D49F2" w:rsidRPr="003D49F2" w:rsidRDefault="00BD63A0" w:rsidP="003D49F2">
            <w:pPr>
              <w:widowControl w:val="0"/>
              <w:autoSpaceDE w:val="0"/>
              <w:autoSpaceDN w:val="0"/>
              <w:adjustRightInd w:val="0"/>
              <w:spacing w:after="120" w:line="276" w:lineRule="auto"/>
              <w:jc w:val="right"/>
              <w:rPr>
                <w:rFonts w:ascii="Calibri" w:hAnsi="Calibri" w:cs="Calibri"/>
                <w:b/>
                <w:sz w:val="22"/>
                <w:szCs w:val="22"/>
              </w:rPr>
            </w:pPr>
            <w:r>
              <w:rPr>
                <w:rFonts w:ascii="Calibri" w:hAnsi="Calibri" w:cs="Calibri"/>
                <w:b/>
                <w:sz w:val="22"/>
                <w:szCs w:val="22"/>
              </w:rPr>
              <w:t>240</w:t>
            </w:r>
          </w:p>
        </w:tc>
      </w:tr>
      <w:tr w:rsidR="003D49F2" w:rsidRPr="003D49F2" w14:paraId="442E8DD0" w14:textId="77777777" w:rsidTr="00F44331">
        <w:tc>
          <w:tcPr>
            <w:tcW w:w="1543" w:type="dxa"/>
          </w:tcPr>
          <w:p w14:paraId="3668909C" w14:textId="77777777" w:rsidR="003D49F2" w:rsidRPr="003D49F2" w:rsidRDefault="003D49F2" w:rsidP="003D49F2">
            <w:pPr>
              <w:widowControl w:val="0"/>
              <w:autoSpaceDE w:val="0"/>
              <w:autoSpaceDN w:val="0"/>
              <w:adjustRightInd w:val="0"/>
              <w:spacing w:after="120" w:line="276" w:lineRule="auto"/>
              <w:rPr>
                <w:rFonts w:ascii="Calibri" w:hAnsi="Calibri" w:cs="Calibri"/>
                <w:b/>
                <w:sz w:val="22"/>
                <w:szCs w:val="22"/>
              </w:rPr>
            </w:pPr>
            <w:r w:rsidRPr="003D49F2">
              <w:rPr>
                <w:rFonts w:ascii="Calibri" w:hAnsi="Calibri" w:cs="Calibri"/>
                <w:b/>
                <w:sz w:val="22"/>
                <w:szCs w:val="22"/>
              </w:rPr>
              <w:t>Brief Intervention</w:t>
            </w:r>
          </w:p>
        </w:tc>
        <w:tc>
          <w:tcPr>
            <w:tcW w:w="1560" w:type="dxa"/>
          </w:tcPr>
          <w:p w14:paraId="64807D8C" w14:textId="77777777" w:rsidR="003D49F2" w:rsidRPr="003D49F2" w:rsidRDefault="003D49F2" w:rsidP="003D49F2">
            <w:pPr>
              <w:widowControl w:val="0"/>
              <w:autoSpaceDE w:val="0"/>
              <w:autoSpaceDN w:val="0"/>
              <w:adjustRightInd w:val="0"/>
              <w:spacing w:after="120" w:line="276" w:lineRule="auto"/>
              <w:jc w:val="right"/>
              <w:rPr>
                <w:rFonts w:ascii="Calibri" w:hAnsi="Calibri" w:cs="Calibri"/>
                <w:b/>
                <w:sz w:val="22"/>
                <w:szCs w:val="22"/>
              </w:rPr>
            </w:pPr>
            <w:r w:rsidRPr="003D49F2">
              <w:rPr>
                <w:rFonts w:ascii="Calibri" w:hAnsi="Calibri" w:cs="Calibri"/>
                <w:b/>
                <w:sz w:val="22"/>
                <w:szCs w:val="22"/>
              </w:rPr>
              <w:t>3</w:t>
            </w:r>
          </w:p>
        </w:tc>
        <w:tc>
          <w:tcPr>
            <w:tcW w:w="1701" w:type="dxa"/>
          </w:tcPr>
          <w:p w14:paraId="305D4BA3" w14:textId="77777777" w:rsidR="003D49F2" w:rsidRPr="003D49F2" w:rsidRDefault="003D49F2" w:rsidP="003D49F2">
            <w:pPr>
              <w:widowControl w:val="0"/>
              <w:autoSpaceDE w:val="0"/>
              <w:autoSpaceDN w:val="0"/>
              <w:adjustRightInd w:val="0"/>
              <w:spacing w:after="120" w:line="276" w:lineRule="auto"/>
              <w:jc w:val="right"/>
              <w:rPr>
                <w:rFonts w:ascii="Calibri" w:hAnsi="Calibri" w:cs="Calibri"/>
                <w:b/>
                <w:sz w:val="22"/>
                <w:szCs w:val="22"/>
              </w:rPr>
            </w:pPr>
            <w:r w:rsidRPr="003D49F2">
              <w:rPr>
                <w:rFonts w:ascii="Calibri" w:hAnsi="Calibri" w:cs="Calibri"/>
                <w:b/>
                <w:sz w:val="22"/>
                <w:szCs w:val="22"/>
              </w:rPr>
              <w:t>1 month</w:t>
            </w:r>
          </w:p>
        </w:tc>
        <w:tc>
          <w:tcPr>
            <w:tcW w:w="1701" w:type="dxa"/>
          </w:tcPr>
          <w:p w14:paraId="062B75A6" w14:textId="77777777" w:rsidR="003D49F2" w:rsidRPr="003D49F2" w:rsidRDefault="003D49F2" w:rsidP="003D49F2">
            <w:pPr>
              <w:widowControl w:val="0"/>
              <w:autoSpaceDE w:val="0"/>
              <w:autoSpaceDN w:val="0"/>
              <w:adjustRightInd w:val="0"/>
              <w:spacing w:after="120" w:line="276" w:lineRule="auto"/>
              <w:jc w:val="right"/>
              <w:rPr>
                <w:rFonts w:ascii="Calibri" w:hAnsi="Calibri" w:cs="Calibri"/>
                <w:b/>
                <w:sz w:val="22"/>
                <w:szCs w:val="22"/>
              </w:rPr>
            </w:pPr>
            <w:r w:rsidRPr="003D49F2">
              <w:rPr>
                <w:rFonts w:ascii="Calibri" w:hAnsi="Calibri" w:cs="Calibri"/>
                <w:b/>
                <w:sz w:val="22"/>
                <w:szCs w:val="22"/>
              </w:rPr>
              <w:t>36</w:t>
            </w:r>
          </w:p>
        </w:tc>
        <w:tc>
          <w:tcPr>
            <w:tcW w:w="1791" w:type="dxa"/>
          </w:tcPr>
          <w:p w14:paraId="4C4D1514" w14:textId="12561307" w:rsidR="003D49F2" w:rsidRPr="003D49F2" w:rsidRDefault="00BD63A0" w:rsidP="003D49F2">
            <w:pPr>
              <w:widowControl w:val="0"/>
              <w:autoSpaceDE w:val="0"/>
              <w:autoSpaceDN w:val="0"/>
              <w:adjustRightInd w:val="0"/>
              <w:spacing w:after="120" w:line="276" w:lineRule="auto"/>
              <w:jc w:val="right"/>
              <w:rPr>
                <w:rFonts w:ascii="Calibri" w:hAnsi="Calibri" w:cs="Calibri"/>
                <w:b/>
                <w:sz w:val="22"/>
                <w:szCs w:val="22"/>
              </w:rPr>
            </w:pPr>
            <w:r>
              <w:rPr>
                <w:rFonts w:ascii="Calibri" w:hAnsi="Calibri" w:cs="Calibri"/>
                <w:b/>
                <w:sz w:val="22"/>
                <w:szCs w:val="22"/>
              </w:rPr>
              <w:t>288</w:t>
            </w:r>
          </w:p>
        </w:tc>
      </w:tr>
      <w:tr w:rsidR="003D49F2" w:rsidRPr="003D49F2" w14:paraId="7DEB4D80" w14:textId="77777777" w:rsidTr="00F44331">
        <w:tc>
          <w:tcPr>
            <w:tcW w:w="1543" w:type="dxa"/>
          </w:tcPr>
          <w:p w14:paraId="49032D78" w14:textId="77777777" w:rsidR="003D49F2" w:rsidRPr="003D49F2" w:rsidRDefault="003D49F2" w:rsidP="003D49F2">
            <w:pPr>
              <w:widowControl w:val="0"/>
              <w:autoSpaceDE w:val="0"/>
              <w:autoSpaceDN w:val="0"/>
              <w:adjustRightInd w:val="0"/>
              <w:spacing w:after="120" w:line="276" w:lineRule="auto"/>
              <w:rPr>
                <w:rFonts w:ascii="Calibri" w:hAnsi="Calibri" w:cs="Calibri"/>
                <w:b/>
                <w:sz w:val="22"/>
                <w:szCs w:val="22"/>
              </w:rPr>
            </w:pPr>
            <w:r w:rsidRPr="003D49F2">
              <w:rPr>
                <w:rFonts w:ascii="Calibri" w:hAnsi="Calibri" w:cs="Calibri"/>
                <w:b/>
                <w:sz w:val="22"/>
                <w:szCs w:val="22"/>
              </w:rPr>
              <w:t>Total</w:t>
            </w:r>
          </w:p>
        </w:tc>
        <w:tc>
          <w:tcPr>
            <w:tcW w:w="1560" w:type="dxa"/>
          </w:tcPr>
          <w:p w14:paraId="19F42452" w14:textId="77777777" w:rsidR="003D49F2" w:rsidRPr="003D49F2" w:rsidRDefault="003D49F2" w:rsidP="003D49F2">
            <w:pPr>
              <w:widowControl w:val="0"/>
              <w:autoSpaceDE w:val="0"/>
              <w:autoSpaceDN w:val="0"/>
              <w:adjustRightInd w:val="0"/>
              <w:spacing w:after="120" w:line="276" w:lineRule="auto"/>
              <w:jc w:val="right"/>
              <w:rPr>
                <w:rFonts w:ascii="Calibri" w:hAnsi="Calibri" w:cs="Calibri"/>
                <w:b/>
                <w:sz w:val="22"/>
                <w:szCs w:val="22"/>
              </w:rPr>
            </w:pPr>
            <w:r w:rsidRPr="003D49F2">
              <w:rPr>
                <w:rFonts w:ascii="Calibri" w:hAnsi="Calibri" w:cs="Calibri"/>
                <w:b/>
                <w:sz w:val="22"/>
                <w:szCs w:val="22"/>
              </w:rPr>
              <w:t>18</w:t>
            </w:r>
          </w:p>
        </w:tc>
        <w:tc>
          <w:tcPr>
            <w:tcW w:w="1701" w:type="dxa"/>
          </w:tcPr>
          <w:p w14:paraId="46221B74" w14:textId="77777777" w:rsidR="003D49F2" w:rsidRPr="003D49F2" w:rsidRDefault="003D49F2" w:rsidP="003D49F2">
            <w:pPr>
              <w:widowControl w:val="0"/>
              <w:autoSpaceDE w:val="0"/>
              <w:autoSpaceDN w:val="0"/>
              <w:adjustRightInd w:val="0"/>
              <w:spacing w:after="120" w:line="276" w:lineRule="auto"/>
              <w:jc w:val="right"/>
              <w:rPr>
                <w:rFonts w:ascii="Calibri" w:hAnsi="Calibri" w:cs="Calibri"/>
                <w:b/>
                <w:sz w:val="22"/>
                <w:szCs w:val="22"/>
              </w:rPr>
            </w:pPr>
            <w:r w:rsidRPr="003D49F2">
              <w:rPr>
                <w:rFonts w:ascii="Calibri" w:hAnsi="Calibri" w:cs="Calibri"/>
                <w:b/>
                <w:sz w:val="22"/>
                <w:szCs w:val="22"/>
              </w:rPr>
              <w:t>-</w:t>
            </w:r>
          </w:p>
        </w:tc>
        <w:tc>
          <w:tcPr>
            <w:tcW w:w="1701" w:type="dxa"/>
          </w:tcPr>
          <w:p w14:paraId="25841DCA" w14:textId="77777777" w:rsidR="003D49F2" w:rsidRPr="003D49F2" w:rsidRDefault="003D49F2" w:rsidP="003D49F2">
            <w:pPr>
              <w:widowControl w:val="0"/>
              <w:autoSpaceDE w:val="0"/>
              <w:autoSpaceDN w:val="0"/>
              <w:adjustRightInd w:val="0"/>
              <w:spacing w:after="120" w:line="276" w:lineRule="auto"/>
              <w:jc w:val="right"/>
              <w:rPr>
                <w:rFonts w:ascii="Calibri" w:hAnsi="Calibri" w:cs="Calibri"/>
                <w:b/>
                <w:sz w:val="22"/>
                <w:szCs w:val="22"/>
              </w:rPr>
            </w:pPr>
            <w:r w:rsidRPr="003D49F2">
              <w:rPr>
                <w:rFonts w:ascii="Calibri" w:hAnsi="Calibri" w:cs="Calibri"/>
                <w:b/>
                <w:sz w:val="22"/>
                <w:szCs w:val="22"/>
              </w:rPr>
              <w:t>66</w:t>
            </w:r>
          </w:p>
        </w:tc>
        <w:tc>
          <w:tcPr>
            <w:tcW w:w="1791" w:type="dxa"/>
          </w:tcPr>
          <w:p w14:paraId="58779065" w14:textId="3E7ED19C" w:rsidR="003D49F2" w:rsidRPr="003D49F2" w:rsidRDefault="003D49F2" w:rsidP="003D49F2">
            <w:pPr>
              <w:widowControl w:val="0"/>
              <w:autoSpaceDE w:val="0"/>
              <w:autoSpaceDN w:val="0"/>
              <w:adjustRightInd w:val="0"/>
              <w:spacing w:after="120" w:line="276" w:lineRule="auto"/>
              <w:jc w:val="right"/>
              <w:rPr>
                <w:rFonts w:ascii="Calibri" w:hAnsi="Calibri" w:cs="Calibri"/>
                <w:b/>
                <w:sz w:val="22"/>
                <w:szCs w:val="22"/>
              </w:rPr>
            </w:pPr>
            <w:r w:rsidRPr="003D49F2">
              <w:rPr>
                <w:rFonts w:ascii="Calibri" w:hAnsi="Calibri" w:cs="Calibri"/>
                <w:b/>
                <w:sz w:val="22"/>
                <w:szCs w:val="22"/>
              </w:rPr>
              <w:t>5</w:t>
            </w:r>
            <w:r w:rsidR="00BD63A0">
              <w:rPr>
                <w:rFonts w:ascii="Calibri" w:hAnsi="Calibri" w:cs="Calibri"/>
                <w:b/>
                <w:sz w:val="22"/>
                <w:szCs w:val="22"/>
              </w:rPr>
              <w:t>28</w:t>
            </w:r>
          </w:p>
        </w:tc>
      </w:tr>
    </w:tbl>
    <w:p w14:paraId="461F6C4F" w14:textId="77777777" w:rsidR="003D49F2" w:rsidRPr="003D49F2" w:rsidRDefault="003D49F2" w:rsidP="00016786">
      <w:pPr>
        <w:widowControl w:val="0"/>
        <w:autoSpaceDE w:val="0"/>
        <w:autoSpaceDN w:val="0"/>
        <w:adjustRightInd w:val="0"/>
        <w:spacing w:before="0" w:after="200"/>
        <w:contextualSpacing/>
        <w:rPr>
          <w:rFonts w:ascii="Calibri" w:eastAsia="Times New Roman" w:hAnsi="Calibri" w:cs="Calibri"/>
          <w:kern w:val="0"/>
          <w:lang w:eastAsia="en-GB"/>
          <w14:ligatures w14:val="none"/>
        </w:rPr>
      </w:pPr>
    </w:p>
    <w:p w14:paraId="3E8AECC3" w14:textId="77777777" w:rsidR="003D49F2" w:rsidRPr="003D49F2" w:rsidRDefault="003D49F2" w:rsidP="00016786">
      <w:pPr>
        <w:pStyle w:val="Heading3"/>
        <w:rPr>
          <w:lang w:val="en-US"/>
        </w:rPr>
      </w:pPr>
      <w:r w:rsidRPr="003D49F2">
        <w:rPr>
          <w:lang w:eastAsia="en-GB"/>
        </w:rPr>
        <w:lastRenderedPageBreak/>
        <w:t>Service capacity will be reviewed on an ongoing basis with the YNYCA Contract Manager.</w:t>
      </w:r>
    </w:p>
    <w:p w14:paraId="72A9DB6A" w14:textId="77777777" w:rsidR="003D49F2" w:rsidRDefault="003D49F2" w:rsidP="00E53ACC">
      <w:pPr>
        <w:pStyle w:val="Heading2"/>
      </w:pPr>
      <w:r w:rsidRPr="003D49F2">
        <w:t>Eligibility for service</w:t>
      </w:r>
    </w:p>
    <w:p w14:paraId="4D85F6E3" w14:textId="77777777" w:rsidR="00B140C6" w:rsidRPr="00B140C6" w:rsidRDefault="00B140C6" w:rsidP="00C57D7C">
      <w:pPr>
        <w:pStyle w:val="Heading3"/>
        <w:numPr>
          <w:ilvl w:val="2"/>
          <w:numId w:val="66"/>
        </w:numPr>
        <w:rPr>
          <w:lang w:val="en-US" w:eastAsia="en-GB"/>
        </w:rPr>
      </w:pPr>
    </w:p>
    <w:p w14:paraId="795364E5" w14:textId="21AF786D" w:rsidR="003D49F2" w:rsidRPr="003D49F2" w:rsidRDefault="003D49F2" w:rsidP="00C57D7C">
      <w:pPr>
        <w:pStyle w:val="Heading3"/>
        <w:numPr>
          <w:ilvl w:val="0"/>
          <w:numId w:val="65"/>
        </w:numPr>
        <w:rPr>
          <w:lang w:eastAsia="en-GB"/>
        </w:rPr>
      </w:pPr>
      <w:r w:rsidRPr="00016786">
        <w:rPr>
          <w:b/>
          <w:lang w:eastAsia="en-GB"/>
        </w:rPr>
        <w:t xml:space="preserve">Age: </w:t>
      </w:r>
      <w:r w:rsidRPr="003D49F2">
        <w:rPr>
          <w:lang w:eastAsia="en-GB"/>
        </w:rPr>
        <w:t xml:space="preserve">18+ however, time can be protected at the Women’s Centres for those under 18 to access the facilities or to host groups. Outreach support </w:t>
      </w:r>
      <w:r w:rsidR="002C0754">
        <w:rPr>
          <w:lang w:eastAsia="en-GB"/>
        </w:rPr>
        <w:t>will</w:t>
      </w:r>
      <w:r w:rsidRPr="003D49F2">
        <w:rPr>
          <w:lang w:eastAsia="en-GB"/>
        </w:rPr>
        <w:t xml:space="preserve"> also be offered to girls.</w:t>
      </w:r>
    </w:p>
    <w:p w14:paraId="0F529AE8" w14:textId="77777777" w:rsidR="003D49F2" w:rsidRPr="003D49F2" w:rsidRDefault="003D49F2" w:rsidP="00C57D7C">
      <w:pPr>
        <w:pStyle w:val="Heading3"/>
        <w:numPr>
          <w:ilvl w:val="0"/>
          <w:numId w:val="65"/>
        </w:numPr>
        <w:rPr>
          <w:rFonts w:cs="Arial"/>
          <w:b/>
        </w:rPr>
      </w:pPr>
      <w:r w:rsidRPr="003D49F2">
        <w:rPr>
          <w:rFonts w:cs="Arial"/>
          <w:b/>
        </w:rPr>
        <w:t>Location:</w:t>
      </w:r>
      <w:r w:rsidRPr="003D49F2">
        <w:rPr>
          <w:rFonts w:cs="Arial"/>
        </w:rPr>
        <w:t xml:space="preserve"> </w:t>
      </w:r>
      <w:r w:rsidRPr="003D49F2">
        <w:rPr>
          <w:lang w:eastAsia="en-GB"/>
        </w:rPr>
        <w:t>any resident of York and North Yorkshire.</w:t>
      </w:r>
    </w:p>
    <w:p w14:paraId="6F0D778B" w14:textId="77777777" w:rsidR="003D49F2" w:rsidRPr="003D49F2" w:rsidRDefault="003D49F2" w:rsidP="00C57D7C">
      <w:pPr>
        <w:pStyle w:val="Heading3"/>
        <w:numPr>
          <w:ilvl w:val="0"/>
          <w:numId w:val="65"/>
        </w:numPr>
        <w:rPr>
          <w:b/>
        </w:rPr>
      </w:pPr>
      <w:r w:rsidRPr="003D49F2">
        <w:rPr>
          <w:b/>
        </w:rPr>
        <w:t xml:space="preserve">Time: </w:t>
      </w:r>
      <w:r w:rsidRPr="003D49F2">
        <w:t xml:space="preserve">Women can access the service from prevention and early intervention through to resettlement. </w:t>
      </w:r>
      <w:r w:rsidRPr="003D49F2">
        <w:rPr>
          <w:rFonts w:cs="Calibri"/>
        </w:rPr>
        <w:t>Re-referrals will be accepted, whether they have previously engaged with</w:t>
      </w:r>
      <w:r w:rsidRPr="003D49F2">
        <w:t xml:space="preserve"> </w:t>
      </w:r>
      <w:r w:rsidRPr="003D49F2">
        <w:rPr>
          <w:rFonts w:cs="Calibri"/>
        </w:rPr>
        <w:t>the</w:t>
      </w:r>
      <w:r w:rsidRPr="003D49F2">
        <w:t xml:space="preserve"> </w:t>
      </w:r>
      <w:r w:rsidRPr="003D49F2">
        <w:rPr>
          <w:rFonts w:cs="Calibri"/>
        </w:rPr>
        <w:t>service or not.</w:t>
      </w:r>
    </w:p>
    <w:p w14:paraId="72AFF15A" w14:textId="77777777" w:rsidR="003D49F2" w:rsidRPr="003D49F2" w:rsidRDefault="003D49F2" w:rsidP="00C57D7C">
      <w:pPr>
        <w:pStyle w:val="Heading3"/>
        <w:numPr>
          <w:ilvl w:val="2"/>
          <w:numId w:val="66"/>
        </w:numPr>
      </w:pPr>
      <w:r w:rsidRPr="003D49F2">
        <w:t xml:space="preserve">The service will be non-discriminatory and support women from diverse populations and should be delivered in ways deemed suitable for everyone’s different circumstances (e.g. age appropriate, culturally sensitive, easily understood). </w:t>
      </w:r>
    </w:p>
    <w:p w14:paraId="62CAEC39" w14:textId="77777777" w:rsidR="003D49F2" w:rsidRPr="003D49F2" w:rsidRDefault="003D49F2" w:rsidP="00E53ACC">
      <w:pPr>
        <w:pStyle w:val="Heading2"/>
      </w:pPr>
      <w:r w:rsidRPr="003D49F2">
        <w:t>The Service will reach out to women who may not ordinarily seek support, by targeting support in hidden populations and working proactively to reach underrepresented communities.</w:t>
      </w:r>
    </w:p>
    <w:p w14:paraId="1DD54184" w14:textId="77777777" w:rsidR="003D49F2" w:rsidRPr="003D49F2" w:rsidRDefault="003D49F2" w:rsidP="00E53ACC">
      <w:pPr>
        <w:pStyle w:val="Heading2"/>
      </w:pPr>
      <w:r w:rsidRPr="003D49F2">
        <w:t>Providers must consider how to provide a tailored and bespoke package of support for:</w:t>
      </w:r>
    </w:p>
    <w:p w14:paraId="193F33A1"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Women who are older (aged 65yrs+)</w:t>
      </w:r>
    </w:p>
    <w:p w14:paraId="28AC76B0"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Those who identify as transgender, non-binary or other</w:t>
      </w:r>
    </w:p>
    <w:p w14:paraId="7B52178C"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Those who identify as lesbian, gay, bisexual or other</w:t>
      </w:r>
    </w:p>
    <w:p w14:paraId="175E5F5B"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Women from global majority communities</w:t>
      </w:r>
    </w:p>
    <w:p w14:paraId="1A7CE587"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Women from Gypsy, Roma, and Traveller communities</w:t>
      </w:r>
    </w:p>
    <w:p w14:paraId="447E19C0"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Women from different faith communities</w:t>
      </w:r>
    </w:p>
    <w:p w14:paraId="34AEACF3"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Those with language barriers</w:t>
      </w:r>
    </w:p>
    <w:p w14:paraId="2C2DA3B8"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Women from isolated and/or marginalised communities, including rural and military communities</w:t>
      </w:r>
    </w:p>
    <w:p w14:paraId="6DEEA195"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Those with disabilities, including hidden disabilities and neurodiversity</w:t>
      </w:r>
    </w:p>
    <w:p w14:paraId="76B9C5DD"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Those with complex or multiple needs e.g., those for whom the impact may have increased their mental health issues</w:t>
      </w:r>
    </w:p>
    <w:p w14:paraId="4FE8AF7D"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Women who offend</w:t>
      </w:r>
    </w:p>
    <w:p w14:paraId="2CA12029" w14:textId="77777777" w:rsidR="003D49F2" w:rsidRPr="003D49F2" w:rsidRDefault="003D49F2" w:rsidP="00C57D7C">
      <w:pPr>
        <w:numPr>
          <w:ilvl w:val="0"/>
          <w:numId w:val="59"/>
        </w:numPr>
        <w:spacing w:before="0" w:after="120" w:line="276" w:lineRule="auto"/>
        <w:jc w:val="both"/>
        <w:rPr>
          <w:rFonts w:eastAsia="Times New Roman" w:cs="Arial"/>
          <w:kern w:val="0"/>
          <w14:ligatures w14:val="none"/>
        </w:rPr>
      </w:pPr>
      <w:r w:rsidRPr="003D49F2">
        <w:rPr>
          <w:rFonts w:eastAsia="Times New Roman" w:cs="Arial"/>
          <w:kern w:val="0"/>
          <w14:ligatures w14:val="none"/>
        </w:rPr>
        <w:t>Women with no recourse to public funds or insecure immigration status</w:t>
      </w:r>
    </w:p>
    <w:p w14:paraId="3C5B7EE4" w14:textId="77777777" w:rsidR="003D49F2" w:rsidRPr="003D49F2" w:rsidRDefault="003D49F2" w:rsidP="003D49F2">
      <w:pPr>
        <w:spacing w:after="120"/>
        <w:ind w:left="1152"/>
        <w:jc w:val="both"/>
        <w:rPr>
          <w:rFonts w:ascii="Calibri" w:eastAsia="Times New Roman" w:hAnsi="Calibri" w:cs="Calibri"/>
          <w:kern w:val="0"/>
          <w14:ligatures w14:val="none"/>
        </w:rPr>
      </w:pPr>
    </w:p>
    <w:p w14:paraId="1D1FBAEF" w14:textId="77777777" w:rsidR="003D49F2" w:rsidRPr="003D49F2" w:rsidRDefault="003D49F2" w:rsidP="00E53ACC">
      <w:pPr>
        <w:pStyle w:val="Heading2"/>
      </w:pPr>
      <w:r w:rsidRPr="003D49F2">
        <w:lastRenderedPageBreak/>
        <w:t>Peer Mentors &amp; Lived Experience</w:t>
      </w:r>
    </w:p>
    <w:p w14:paraId="65532EF3" w14:textId="77777777" w:rsidR="003D49F2" w:rsidRPr="003D49F2" w:rsidRDefault="003D49F2" w:rsidP="00C57D7C">
      <w:pPr>
        <w:pStyle w:val="Heading3"/>
        <w:numPr>
          <w:ilvl w:val="2"/>
          <w:numId w:val="67"/>
        </w:numPr>
        <w:rPr>
          <w:lang w:eastAsia="en-GB"/>
        </w:rPr>
      </w:pPr>
      <w:r w:rsidRPr="003D49F2">
        <w:rPr>
          <w:lang w:eastAsia="en-GB"/>
        </w:rPr>
        <w:t xml:space="preserve">Peer support be considered for all participants and offered to those where it is appropriate during engagement with the service and/or upon exit from the service, as part of the exit strategy. This should include the provider actively encouraging those with lived experience to apply for keyworker roles, and the establishment of voluntary peer mentors who are able to offer support during and/or after the support period has finished. </w:t>
      </w:r>
    </w:p>
    <w:p w14:paraId="433D0F19" w14:textId="77777777" w:rsidR="003D49F2" w:rsidRPr="003D49F2" w:rsidRDefault="003D49F2" w:rsidP="00A21FCD">
      <w:pPr>
        <w:pStyle w:val="Heading3"/>
        <w:rPr>
          <w:lang w:eastAsia="en-GB"/>
        </w:rPr>
      </w:pPr>
      <w:r w:rsidRPr="003D49F2">
        <w:rPr>
          <w:lang w:eastAsia="en-GB"/>
        </w:rPr>
        <w:t>This will allow for a balance to be found between ensuring caseload sizes are manageable for keyworkers, and that individuals with complex needs are able to access support for long enough to make positive progress in relation to them. The provider must evidence that volunteer peer mentors are actively progressing towards paid employment themselves.</w:t>
      </w:r>
    </w:p>
    <w:p w14:paraId="1878FE5D" w14:textId="77777777" w:rsidR="003D49F2" w:rsidRPr="003D49F2" w:rsidRDefault="003D49F2" w:rsidP="00E53ACC">
      <w:pPr>
        <w:pStyle w:val="Heading2"/>
      </w:pPr>
      <w:r w:rsidRPr="003D49F2">
        <w:t>Service Accessibility</w:t>
      </w:r>
    </w:p>
    <w:p w14:paraId="74C2E5D0" w14:textId="77777777" w:rsidR="003D49F2" w:rsidRPr="003D49F2" w:rsidRDefault="003D49F2" w:rsidP="00C57D7C">
      <w:pPr>
        <w:pStyle w:val="Heading3"/>
        <w:numPr>
          <w:ilvl w:val="2"/>
          <w:numId w:val="68"/>
        </w:numPr>
        <w:rPr>
          <w:lang w:eastAsia="en-GB"/>
        </w:rPr>
      </w:pPr>
      <w:r w:rsidRPr="003D49F2">
        <w:t xml:space="preserve">In addition to the Women’s Centres (York and Scarborough), it is anticipated that staff and resources will be based </w:t>
      </w:r>
      <w:proofErr w:type="gramStart"/>
      <w:r w:rsidRPr="003D49F2">
        <w:t>from</w:t>
      </w:r>
      <w:proofErr w:type="gramEnd"/>
      <w:r w:rsidRPr="003D49F2">
        <w:t xml:space="preserve"> various suitable locations across York and North Yorkshire. </w:t>
      </w:r>
    </w:p>
    <w:p w14:paraId="73F746F5" w14:textId="77777777" w:rsidR="003D49F2" w:rsidRPr="003D49F2" w:rsidRDefault="003D49F2" w:rsidP="00A21FCD">
      <w:pPr>
        <w:pStyle w:val="Heading3"/>
        <w:rPr>
          <w:rFonts w:cs="Arial"/>
          <w:lang w:eastAsia="en-GB"/>
        </w:rPr>
      </w:pPr>
      <w:r w:rsidRPr="003D49F2">
        <w:t xml:space="preserve">The geography of North Yorkshire is vast (see Section 2), and the Provider must consider the accessibility and location of both staff and resources to ensure a woman-led delivery model, including the required infrastructure to offer remote (telephone or online) support options in order to effectively support women. </w:t>
      </w:r>
    </w:p>
    <w:p w14:paraId="706A2282" w14:textId="77777777" w:rsidR="003D49F2" w:rsidRPr="003D49F2" w:rsidRDefault="003D49F2" w:rsidP="00A21FCD">
      <w:pPr>
        <w:pStyle w:val="Heading3"/>
        <w:rPr>
          <w:rFonts w:cs="Arial"/>
          <w:lang w:eastAsia="en-GB"/>
        </w:rPr>
      </w:pPr>
      <w:r w:rsidRPr="003D49F2">
        <w:t>The Provider will pay for any resources, premises, or facilities necessary to deliver the service, and these costs will be included within the overall Contract Value</w:t>
      </w:r>
      <w:r w:rsidRPr="003D49F2">
        <w:rPr>
          <w:rFonts w:cs="Arial"/>
        </w:rPr>
        <w:t xml:space="preserve">. </w:t>
      </w:r>
      <w:r w:rsidRPr="003D49F2">
        <w:rPr>
          <w:rFonts w:cs="Arial"/>
          <w:lang w:eastAsia="en-GB"/>
        </w:rPr>
        <w:t>Coverage of the whole of York and North Yorkshire must be included and accounted for within the total cost envelope.</w:t>
      </w:r>
    </w:p>
    <w:p w14:paraId="32BAB8A8" w14:textId="77777777" w:rsidR="003D49F2" w:rsidRPr="003D49F2" w:rsidRDefault="003D49F2" w:rsidP="00A21FCD">
      <w:pPr>
        <w:pStyle w:val="Heading3"/>
      </w:pPr>
      <w:r w:rsidRPr="003D49F2">
        <w:t>The locations and means by which the Service is delivered must be accessible and appropriate to facilitate effective case management and the geographical location of women.</w:t>
      </w:r>
    </w:p>
    <w:p w14:paraId="404AE05F" w14:textId="77777777" w:rsidR="003D49F2" w:rsidRPr="003D49F2" w:rsidRDefault="003D49F2" w:rsidP="00A21FCD">
      <w:pPr>
        <w:pStyle w:val="Heading3"/>
        <w:rPr>
          <w:lang w:eastAsia="en-GB"/>
        </w:rPr>
      </w:pPr>
      <w:r w:rsidRPr="003D49F2">
        <w:rPr>
          <w:lang w:eastAsia="en-GB"/>
        </w:rPr>
        <w:t>The service will be made available as a minimum between standard office hours i.e. Monday to Friday, from 9am to 5pm (excluding bank holidays).</w:t>
      </w:r>
    </w:p>
    <w:p w14:paraId="138E601A" w14:textId="6C908D44" w:rsidR="003D49F2" w:rsidRPr="003D49F2" w:rsidRDefault="003D49F2" w:rsidP="00A21FCD">
      <w:pPr>
        <w:pStyle w:val="Heading3"/>
        <w:rPr>
          <w:lang w:eastAsia="en-GB"/>
        </w:rPr>
      </w:pPr>
      <w:r w:rsidRPr="003D49F2">
        <w:rPr>
          <w:lang w:eastAsia="en-GB"/>
        </w:rPr>
        <w:t xml:space="preserve">However, the service must be provided in line with individual women’s needs i.e. to fit around work, caring or childcare commitments, which too often act as barriers for women to access support. The Provider will need to ensure that women’s needs can be met, in relation to standard office hours and where necessary out of regular hours service availability whilst remaining within the overall maximum Contract Value stated in Section </w:t>
      </w:r>
      <w:r w:rsidR="006157CD">
        <w:rPr>
          <w:lang w:eastAsia="en-GB"/>
        </w:rPr>
        <w:t>7.6</w:t>
      </w:r>
      <w:r w:rsidRPr="003D49F2">
        <w:rPr>
          <w:lang w:eastAsia="en-GB"/>
        </w:rPr>
        <w:t>.</w:t>
      </w:r>
    </w:p>
    <w:p w14:paraId="580972C7" w14:textId="09A27FAF" w:rsidR="003D49F2" w:rsidRPr="003D49F2" w:rsidRDefault="003D49F2" w:rsidP="00A21FCD">
      <w:pPr>
        <w:pStyle w:val="Heading3"/>
      </w:pPr>
      <w:r w:rsidRPr="003D49F2">
        <w:t>The provider is required to meet the minimum offer regardless of staff holidays or sickness;</w:t>
      </w:r>
      <w:r w:rsidRPr="003D49F2">
        <w:rPr>
          <w:rFonts w:cs="Arial"/>
          <w:lang w:eastAsia="en-GB"/>
        </w:rPr>
        <w:t xml:space="preserve"> </w:t>
      </w:r>
      <w:r w:rsidRPr="003D49F2">
        <w:t xml:space="preserve">where insufficient specialist support staff are available; the provider will be required to arrange appropriate relief staffing provision whilst remaining within the overall maximum Contract Value stated at Section </w:t>
      </w:r>
      <w:r w:rsidR="006157CD" w:rsidRPr="006157CD">
        <w:t>7.6</w:t>
      </w:r>
      <w:r w:rsidRPr="006157CD">
        <w:t>.</w:t>
      </w:r>
    </w:p>
    <w:p w14:paraId="7D851202" w14:textId="77777777" w:rsidR="003D49F2" w:rsidRPr="003D49F2" w:rsidRDefault="003D49F2" w:rsidP="00E53ACC">
      <w:pPr>
        <w:pStyle w:val="Heading2"/>
      </w:pPr>
      <w:bookmarkStart w:id="10" w:name="_Ref520710613"/>
      <w:r w:rsidRPr="003D49F2">
        <w:t>Consent &amp; Information Sharing</w:t>
      </w:r>
      <w:bookmarkEnd w:id="10"/>
    </w:p>
    <w:p w14:paraId="7510CF22" w14:textId="7A2F703B" w:rsidR="003D49F2" w:rsidRPr="003D49F2" w:rsidRDefault="003D49F2" w:rsidP="00C57D7C">
      <w:pPr>
        <w:pStyle w:val="Heading3"/>
        <w:numPr>
          <w:ilvl w:val="2"/>
          <w:numId w:val="69"/>
        </w:numPr>
      </w:pPr>
      <w:r w:rsidRPr="003D49F2">
        <w:t xml:space="preserve">For every woman who accepts an offer of support, the provider must gain and document explicit and specific consent for information to be shared with the </w:t>
      </w:r>
      <w:r w:rsidR="002C0754" w:rsidRPr="00D91723">
        <w:t>YNYCA</w:t>
      </w:r>
      <w:r w:rsidRPr="003D49F2">
        <w:t>, including sensitive personal information where required, in relation to a women’s support journey at various stages of the Case Management Process (Initial Assessment, Support Planning and at Exit from Service) so that Commissioners can monitor the quality of the support provided and understand how best to improve support services moving forward.</w:t>
      </w:r>
    </w:p>
    <w:p w14:paraId="20E747A9" w14:textId="5C4E8CD0" w:rsidR="003D49F2" w:rsidRPr="00D91723" w:rsidRDefault="003D49F2" w:rsidP="00A21FCD">
      <w:pPr>
        <w:pStyle w:val="Heading3"/>
      </w:pPr>
      <w:r w:rsidRPr="003D49F2">
        <w:lastRenderedPageBreak/>
        <w:t xml:space="preserve">The </w:t>
      </w:r>
      <w:r w:rsidR="002C0754" w:rsidRPr="00D91723">
        <w:t>YNYCA</w:t>
      </w:r>
      <w:r w:rsidRPr="003D49F2">
        <w:t xml:space="preserve"> recognise that there will be women who would benefit from the service who do not wish for their personal information to be shared with the </w:t>
      </w:r>
      <w:r w:rsidR="002C0754" w:rsidRPr="00D91723">
        <w:t>YNYCA</w:t>
      </w:r>
      <w:r w:rsidRPr="003D49F2">
        <w:t xml:space="preserve"> and/or other agencies; therefore, the provider must include an option for women to specify what information can be shared with which agency</w:t>
      </w:r>
      <w:r w:rsidRPr="003D49F2">
        <w:rPr>
          <w:lang w:eastAsia="en-GB"/>
        </w:rPr>
        <w:t xml:space="preserve"> </w:t>
      </w:r>
      <w:r w:rsidRPr="003D49F2">
        <w:t xml:space="preserve">but manage expectations that anonymised performance reporting at an individual level is required in all cases. </w:t>
      </w:r>
    </w:p>
    <w:p w14:paraId="63B4DF0E" w14:textId="77777777" w:rsidR="003D49F2" w:rsidRPr="003D49F2" w:rsidRDefault="003D49F2" w:rsidP="00A21FCD">
      <w:pPr>
        <w:pStyle w:val="Heading3"/>
      </w:pPr>
      <w:r w:rsidRPr="003D49F2">
        <w:t xml:space="preserve">It will be the responsibility of the provider to maintain an understanding of the other national and local support services that women may be referred from or need to access to as part of their overall support journey. </w:t>
      </w:r>
    </w:p>
    <w:p w14:paraId="2CDE12EC" w14:textId="77777777" w:rsidR="003D49F2" w:rsidRPr="003D49F2" w:rsidRDefault="003D49F2" w:rsidP="00E53ACC">
      <w:pPr>
        <w:pStyle w:val="Heading2"/>
      </w:pPr>
      <w:r w:rsidRPr="003D49F2">
        <w:t xml:space="preserve">Confidentiality </w:t>
      </w:r>
    </w:p>
    <w:p w14:paraId="5E88C4B8" w14:textId="77777777" w:rsidR="003D49F2" w:rsidRPr="003D49F2" w:rsidRDefault="003D49F2" w:rsidP="00C57D7C">
      <w:pPr>
        <w:numPr>
          <w:ilvl w:val="0"/>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3FEFB0A5" w14:textId="77777777" w:rsidR="003D49F2" w:rsidRPr="003D49F2" w:rsidRDefault="003D49F2" w:rsidP="00C57D7C">
      <w:pPr>
        <w:numPr>
          <w:ilvl w:val="0"/>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69586FB3" w14:textId="77777777" w:rsidR="003D49F2" w:rsidRPr="003D49F2" w:rsidRDefault="003D49F2" w:rsidP="00C57D7C">
      <w:pPr>
        <w:numPr>
          <w:ilvl w:val="0"/>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00C203FE" w14:textId="77777777" w:rsidR="003D49F2" w:rsidRPr="003D49F2" w:rsidRDefault="003D49F2" w:rsidP="00C57D7C">
      <w:pPr>
        <w:numPr>
          <w:ilvl w:val="0"/>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2E1FD235"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15D0182B"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6B3BF196"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75B00661"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7CF1BBA2"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60B8348E"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15C50B6C"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4353EDEC"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05DB5FB6"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4BF38EF3"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59BFE534"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31C8EF6E" w14:textId="77777777" w:rsidR="003D49F2" w:rsidRPr="003D49F2" w:rsidRDefault="003D49F2" w:rsidP="00C57D7C">
      <w:pPr>
        <w:numPr>
          <w:ilvl w:val="1"/>
          <w:numId w:val="53"/>
        </w:numPr>
        <w:autoSpaceDE w:val="0"/>
        <w:autoSpaceDN w:val="0"/>
        <w:adjustRightInd w:val="0"/>
        <w:spacing w:before="0" w:after="0" w:line="276" w:lineRule="auto"/>
        <w:jc w:val="both"/>
        <w:rPr>
          <w:rFonts w:ascii="Calibri" w:eastAsia="Times New Roman" w:hAnsi="Calibri" w:cs="Arial"/>
          <w:vanish/>
          <w:kern w:val="0"/>
          <w:lang w:eastAsia="en-GB"/>
          <w14:ligatures w14:val="none"/>
        </w:rPr>
      </w:pPr>
    </w:p>
    <w:p w14:paraId="04962C40" w14:textId="01BF4C92" w:rsidR="003D49F2" w:rsidRPr="00D91723" w:rsidRDefault="003D49F2" w:rsidP="00C57D7C">
      <w:pPr>
        <w:pStyle w:val="Heading3"/>
        <w:numPr>
          <w:ilvl w:val="2"/>
          <w:numId w:val="70"/>
        </w:numPr>
      </w:pPr>
      <w:r w:rsidRPr="003D49F2">
        <w:t xml:space="preserve">The provider must comply with the requirements outlined in </w:t>
      </w:r>
      <w:r w:rsidRPr="00D91723">
        <w:t>A</w:t>
      </w:r>
      <w:r w:rsidR="00D91723" w:rsidRPr="00D91723">
        <w:t xml:space="preserve">ppendix </w:t>
      </w:r>
      <w:r w:rsidRPr="00D91723">
        <w:t xml:space="preserve">4 – Security </w:t>
      </w:r>
      <w:r w:rsidR="00D91723" w:rsidRPr="00D91723">
        <w:t>Standards Agreement</w:t>
      </w:r>
      <w:r w:rsidRPr="00D91723">
        <w:t xml:space="preserve"> and will be required to sign up to an Information Sharing Agreement (see Appendix </w:t>
      </w:r>
      <w:r w:rsidR="00D91723" w:rsidRPr="00D91723">
        <w:t>3</w:t>
      </w:r>
      <w:r w:rsidRPr="00D91723">
        <w:t xml:space="preserve"> for a draft example).</w:t>
      </w:r>
    </w:p>
    <w:p w14:paraId="102C4C33" w14:textId="11F40E52" w:rsidR="003D49F2" w:rsidRPr="003D49F2" w:rsidRDefault="003D49F2" w:rsidP="00DC264E">
      <w:pPr>
        <w:pStyle w:val="Heading3"/>
      </w:pPr>
      <w:r w:rsidRPr="003D49F2">
        <w:t xml:space="preserve">The provider must ensure the security of data and integrity of systems is managed. Any data breaches must be reported to NYP and the YNYCA within 24 hours, using the reporting template that will be provided </w:t>
      </w:r>
      <w:r w:rsidRPr="00D91723">
        <w:t xml:space="preserve">(see Appendix </w:t>
      </w:r>
      <w:r w:rsidR="00D91723" w:rsidRPr="00D91723">
        <w:t>5</w:t>
      </w:r>
      <w:r w:rsidRPr="00D91723">
        <w:t>).</w:t>
      </w:r>
      <w:r w:rsidRPr="003D49F2">
        <w:t xml:space="preserve"> </w:t>
      </w:r>
    </w:p>
    <w:p w14:paraId="0E73F5CE" w14:textId="77777777" w:rsidR="003D49F2" w:rsidRPr="003D49F2" w:rsidRDefault="003D49F2" w:rsidP="00DC264E">
      <w:pPr>
        <w:pStyle w:val="Heading3"/>
      </w:pPr>
      <w:r w:rsidRPr="003D49F2">
        <w:t xml:space="preserve">The use of a secure email (e.g. CJSM) is required in order to communicate with the YNYCA and other partners under this Contract.  </w:t>
      </w:r>
    </w:p>
    <w:p w14:paraId="11A998EF" w14:textId="77777777" w:rsidR="003D49F2" w:rsidRPr="003D49F2" w:rsidRDefault="003D49F2" w:rsidP="00E53ACC">
      <w:pPr>
        <w:pStyle w:val="Heading2"/>
      </w:pPr>
      <w:r w:rsidRPr="003D49F2">
        <w:t>Risk &amp; Needs Assessment</w:t>
      </w:r>
    </w:p>
    <w:p w14:paraId="325CCC09" w14:textId="77777777" w:rsidR="003D49F2" w:rsidRPr="00DC264E" w:rsidRDefault="003D49F2" w:rsidP="00C57D7C">
      <w:pPr>
        <w:pStyle w:val="Heading3"/>
        <w:numPr>
          <w:ilvl w:val="2"/>
          <w:numId w:val="71"/>
        </w:numPr>
        <w:rPr>
          <w:rFonts w:cs="Arial"/>
        </w:rPr>
      </w:pPr>
      <w:r w:rsidRPr="003D49F2">
        <w:t>The provider may be required to utilise information shared by the referring agency to make direct contact with the woman to carry out a full Risk &amp; Need Assessment</w:t>
      </w:r>
      <w:r w:rsidRPr="00DC264E">
        <w:rPr>
          <w:rFonts w:cs="Arial"/>
        </w:rPr>
        <w:t>.</w:t>
      </w:r>
    </w:p>
    <w:p w14:paraId="2D0C4C7D" w14:textId="041CBBC4" w:rsidR="003D49F2" w:rsidRPr="003D49F2" w:rsidRDefault="003D49F2" w:rsidP="00DC264E">
      <w:pPr>
        <w:pStyle w:val="Heading3"/>
      </w:pPr>
      <w:r w:rsidRPr="003D49F2">
        <w:t xml:space="preserve">This full Risk &amp; Needs Assessment must be used to inform and agree a bespoke, gender-specific Support Plan </w:t>
      </w:r>
      <w:r w:rsidRPr="008718F0">
        <w:t>(see 8.1</w:t>
      </w:r>
      <w:r w:rsidR="008718F0" w:rsidRPr="008718F0">
        <w:t>9</w:t>
      </w:r>
      <w:r w:rsidRPr="008718F0">
        <w:t>)</w:t>
      </w:r>
      <w:r w:rsidRPr="003D49F2">
        <w:t xml:space="preserve"> for women </w:t>
      </w:r>
      <w:bookmarkStart w:id="11" w:name="_Hlk140078978"/>
      <w:r w:rsidRPr="003D49F2">
        <w:t>to ensure that their individual needs are met either by the service or by referring on to another appropriate service provider to best meet the identified need.</w:t>
      </w:r>
      <w:bookmarkStart w:id="12" w:name="_Ref512870355"/>
      <w:bookmarkEnd w:id="11"/>
    </w:p>
    <w:p w14:paraId="4BDF1B5F" w14:textId="77777777" w:rsidR="003D49F2" w:rsidRPr="003D49F2" w:rsidRDefault="003D49F2" w:rsidP="00DC264E">
      <w:pPr>
        <w:pStyle w:val="Heading3"/>
      </w:pPr>
      <w:r w:rsidRPr="003D49F2">
        <w:t>The Risk &amp; Needs Assessment will be recorded in a format as specified by Commissioners and must also specifically identify a baseline position across categories of needs such as:</w:t>
      </w:r>
    </w:p>
    <w:p w14:paraId="4929DBAF" w14:textId="77777777" w:rsidR="003D49F2" w:rsidRPr="00DC264E" w:rsidRDefault="003D49F2" w:rsidP="00C57D7C">
      <w:pPr>
        <w:pStyle w:val="ListParagraph"/>
        <w:numPr>
          <w:ilvl w:val="0"/>
          <w:numId w:val="72"/>
        </w:numPr>
        <w:suppressAutoHyphens/>
        <w:spacing w:before="0" w:after="120" w:line="276" w:lineRule="auto"/>
        <w:jc w:val="both"/>
        <w:rPr>
          <w:rFonts w:eastAsia="Times New Roman" w:cs="Arial"/>
          <w:kern w:val="0"/>
          <w14:ligatures w14:val="none"/>
        </w:rPr>
      </w:pPr>
      <w:r w:rsidRPr="00DC264E">
        <w:rPr>
          <w:rFonts w:eastAsia="Times New Roman" w:cs="Arial"/>
          <w:kern w:val="0"/>
          <w14:ligatures w14:val="none"/>
        </w:rPr>
        <w:t>Mental Health &amp; emotional wellbeing</w:t>
      </w:r>
    </w:p>
    <w:p w14:paraId="65DDB00C" w14:textId="77777777" w:rsidR="003D49F2" w:rsidRPr="00DC264E" w:rsidRDefault="003D49F2" w:rsidP="00C57D7C">
      <w:pPr>
        <w:pStyle w:val="ListParagraph"/>
        <w:numPr>
          <w:ilvl w:val="0"/>
          <w:numId w:val="72"/>
        </w:numPr>
        <w:suppressAutoHyphens/>
        <w:spacing w:before="0" w:after="120" w:line="276" w:lineRule="auto"/>
        <w:jc w:val="both"/>
        <w:rPr>
          <w:rFonts w:eastAsia="Times New Roman" w:cs="Arial"/>
          <w:kern w:val="0"/>
          <w14:ligatures w14:val="none"/>
        </w:rPr>
      </w:pPr>
      <w:r w:rsidRPr="00DC264E">
        <w:rPr>
          <w:rFonts w:eastAsia="Times New Roman" w:cs="Arial"/>
          <w:kern w:val="0"/>
          <w14:ligatures w14:val="none"/>
        </w:rPr>
        <w:t>Physical health</w:t>
      </w:r>
    </w:p>
    <w:p w14:paraId="04B7B6A5" w14:textId="77777777" w:rsidR="003D49F2" w:rsidRPr="00DC264E" w:rsidRDefault="003D49F2" w:rsidP="00C57D7C">
      <w:pPr>
        <w:pStyle w:val="ListParagraph"/>
        <w:numPr>
          <w:ilvl w:val="0"/>
          <w:numId w:val="72"/>
        </w:numPr>
        <w:suppressAutoHyphens/>
        <w:spacing w:before="0" w:after="120" w:line="276" w:lineRule="auto"/>
        <w:jc w:val="both"/>
        <w:rPr>
          <w:rFonts w:eastAsia="Times New Roman" w:cs="Arial"/>
          <w:kern w:val="0"/>
          <w14:ligatures w14:val="none"/>
        </w:rPr>
      </w:pPr>
      <w:r w:rsidRPr="00DC264E">
        <w:rPr>
          <w:rFonts w:eastAsia="Times New Roman" w:cs="Arial"/>
          <w:kern w:val="0"/>
          <w14:ligatures w14:val="none"/>
        </w:rPr>
        <w:t>Shelter and accommodation</w:t>
      </w:r>
    </w:p>
    <w:p w14:paraId="16E69C34" w14:textId="77777777" w:rsidR="003D49F2" w:rsidRPr="00DC264E" w:rsidRDefault="003D49F2" w:rsidP="00C57D7C">
      <w:pPr>
        <w:pStyle w:val="ListParagraph"/>
        <w:numPr>
          <w:ilvl w:val="0"/>
          <w:numId w:val="72"/>
        </w:numPr>
        <w:suppressAutoHyphens/>
        <w:spacing w:before="0" w:after="120" w:line="276" w:lineRule="auto"/>
        <w:jc w:val="both"/>
        <w:rPr>
          <w:rFonts w:eastAsia="Times New Roman" w:cs="Arial"/>
          <w:kern w:val="0"/>
          <w14:ligatures w14:val="none"/>
        </w:rPr>
      </w:pPr>
      <w:r w:rsidRPr="00DC264E">
        <w:rPr>
          <w:rFonts w:eastAsia="Times New Roman" w:cs="Arial"/>
          <w:kern w:val="0"/>
          <w14:ligatures w14:val="none"/>
        </w:rPr>
        <w:t>Relationships with family, friends, and children</w:t>
      </w:r>
    </w:p>
    <w:p w14:paraId="28033C93" w14:textId="77777777" w:rsidR="003D49F2" w:rsidRPr="00DC264E" w:rsidRDefault="003D49F2" w:rsidP="00C57D7C">
      <w:pPr>
        <w:pStyle w:val="ListParagraph"/>
        <w:numPr>
          <w:ilvl w:val="0"/>
          <w:numId w:val="72"/>
        </w:numPr>
        <w:suppressAutoHyphens/>
        <w:spacing w:before="0" w:after="120" w:line="276" w:lineRule="auto"/>
        <w:jc w:val="both"/>
        <w:rPr>
          <w:rFonts w:eastAsia="Times New Roman" w:cs="Arial"/>
          <w:kern w:val="0"/>
          <w14:ligatures w14:val="none"/>
        </w:rPr>
      </w:pPr>
      <w:r w:rsidRPr="00DC264E">
        <w:rPr>
          <w:rFonts w:eastAsia="Times New Roman" w:cs="Arial"/>
          <w:kern w:val="0"/>
          <w14:ligatures w14:val="none"/>
        </w:rPr>
        <w:t>Education, skills and employment, including training and informal learning and/or volunteering opportunities</w:t>
      </w:r>
    </w:p>
    <w:p w14:paraId="1F37AA65" w14:textId="77777777" w:rsidR="003D49F2" w:rsidRPr="00DC264E" w:rsidRDefault="003D49F2" w:rsidP="00C57D7C">
      <w:pPr>
        <w:pStyle w:val="ListParagraph"/>
        <w:numPr>
          <w:ilvl w:val="0"/>
          <w:numId w:val="72"/>
        </w:numPr>
        <w:suppressAutoHyphens/>
        <w:spacing w:before="0" w:after="120" w:line="276" w:lineRule="auto"/>
        <w:jc w:val="both"/>
        <w:rPr>
          <w:rFonts w:eastAsia="Times New Roman" w:cs="Arial"/>
          <w:kern w:val="0"/>
          <w14:ligatures w14:val="none"/>
        </w:rPr>
      </w:pPr>
      <w:r w:rsidRPr="00DC264E">
        <w:rPr>
          <w:rFonts w:eastAsia="Times New Roman" w:cs="Arial"/>
          <w:kern w:val="0"/>
          <w14:ligatures w14:val="none"/>
        </w:rPr>
        <w:t>Substance Use and harmful behaviours</w:t>
      </w:r>
    </w:p>
    <w:p w14:paraId="3590BA1C" w14:textId="77777777" w:rsidR="003D49F2" w:rsidRPr="00DC264E" w:rsidRDefault="003D49F2" w:rsidP="00C57D7C">
      <w:pPr>
        <w:pStyle w:val="ListParagraph"/>
        <w:numPr>
          <w:ilvl w:val="0"/>
          <w:numId w:val="72"/>
        </w:numPr>
        <w:suppressAutoHyphens/>
        <w:spacing w:before="0" w:after="120" w:line="276" w:lineRule="auto"/>
        <w:jc w:val="both"/>
        <w:rPr>
          <w:rFonts w:eastAsia="Times New Roman" w:cs="Arial"/>
          <w:kern w:val="0"/>
          <w14:ligatures w14:val="none"/>
        </w:rPr>
      </w:pPr>
      <w:r w:rsidRPr="00DC264E">
        <w:rPr>
          <w:rFonts w:eastAsia="Times New Roman" w:cs="Arial"/>
          <w:kern w:val="0"/>
          <w14:ligatures w14:val="none"/>
        </w:rPr>
        <w:t>Finance, benefits, and debt management</w:t>
      </w:r>
    </w:p>
    <w:p w14:paraId="0C40A0B6" w14:textId="77777777" w:rsidR="003D49F2" w:rsidRPr="00DC264E" w:rsidRDefault="003D49F2" w:rsidP="00C57D7C">
      <w:pPr>
        <w:pStyle w:val="ListParagraph"/>
        <w:numPr>
          <w:ilvl w:val="0"/>
          <w:numId w:val="72"/>
        </w:numPr>
        <w:suppressAutoHyphens/>
        <w:spacing w:before="0" w:after="120" w:line="276" w:lineRule="auto"/>
        <w:jc w:val="both"/>
        <w:rPr>
          <w:rFonts w:eastAsia="Times New Roman" w:cs="Arial"/>
          <w:kern w:val="0"/>
          <w14:ligatures w14:val="none"/>
        </w:rPr>
      </w:pPr>
      <w:r w:rsidRPr="00DC264E">
        <w:rPr>
          <w:rFonts w:eastAsia="Times New Roman" w:cs="Arial"/>
          <w:kern w:val="0"/>
          <w14:ligatures w14:val="none"/>
        </w:rPr>
        <w:t>Outlook, attitudes, and empowerments</w:t>
      </w:r>
    </w:p>
    <w:p w14:paraId="2662261C" w14:textId="77777777" w:rsidR="003D49F2" w:rsidRPr="00DC264E" w:rsidRDefault="003D49F2" w:rsidP="00C57D7C">
      <w:pPr>
        <w:pStyle w:val="ListParagraph"/>
        <w:numPr>
          <w:ilvl w:val="0"/>
          <w:numId w:val="72"/>
        </w:numPr>
        <w:suppressAutoHyphens/>
        <w:spacing w:before="0" w:after="120" w:line="276" w:lineRule="auto"/>
        <w:jc w:val="both"/>
        <w:rPr>
          <w:rFonts w:eastAsia="Times New Roman" w:cs="Arial"/>
          <w:kern w:val="0"/>
          <w14:ligatures w14:val="none"/>
        </w:rPr>
      </w:pPr>
      <w:r w:rsidRPr="00DC264E">
        <w:rPr>
          <w:rFonts w:eastAsia="Times New Roman" w:cs="Arial"/>
          <w:kern w:val="0"/>
          <w14:ligatures w14:val="none"/>
        </w:rPr>
        <w:t>Social interactions</w:t>
      </w:r>
      <w:bookmarkEnd w:id="12"/>
    </w:p>
    <w:p w14:paraId="1E5CB84C" w14:textId="77777777" w:rsidR="003D49F2" w:rsidRPr="003D49F2" w:rsidRDefault="003D49F2" w:rsidP="00DC264E">
      <w:pPr>
        <w:pStyle w:val="Heading3"/>
        <w:rPr>
          <w:rFonts w:cs="Calibri"/>
        </w:rPr>
      </w:pPr>
      <w:r w:rsidRPr="003D49F2">
        <w:rPr>
          <w:lang w:eastAsia="en-GB"/>
        </w:rPr>
        <w:lastRenderedPageBreak/>
        <w:t>This baseline position against the above needs will allow for progress to be measured as the woman progresses through their support journey. As a minimum, this scoring process will take place at the start, mid-point and upon exit of the service, to monitor the progress of everyone engaged with the service.</w:t>
      </w:r>
    </w:p>
    <w:p w14:paraId="6616F0F5" w14:textId="77777777" w:rsidR="003D49F2" w:rsidRPr="003D49F2" w:rsidRDefault="003D49F2" w:rsidP="00DC264E">
      <w:pPr>
        <w:pStyle w:val="Heading3"/>
        <w:rPr>
          <w:rFonts w:eastAsia="Times New Roman"/>
        </w:rPr>
      </w:pPr>
      <w:r w:rsidRPr="003D49F2">
        <w:rPr>
          <w:rFonts w:eastAsia="Times New Roman"/>
        </w:rPr>
        <w:t>T</w:t>
      </w:r>
      <w:r w:rsidRPr="003D49F2">
        <w:t>he provider must ensure a consistent and measurable assessment process is used to identify additional needs outside the scope of the service, and that any and all onward referrals are recorded, including which agency or service has been referred to or where explicit consent for such onward referrals has not been given.</w:t>
      </w:r>
    </w:p>
    <w:p w14:paraId="1926CD6F" w14:textId="77777777" w:rsidR="003D49F2" w:rsidRPr="003D49F2" w:rsidRDefault="003D49F2" w:rsidP="00DC264E">
      <w:pPr>
        <w:pStyle w:val="Heading3"/>
      </w:pPr>
      <w:r w:rsidRPr="003D49F2">
        <w:t>The provider must ensure that every woman is routinely assessed for risk of suicide, self-harm or harm to others and appropriate risk management protocols are followed where this risk is believed to exist.</w:t>
      </w:r>
    </w:p>
    <w:p w14:paraId="00A3DA6B" w14:textId="77777777" w:rsidR="003D49F2" w:rsidRPr="003D49F2" w:rsidRDefault="003D49F2" w:rsidP="00DC264E">
      <w:pPr>
        <w:pStyle w:val="Heading3"/>
        <w:rPr>
          <w:rFonts w:cs="Arial"/>
          <w:lang w:eastAsia="en-GB"/>
        </w:rPr>
      </w:pPr>
      <w:r w:rsidRPr="003D49F2">
        <w:t xml:space="preserve">An additional assessment should be made in relation to whether a home, outreach or virtual venue is appropriate should a woman require such support. Additional risk assessments will be carried out on these cases to ensure staff are provided with as much information as possible to best support the woman. </w:t>
      </w:r>
    </w:p>
    <w:p w14:paraId="28FEEC1A" w14:textId="77777777" w:rsidR="003D49F2" w:rsidRPr="003D49F2" w:rsidRDefault="003D49F2" w:rsidP="00E53ACC">
      <w:pPr>
        <w:pStyle w:val="Heading2"/>
      </w:pPr>
      <w:bookmarkStart w:id="13" w:name="_Ref519069608"/>
      <w:r w:rsidRPr="003D49F2">
        <w:t>Support Plan</w:t>
      </w:r>
      <w:bookmarkEnd w:id="13"/>
    </w:p>
    <w:p w14:paraId="56B461E2" w14:textId="77777777" w:rsidR="003D49F2" w:rsidRPr="00DC264E" w:rsidRDefault="003D49F2" w:rsidP="00C57D7C">
      <w:pPr>
        <w:pStyle w:val="Heading3"/>
        <w:numPr>
          <w:ilvl w:val="2"/>
          <w:numId w:val="73"/>
        </w:numPr>
        <w:rPr>
          <w:b/>
        </w:rPr>
      </w:pPr>
      <w:r w:rsidRPr="003D49F2">
        <w:t xml:space="preserve">The service must ensure that an individual bespoke Support Plan is developed and maintained for each woman; this should be based on the individual’s Risk &amp; Needs Assessment and tailored to include the specific interventions or actions that are required to manage the risk and/or support needs of each woman. </w:t>
      </w:r>
    </w:p>
    <w:p w14:paraId="611C0888" w14:textId="77777777" w:rsidR="003D49F2" w:rsidRPr="003D49F2" w:rsidRDefault="003D49F2" w:rsidP="00DC264E">
      <w:pPr>
        <w:pStyle w:val="Heading3"/>
        <w:rPr>
          <w:b/>
        </w:rPr>
      </w:pPr>
      <w:r w:rsidRPr="003D49F2">
        <w:t xml:space="preserve">Women </w:t>
      </w:r>
      <w:bookmarkStart w:id="14" w:name="_Hlk140079309"/>
      <w:r w:rsidRPr="003D49F2">
        <w:t>must be allocated to an appropriately experienced member of staff, including volunteers, based on the level of identified need and specialism or skill level of that staff member, to offer emotional and/or practical support in line with the agreed Support Plan</w:t>
      </w:r>
      <w:bookmarkEnd w:id="14"/>
      <w:r w:rsidRPr="003D49F2">
        <w:t>.</w:t>
      </w:r>
    </w:p>
    <w:p w14:paraId="68626AC1" w14:textId="77777777" w:rsidR="003D49F2" w:rsidRPr="003D49F2" w:rsidRDefault="003D49F2" w:rsidP="00DC264E">
      <w:pPr>
        <w:pStyle w:val="Heading3"/>
        <w:rPr>
          <w:rFonts w:cs="Arial"/>
          <w:b/>
        </w:rPr>
      </w:pPr>
      <w:r w:rsidRPr="003D49F2">
        <w:t xml:space="preserve">The Support Plan should be regularly reviewed and updated together with each individual woman </w:t>
      </w:r>
      <w:bookmarkStart w:id="15" w:name="_Hlk140079461"/>
      <w:r w:rsidRPr="003D49F2">
        <w:t xml:space="preserve">as part of every </w:t>
      </w:r>
      <w:bookmarkStart w:id="16" w:name="_Hlk138265447"/>
      <w:r w:rsidRPr="003D49F2">
        <w:t xml:space="preserve">significant planned contact and should form the basis for the </w:t>
      </w:r>
      <w:bookmarkStart w:id="17" w:name="_Hlk138695077"/>
      <w:r w:rsidRPr="003D49F2">
        <w:t>specific support or interventions</w:t>
      </w:r>
      <w:bookmarkEnd w:id="16"/>
      <w:r w:rsidRPr="003D49F2">
        <w:t xml:space="preserve"> provided by the service</w:t>
      </w:r>
      <w:bookmarkEnd w:id="15"/>
      <w:bookmarkEnd w:id="17"/>
      <w:r w:rsidRPr="003D49F2">
        <w:rPr>
          <w:rFonts w:cs="Arial"/>
        </w:rPr>
        <w:t>.</w:t>
      </w:r>
    </w:p>
    <w:p w14:paraId="525B6570" w14:textId="279709DF" w:rsidR="003D49F2" w:rsidRPr="002C0754" w:rsidRDefault="003D49F2" w:rsidP="002C0754">
      <w:pPr>
        <w:pStyle w:val="Heading3"/>
        <w:rPr>
          <w:rFonts w:cs="Arial"/>
          <w:b/>
        </w:rPr>
      </w:pPr>
      <w:r w:rsidRPr="002C0754">
        <w:rPr>
          <w:rFonts w:eastAsia="Times New Roman" w:cs="Arial"/>
          <w:kern w:val="0"/>
          <w14:ligatures w14:val="none"/>
        </w:rPr>
        <w:t xml:space="preserve">The Support Plan should </w:t>
      </w:r>
      <w:bookmarkStart w:id="18" w:name="_Hlk140079482"/>
      <w:r w:rsidRPr="002C0754">
        <w:rPr>
          <w:rFonts w:eastAsia="Times New Roman" w:cs="Arial"/>
          <w:kern w:val="0"/>
          <w14:ligatures w14:val="none"/>
        </w:rPr>
        <w:t xml:space="preserve">also be used by the providers management to ensure safe practice and monitor overall service provision and capacity. </w:t>
      </w:r>
      <w:bookmarkEnd w:id="18"/>
    </w:p>
    <w:p w14:paraId="174F6E47" w14:textId="77777777" w:rsidR="003D49F2" w:rsidRPr="003D49F2" w:rsidRDefault="003D49F2" w:rsidP="003D49F2">
      <w:pPr>
        <w:autoSpaceDE w:val="0"/>
        <w:autoSpaceDN w:val="0"/>
        <w:adjustRightInd w:val="0"/>
        <w:spacing w:after="120"/>
        <w:ind w:left="576"/>
        <w:rPr>
          <w:rFonts w:ascii="Calibri" w:eastAsia="Times New Roman" w:hAnsi="Calibri" w:cs="Calibri"/>
          <w:b/>
          <w:bCs/>
          <w:kern w:val="0"/>
          <w:lang w:eastAsia="en-GB"/>
          <w14:ligatures w14:val="none"/>
        </w:rPr>
      </w:pPr>
    </w:p>
    <w:p w14:paraId="5D46658B" w14:textId="77777777" w:rsidR="003D49F2" w:rsidRPr="003D49F2" w:rsidRDefault="003D49F2" w:rsidP="00E53ACC">
      <w:pPr>
        <w:pStyle w:val="Heading2"/>
      </w:pPr>
      <w:r w:rsidRPr="003D49F2">
        <w:t>Staffing Requirements</w:t>
      </w:r>
    </w:p>
    <w:p w14:paraId="70B277D6" w14:textId="77777777" w:rsidR="003D49F2" w:rsidRPr="003D49F2" w:rsidRDefault="003D49F2" w:rsidP="00C57D7C">
      <w:pPr>
        <w:pStyle w:val="Heading3"/>
        <w:numPr>
          <w:ilvl w:val="2"/>
          <w:numId w:val="74"/>
        </w:numPr>
        <w:rPr>
          <w:lang w:eastAsia="en-GB"/>
        </w:rPr>
      </w:pPr>
      <w:r w:rsidRPr="003D49F2">
        <w:rPr>
          <w:lang w:eastAsia="en-GB"/>
        </w:rPr>
        <w:t>The provider will evidence, as part of their bid submission, that their staff, including both paid staff and volunteers, are suitably qualified and experienced. The commissioners will expect paid members of staff to meet the following minimum requirements:</w:t>
      </w:r>
    </w:p>
    <w:p w14:paraId="09AC2DA1" w14:textId="77777777" w:rsidR="003D49F2" w:rsidRPr="005173F0" w:rsidRDefault="003D49F2" w:rsidP="00C57D7C">
      <w:pPr>
        <w:pStyle w:val="ListParagraph"/>
        <w:numPr>
          <w:ilvl w:val="0"/>
          <w:numId w:val="75"/>
        </w:numPr>
        <w:autoSpaceDE w:val="0"/>
        <w:autoSpaceDN w:val="0"/>
        <w:adjustRightInd w:val="0"/>
        <w:spacing w:before="0" w:after="120" w:line="276" w:lineRule="auto"/>
        <w:rPr>
          <w:rFonts w:eastAsia="Times New Roman" w:cs="Arial"/>
          <w:kern w:val="0"/>
          <w:lang w:eastAsia="en-GB"/>
          <w14:ligatures w14:val="none"/>
        </w:rPr>
      </w:pPr>
      <w:r w:rsidRPr="005173F0">
        <w:rPr>
          <w:rFonts w:eastAsia="Times New Roman" w:cs="Arial"/>
          <w:kern w:val="0"/>
          <w:lang w:eastAsia="en-GB"/>
          <w14:ligatures w14:val="none"/>
        </w:rPr>
        <w:t>Experience of working with women</w:t>
      </w:r>
    </w:p>
    <w:p w14:paraId="2D5F27B8" w14:textId="77777777" w:rsidR="003D49F2" w:rsidRPr="005173F0" w:rsidRDefault="003D49F2" w:rsidP="00C57D7C">
      <w:pPr>
        <w:pStyle w:val="ListParagraph"/>
        <w:numPr>
          <w:ilvl w:val="0"/>
          <w:numId w:val="75"/>
        </w:numPr>
        <w:autoSpaceDE w:val="0"/>
        <w:autoSpaceDN w:val="0"/>
        <w:adjustRightInd w:val="0"/>
        <w:spacing w:before="0" w:after="120" w:line="276" w:lineRule="auto"/>
        <w:rPr>
          <w:rFonts w:eastAsia="Times New Roman" w:cs="Arial"/>
          <w:kern w:val="0"/>
          <w:lang w:eastAsia="en-GB"/>
          <w14:ligatures w14:val="none"/>
        </w:rPr>
      </w:pPr>
      <w:r w:rsidRPr="005173F0">
        <w:rPr>
          <w:rFonts w:eastAsia="Times New Roman" w:cs="Arial"/>
          <w:kern w:val="0"/>
          <w:lang w:eastAsia="en-GB"/>
          <w14:ligatures w14:val="none"/>
        </w:rPr>
        <w:t>Knowledge of the Criminal Justice System and related issues</w:t>
      </w:r>
    </w:p>
    <w:p w14:paraId="36839A75" w14:textId="77777777" w:rsidR="003D49F2" w:rsidRPr="005173F0" w:rsidRDefault="003D49F2" w:rsidP="00C57D7C">
      <w:pPr>
        <w:pStyle w:val="ListParagraph"/>
        <w:numPr>
          <w:ilvl w:val="0"/>
          <w:numId w:val="75"/>
        </w:numPr>
        <w:autoSpaceDE w:val="0"/>
        <w:autoSpaceDN w:val="0"/>
        <w:adjustRightInd w:val="0"/>
        <w:spacing w:before="0" w:after="120" w:line="276" w:lineRule="auto"/>
        <w:rPr>
          <w:rFonts w:eastAsia="Times New Roman" w:cs="Arial"/>
          <w:kern w:val="0"/>
          <w:lang w:eastAsia="en-GB"/>
          <w14:ligatures w14:val="none"/>
        </w:rPr>
      </w:pPr>
      <w:r w:rsidRPr="005173F0">
        <w:rPr>
          <w:rFonts w:eastAsia="Times New Roman" w:cs="Arial"/>
          <w:kern w:val="0"/>
          <w:shd w:val="clear" w:color="auto" w:fill="FFFFFF"/>
          <w:lang w:eastAsia="en-GB"/>
          <w14:ligatures w14:val="none"/>
        </w:rPr>
        <w:t>Ability to demonstrate pro-social modelling skills by consistently reinforcing pro-social behaviour and attitudes and challenging anti-social behaviour and attitudes</w:t>
      </w:r>
    </w:p>
    <w:p w14:paraId="71C94175" w14:textId="77777777" w:rsidR="003D49F2" w:rsidRPr="005173F0" w:rsidRDefault="003D49F2" w:rsidP="00C57D7C">
      <w:pPr>
        <w:pStyle w:val="ListParagraph"/>
        <w:numPr>
          <w:ilvl w:val="0"/>
          <w:numId w:val="75"/>
        </w:numPr>
        <w:autoSpaceDE w:val="0"/>
        <w:autoSpaceDN w:val="0"/>
        <w:adjustRightInd w:val="0"/>
        <w:spacing w:before="0" w:after="120" w:line="276" w:lineRule="auto"/>
        <w:rPr>
          <w:rFonts w:eastAsia="Times New Roman" w:cs="Arial"/>
          <w:kern w:val="0"/>
          <w:lang w:eastAsia="en-GB"/>
          <w14:ligatures w14:val="none"/>
        </w:rPr>
      </w:pPr>
      <w:r w:rsidRPr="005173F0">
        <w:rPr>
          <w:rFonts w:eastAsia="Times New Roman" w:cs="Arial"/>
          <w:kern w:val="0"/>
          <w:shd w:val="clear" w:color="auto" w:fill="FFFFFF"/>
          <w:lang w:eastAsia="en-GB"/>
          <w14:ligatures w14:val="none"/>
        </w:rPr>
        <w:t>An understanding of the importance of trauma-informed support</w:t>
      </w:r>
    </w:p>
    <w:p w14:paraId="50E1263B" w14:textId="77777777" w:rsidR="003D49F2" w:rsidRPr="005173F0" w:rsidRDefault="003D49F2" w:rsidP="00C57D7C">
      <w:pPr>
        <w:pStyle w:val="ListParagraph"/>
        <w:numPr>
          <w:ilvl w:val="0"/>
          <w:numId w:val="75"/>
        </w:numPr>
        <w:autoSpaceDE w:val="0"/>
        <w:autoSpaceDN w:val="0"/>
        <w:adjustRightInd w:val="0"/>
        <w:spacing w:before="0" w:after="120" w:line="276" w:lineRule="auto"/>
        <w:rPr>
          <w:rFonts w:eastAsia="Times New Roman" w:cs="Arial"/>
          <w:kern w:val="0"/>
          <w:lang w:eastAsia="en-GB"/>
          <w14:ligatures w14:val="none"/>
        </w:rPr>
      </w:pPr>
      <w:r w:rsidRPr="005173F0">
        <w:rPr>
          <w:rFonts w:eastAsia="Times New Roman" w:cs="Arial"/>
          <w:kern w:val="0"/>
          <w:shd w:val="clear" w:color="auto" w:fill="FFFFFF"/>
          <w:lang w:eastAsia="en-GB"/>
          <w14:ligatures w14:val="none"/>
        </w:rPr>
        <w:t>Good interpersonal skills and the ability to relate to others</w:t>
      </w:r>
    </w:p>
    <w:p w14:paraId="688481AB" w14:textId="77777777" w:rsidR="003D49F2" w:rsidRPr="005173F0" w:rsidRDefault="003D49F2" w:rsidP="00C57D7C">
      <w:pPr>
        <w:pStyle w:val="ListParagraph"/>
        <w:numPr>
          <w:ilvl w:val="0"/>
          <w:numId w:val="75"/>
        </w:numPr>
        <w:autoSpaceDE w:val="0"/>
        <w:autoSpaceDN w:val="0"/>
        <w:adjustRightInd w:val="0"/>
        <w:spacing w:before="0" w:after="120" w:line="276" w:lineRule="auto"/>
        <w:rPr>
          <w:rFonts w:eastAsia="Times New Roman" w:cs="Arial"/>
          <w:kern w:val="0"/>
          <w:lang w:eastAsia="en-GB"/>
          <w14:ligatures w14:val="none"/>
        </w:rPr>
      </w:pPr>
      <w:r w:rsidRPr="005173F0">
        <w:rPr>
          <w:rFonts w:eastAsia="Times New Roman" w:cs="Arial"/>
          <w:kern w:val="0"/>
          <w:shd w:val="clear" w:color="auto" w:fill="FFFFFF"/>
          <w:lang w:eastAsia="en-GB"/>
          <w14:ligatures w14:val="none"/>
        </w:rPr>
        <w:t>The ability to persuade and influence, both the women on the scheme and fellow professionals</w:t>
      </w:r>
    </w:p>
    <w:p w14:paraId="4C3205B3" w14:textId="2F1B6CAD" w:rsidR="009D34A7" w:rsidRPr="009D34A7" w:rsidRDefault="003D49F2" w:rsidP="009D34A7">
      <w:pPr>
        <w:pStyle w:val="Heading3"/>
        <w:rPr>
          <w:lang w:eastAsia="en-GB"/>
        </w:rPr>
      </w:pPr>
      <w:r w:rsidRPr="003D49F2">
        <w:rPr>
          <w:lang w:val="en-US"/>
        </w:rPr>
        <w:lastRenderedPageBreak/>
        <w:t>The provider will evidence, as part of their bid submission, that their staff, including both paid staff and volunteers, will:</w:t>
      </w:r>
    </w:p>
    <w:p w14:paraId="53DA6556" w14:textId="2B007916" w:rsidR="003D49F2" w:rsidRPr="006351DB" w:rsidRDefault="003D49F2" w:rsidP="006351DB">
      <w:pPr>
        <w:pStyle w:val="ListParagraph"/>
        <w:numPr>
          <w:ilvl w:val="0"/>
          <w:numId w:val="115"/>
        </w:numPr>
        <w:autoSpaceDE w:val="0"/>
        <w:autoSpaceDN w:val="0"/>
        <w:adjustRightInd w:val="0"/>
        <w:spacing w:before="0" w:after="120" w:line="276" w:lineRule="auto"/>
        <w:rPr>
          <w:rFonts w:eastAsia="Times New Roman" w:cs="Arial"/>
          <w:kern w:val="0"/>
          <w:lang w:eastAsia="en-GB"/>
          <w14:ligatures w14:val="none"/>
        </w:rPr>
      </w:pPr>
      <w:r w:rsidRPr="006351DB">
        <w:rPr>
          <w:rFonts w:eastAsia="Times New Roman" w:cs="Arial"/>
          <w:kern w:val="0"/>
          <w:lang w:eastAsia="en-GB"/>
          <w14:ligatures w14:val="none"/>
        </w:rPr>
        <w:t>Keep up to date and informed of national and local government decisions and policies pertinent to the area of work of female offenders and other related behaviours</w:t>
      </w:r>
    </w:p>
    <w:p w14:paraId="7C6E6E74" w14:textId="77777777" w:rsidR="003D49F2" w:rsidRPr="006351DB" w:rsidRDefault="003D49F2" w:rsidP="006351DB">
      <w:pPr>
        <w:pStyle w:val="ListParagraph"/>
        <w:numPr>
          <w:ilvl w:val="0"/>
          <w:numId w:val="115"/>
        </w:numPr>
        <w:autoSpaceDE w:val="0"/>
        <w:autoSpaceDN w:val="0"/>
        <w:adjustRightInd w:val="0"/>
        <w:spacing w:before="0" w:after="120" w:line="276" w:lineRule="auto"/>
        <w:rPr>
          <w:rFonts w:eastAsia="Times New Roman" w:cs="Arial"/>
          <w:kern w:val="0"/>
          <w:lang w:eastAsia="en-GB"/>
          <w14:ligatures w14:val="none"/>
        </w:rPr>
      </w:pPr>
      <w:r w:rsidRPr="006351DB">
        <w:rPr>
          <w:rFonts w:eastAsia="Times New Roman" w:cs="Arial"/>
          <w:kern w:val="0"/>
          <w:lang w:eastAsia="en-GB"/>
          <w14:ligatures w14:val="none"/>
        </w:rPr>
        <w:t>Identify any gaps in training and where they are identified, the provider will ensure staff have access to appropriate Continuous Professional Development training and encourage them to develop knowledge and support skills in other areas such as Mental Health, Substance Use and Domestic/Sexual Abuse</w:t>
      </w:r>
    </w:p>
    <w:p w14:paraId="33904CA8" w14:textId="46DF822E" w:rsidR="003D49F2" w:rsidRPr="003D49F2" w:rsidRDefault="003D49F2" w:rsidP="009D34A7">
      <w:pPr>
        <w:pStyle w:val="Heading3"/>
        <w:rPr>
          <w:lang w:val="en-US"/>
        </w:rPr>
      </w:pPr>
      <w:r w:rsidRPr="003D49F2">
        <w:rPr>
          <w:lang w:eastAsia="en-GB"/>
        </w:rPr>
        <w:lastRenderedPageBreak/>
        <w:t>The provider must commit</w:t>
      </w:r>
      <w:r w:rsidRPr="003D49F2">
        <w:rPr>
          <w:lang w:val="en-US"/>
        </w:rPr>
        <w:t xml:space="preserve"> to enabling staff to attend training, events and conferences at the request of the </w:t>
      </w:r>
      <w:r w:rsidR="002C0754">
        <w:rPr>
          <w:lang w:val="en-US"/>
        </w:rPr>
        <w:t>YNYCA</w:t>
      </w:r>
      <w:r w:rsidRPr="003D49F2">
        <w:rPr>
          <w:lang w:val="en-US"/>
        </w:rPr>
        <w:t>.</w:t>
      </w:r>
    </w:p>
    <w:p w14:paraId="52253AE5" w14:textId="764FDC7A" w:rsidR="003D49F2" w:rsidRPr="005D4774" w:rsidRDefault="003D49F2" w:rsidP="005D4774">
      <w:pPr>
        <w:pStyle w:val="Heading3"/>
        <w:rPr>
          <w:rFonts w:cs="Arial"/>
          <w:lang w:eastAsia="en-GB"/>
        </w:rPr>
      </w:pPr>
      <w:bookmarkStart w:id="19" w:name="_Ref520708145"/>
      <w:r w:rsidRPr="003D49F2">
        <w:rPr>
          <w:lang w:eastAsia="en-GB"/>
        </w:rPr>
        <w:t xml:space="preserve">The provider must ensure that all staff working under this Contract, including volunteers, are vetted by NYP to NPPV (Non-Police Personnel Vetting) Level 2 (abbreviated) </w:t>
      </w:r>
      <w:bookmarkEnd w:id="19"/>
      <w:r w:rsidRPr="003D49F2">
        <w:rPr>
          <w:rFonts w:cs="Arial"/>
          <w:lang w:eastAsia="en-GB"/>
        </w:rPr>
        <w:t xml:space="preserve">The Provider will operate Safe Recruitment practices, aligned to the Disclosure and Barring Service (DBS), including ensuring all staff and volunteers involved in and / or working on this contract have current, enhanced level DBS checks:  </w:t>
      </w:r>
      <w:hyperlink r:id="rId33" w:history="1">
        <w:r w:rsidRPr="003D49F2">
          <w:rPr>
            <w:rFonts w:cs="Times New Roman"/>
            <w:color w:val="0000FF"/>
            <w:u w:val="single"/>
            <w:lang w:eastAsia="en-GB"/>
          </w:rPr>
          <w:t>Disclosure and Barring Service - GOV.UK</w:t>
        </w:r>
      </w:hyperlink>
    </w:p>
    <w:p w14:paraId="3D00E92E" w14:textId="291101AC" w:rsidR="003D49F2" w:rsidRPr="005D4774" w:rsidRDefault="003D49F2" w:rsidP="005D4774">
      <w:pPr>
        <w:pStyle w:val="Heading3"/>
        <w:rPr>
          <w:lang w:eastAsia="en-GB"/>
        </w:rPr>
      </w:pPr>
      <w:r w:rsidRPr="003D49F2">
        <w:rPr>
          <w:lang w:eastAsia="en-GB"/>
        </w:rPr>
        <w:t>The provider must supply a full list of all staff, both paid and volunteers, working under this Contract, with a breakdown of their contracted hours on a quarterly basis throughout the Contract period.</w:t>
      </w:r>
    </w:p>
    <w:p w14:paraId="66FE7070" w14:textId="77777777" w:rsidR="003D49F2" w:rsidRPr="003D49F2" w:rsidRDefault="003D49F2" w:rsidP="00E53ACC">
      <w:pPr>
        <w:pStyle w:val="Heading2"/>
      </w:pPr>
      <w:r w:rsidRPr="003D49F2">
        <w:t>Advocate on behalf of Women and Onwards Referrals</w:t>
      </w:r>
    </w:p>
    <w:p w14:paraId="4A2C53A6" w14:textId="77777777" w:rsidR="003D49F2" w:rsidRPr="003D49F2" w:rsidRDefault="003D49F2" w:rsidP="00C57D7C">
      <w:pPr>
        <w:pStyle w:val="Heading3"/>
        <w:numPr>
          <w:ilvl w:val="2"/>
          <w:numId w:val="76"/>
        </w:numPr>
      </w:pPr>
      <w:r w:rsidRPr="003D49F2">
        <w:t xml:space="preserve">The provider will support women to access services to which they are entitled </w:t>
      </w:r>
      <w:bookmarkStart w:id="20" w:name="_Hlk140079804"/>
      <w:r w:rsidRPr="003D49F2">
        <w:t>as informed by the Risk &amp; Needs Assessment – including providing feedback to other agencies in relation to consistent difficulties victims and survivors encounter accessing their services.</w:t>
      </w:r>
    </w:p>
    <w:p w14:paraId="2191F4C7" w14:textId="77777777" w:rsidR="003D49F2" w:rsidRPr="003D49F2" w:rsidRDefault="003D49F2" w:rsidP="005D4774">
      <w:pPr>
        <w:pStyle w:val="Heading3"/>
      </w:pPr>
      <w:r w:rsidRPr="003D49F2">
        <w:t>The provider will develop and maintain effective joint working arrangements with key partners and advocate on behalf of women to ensure their wishes or views are considered and remain integral to any decision making.</w:t>
      </w:r>
    </w:p>
    <w:p w14:paraId="7768383A" w14:textId="77777777" w:rsidR="003D49F2" w:rsidRPr="003D49F2" w:rsidRDefault="003D49F2" w:rsidP="005D4774">
      <w:pPr>
        <w:pStyle w:val="Heading3"/>
      </w:pPr>
      <w:r w:rsidRPr="003D49F2">
        <w:t>The provider will keep other agencies informed about important changes in the women’s situation as appropriate.</w:t>
      </w:r>
      <w:bookmarkStart w:id="21" w:name="_Hlk138694336"/>
      <w:bookmarkEnd w:id="20"/>
    </w:p>
    <w:p w14:paraId="74420347" w14:textId="77777777" w:rsidR="003D49F2" w:rsidRPr="003D49F2" w:rsidRDefault="003D49F2" w:rsidP="00E53ACC">
      <w:pPr>
        <w:pStyle w:val="Heading2"/>
      </w:pPr>
      <w:r w:rsidRPr="003D49F2">
        <w:t>Service Exit Planning</w:t>
      </w:r>
    </w:p>
    <w:p w14:paraId="23849E86" w14:textId="77777777" w:rsidR="003D49F2" w:rsidRPr="003D49F2" w:rsidRDefault="003D49F2" w:rsidP="00C57D7C">
      <w:pPr>
        <w:pStyle w:val="Heading3"/>
        <w:numPr>
          <w:ilvl w:val="2"/>
          <w:numId w:val="77"/>
        </w:numPr>
      </w:pPr>
      <w:r w:rsidRPr="003D49F2">
        <w:t xml:space="preserve">The provider must ensure that appropriate exit planning is incorporated into the Support Plan in line with individual needs and circumstances, with clearly defined milestones to support women to move through their support journey and empower them to be able to support themselves independently, or through an appropriate peer support network, by the end of the provision of support. </w:t>
      </w:r>
    </w:p>
    <w:p w14:paraId="31C24B87" w14:textId="77777777" w:rsidR="003D49F2" w:rsidRPr="003D49F2" w:rsidRDefault="003D49F2" w:rsidP="005D4774">
      <w:pPr>
        <w:pStyle w:val="Heading3"/>
      </w:pPr>
      <w:r w:rsidRPr="003D49F2">
        <w:t>The provider must manage expectations of women in terms of the scope of the service by agreeing clear aims and support goals. These support goals should be regularly reviewed with each woman as part of every significant planned contact and should form the basis for an Exit Strategy to be agreed with each woman exiting the service in a planned way.</w:t>
      </w:r>
    </w:p>
    <w:p w14:paraId="05D85383" w14:textId="77777777" w:rsidR="003D49F2" w:rsidRPr="003D49F2" w:rsidRDefault="003D49F2" w:rsidP="005D4774">
      <w:pPr>
        <w:pStyle w:val="Heading3"/>
      </w:pPr>
      <w:r w:rsidRPr="003D49F2">
        <w:t>This Exit Strategy must include identification of any remaining areas of need and onward referrals required to meet specific needs outside the scope of the service; and collecting feedback on overall service delivery</w:t>
      </w:r>
      <w:bookmarkEnd w:id="21"/>
      <w:r w:rsidRPr="003D49F2">
        <w:t>.</w:t>
      </w:r>
    </w:p>
    <w:p w14:paraId="5708776B" w14:textId="77777777" w:rsidR="003D49F2" w:rsidRPr="003D49F2" w:rsidRDefault="003D49F2" w:rsidP="005D4774">
      <w:pPr>
        <w:pStyle w:val="Heading3"/>
      </w:pPr>
      <w:r w:rsidRPr="003D49F2">
        <w:t xml:space="preserve">A rescoring against the categories of need will also take place as part of the exit strategy. </w:t>
      </w:r>
    </w:p>
    <w:p w14:paraId="7ADA31DD" w14:textId="77777777" w:rsidR="003D49F2" w:rsidRPr="003D49F2" w:rsidRDefault="003D49F2" w:rsidP="00E53ACC">
      <w:pPr>
        <w:pStyle w:val="Heading2"/>
      </w:pPr>
      <w:r w:rsidRPr="003D49F2">
        <w:t>Service-User Feedback &amp; Service Development</w:t>
      </w:r>
    </w:p>
    <w:p w14:paraId="1FB7DE01" w14:textId="77777777" w:rsidR="003D49F2" w:rsidRPr="005D4774" w:rsidRDefault="003D49F2" w:rsidP="00C57D7C">
      <w:pPr>
        <w:pStyle w:val="Heading3"/>
        <w:numPr>
          <w:ilvl w:val="2"/>
          <w:numId w:val="78"/>
        </w:numPr>
        <w:rPr>
          <w:b/>
        </w:rPr>
      </w:pPr>
      <w:r w:rsidRPr="003D49F2">
        <w:t>The provider</w:t>
      </w:r>
      <w:r w:rsidRPr="003D49F2">
        <w:rPr>
          <w:lang w:eastAsia="en-GB"/>
        </w:rPr>
        <w:t xml:space="preserve"> will undertake a satisfaction survey with every woman that engages with the service to help measure impact and effectiveness. As a minimum, women will be asked if they would:</w:t>
      </w:r>
    </w:p>
    <w:p w14:paraId="6BCC836F" w14:textId="77777777" w:rsidR="003D49F2" w:rsidRPr="003D49F2" w:rsidRDefault="003D49F2" w:rsidP="00C57D7C">
      <w:pPr>
        <w:numPr>
          <w:ilvl w:val="3"/>
          <w:numId w:val="15"/>
        </w:numPr>
        <w:spacing w:before="0" w:after="120" w:line="276" w:lineRule="auto"/>
        <w:jc w:val="both"/>
        <w:rPr>
          <w:rFonts w:eastAsia="Times New Roman" w:cs="Arial"/>
          <w:b/>
          <w:kern w:val="0"/>
          <w14:ligatures w14:val="none"/>
        </w:rPr>
      </w:pPr>
      <w:r w:rsidRPr="003D49F2">
        <w:rPr>
          <w:rFonts w:eastAsia="Times New Roman" w:cs="Arial"/>
          <w:bCs/>
          <w:kern w:val="0"/>
          <w:lang w:eastAsia="en-GB"/>
          <w14:ligatures w14:val="none"/>
        </w:rPr>
        <w:t>Recommend the service</w:t>
      </w:r>
    </w:p>
    <w:p w14:paraId="1FDB2692" w14:textId="77777777" w:rsidR="003D49F2" w:rsidRPr="003D49F2" w:rsidRDefault="003D49F2" w:rsidP="00C57D7C">
      <w:pPr>
        <w:numPr>
          <w:ilvl w:val="3"/>
          <w:numId w:val="15"/>
        </w:numPr>
        <w:spacing w:before="0" w:after="120" w:line="276" w:lineRule="auto"/>
        <w:jc w:val="both"/>
        <w:rPr>
          <w:rFonts w:eastAsia="Times New Roman" w:cs="Arial"/>
          <w:b/>
          <w:kern w:val="0"/>
          <w14:ligatures w14:val="none"/>
        </w:rPr>
      </w:pPr>
      <w:r w:rsidRPr="003D49F2">
        <w:rPr>
          <w:rFonts w:eastAsia="Times New Roman" w:cs="Arial"/>
          <w:bCs/>
          <w:kern w:val="0"/>
          <w:lang w:eastAsia="en-GB"/>
          <w14:ligatures w14:val="none"/>
        </w:rPr>
        <w:t>View the service in a positive light</w:t>
      </w:r>
    </w:p>
    <w:p w14:paraId="35638296" w14:textId="77777777" w:rsidR="003D49F2" w:rsidRPr="003D49F2" w:rsidRDefault="003D49F2" w:rsidP="00C57D7C">
      <w:pPr>
        <w:numPr>
          <w:ilvl w:val="3"/>
          <w:numId w:val="15"/>
        </w:numPr>
        <w:spacing w:before="0" w:after="120" w:line="276" w:lineRule="auto"/>
        <w:jc w:val="both"/>
        <w:rPr>
          <w:rFonts w:eastAsia="Times New Roman" w:cs="Arial"/>
          <w:b/>
          <w:kern w:val="0"/>
          <w14:ligatures w14:val="none"/>
        </w:rPr>
      </w:pPr>
      <w:r w:rsidRPr="003D49F2">
        <w:rPr>
          <w:rFonts w:eastAsia="Times New Roman" w:cs="Arial"/>
          <w:bCs/>
          <w:kern w:val="0"/>
          <w:lang w:eastAsia="en-GB"/>
          <w14:ligatures w14:val="none"/>
        </w:rPr>
        <w:t>Feel that their support goals have been met</w:t>
      </w:r>
    </w:p>
    <w:p w14:paraId="45957C46" w14:textId="77777777" w:rsidR="003D49F2" w:rsidRPr="003D49F2" w:rsidRDefault="003D49F2" w:rsidP="00EB3DE8">
      <w:pPr>
        <w:pStyle w:val="Heading3"/>
        <w:rPr>
          <w:b/>
        </w:rPr>
      </w:pPr>
      <w:r w:rsidRPr="003D49F2">
        <w:rPr>
          <w:lang w:eastAsia="en-GB"/>
        </w:rPr>
        <w:lastRenderedPageBreak/>
        <w:t xml:space="preserve">The Yes/No response will be input into the CMS, but the women should also be provided with the opportunity to elaborate on their answers and provide further feedback. </w:t>
      </w:r>
    </w:p>
    <w:p w14:paraId="12CD63B9" w14:textId="77777777" w:rsidR="003D49F2" w:rsidRPr="003D49F2" w:rsidRDefault="003D49F2" w:rsidP="00EB3DE8">
      <w:pPr>
        <w:pStyle w:val="Heading3"/>
        <w:rPr>
          <w:rFonts w:cs="Arial"/>
          <w:b/>
        </w:rPr>
      </w:pPr>
      <w:bookmarkStart w:id="22" w:name="_Hlk138694247"/>
      <w:r w:rsidRPr="003D49F2">
        <w:t xml:space="preserve">The provider must ensure all women are given the opportunity to provide feedback, whether they exit the Service in a planned way or not. </w:t>
      </w:r>
    </w:p>
    <w:p w14:paraId="6C775EF6" w14:textId="77777777" w:rsidR="003D49F2" w:rsidRPr="003D49F2" w:rsidRDefault="003D49F2" w:rsidP="00EB3DE8">
      <w:pPr>
        <w:pStyle w:val="Heading3"/>
      </w:pPr>
      <w:bookmarkStart w:id="23" w:name="_Hlk140080037"/>
      <w:r w:rsidRPr="003D49F2">
        <w:t>The provider will be required to provide data on this feedback as requested to evaluate the service, locally highlighting common themes and issues as they arise through the Contract and Performance Management process.</w:t>
      </w:r>
    </w:p>
    <w:p w14:paraId="3A82EA65" w14:textId="77777777" w:rsidR="003D49F2" w:rsidRPr="003D49F2" w:rsidRDefault="003D49F2" w:rsidP="00EB3DE8">
      <w:pPr>
        <w:pStyle w:val="Heading3"/>
      </w:pPr>
      <w:bookmarkStart w:id="24" w:name="_Hlk138323630"/>
      <w:bookmarkEnd w:id="22"/>
      <w:r w:rsidRPr="003D49F2">
        <w:t>The provider will establish a Women’s Forum within 6 months of Contract start date (if such a forum is not already in place) and maintain the Forum throughout the life of the Contract. This will ensure the voices of women are heard, co-production of the service can take place via consultation on service design and delivery and enable continuous service improvement and development. This Forum will be invited to represent the authentic voice of women within the strategic VAWG arrangements for York &amp; North Yorkshire.</w:t>
      </w:r>
    </w:p>
    <w:p w14:paraId="4B66F53D" w14:textId="7244D5B2" w:rsidR="003D49F2" w:rsidRPr="003D49F2" w:rsidRDefault="003D49F2" w:rsidP="00EB3DE8">
      <w:pPr>
        <w:pStyle w:val="Heading3"/>
        <w:rPr>
          <w:rFonts w:cs="Times New Roman"/>
          <w:b/>
        </w:rPr>
      </w:pPr>
      <w:bookmarkStart w:id="25" w:name="_Hlk138694209"/>
      <w:bookmarkEnd w:id="24"/>
      <w:r w:rsidRPr="003D49F2">
        <w:t xml:space="preserve">The </w:t>
      </w:r>
      <w:r w:rsidR="002C0754">
        <w:t>YNYCA</w:t>
      </w:r>
      <w:r w:rsidRPr="003D49F2">
        <w:t xml:space="preserve"> may also undertake consultation and engagement with women from time to time, including co-production opportunities, and the provider will be expected to promote and encourage women to take part</w:t>
      </w:r>
      <w:r w:rsidRPr="003D49F2">
        <w:rPr>
          <w:rFonts w:cs="Arial"/>
        </w:rPr>
        <w:t xml:space="preserve">. </w:t>
      </w:r>
      <w:bookmarkEnd w:id="23"/>
      <w:bookmarkEnd w:id="25"/>
    </w:p>
    <w:p w14:paraId="47DB091D" w14:textId="77777777" w:rsidR="003D49F2" w:rsidRPr="003D49F2" w:rsidRDefault="003D49F2" w:rsidP="00E53ACC">
      <w:pPr>
        <w:pStyle w:val="Heading2"/>
      </w:pPr>
      <w:r w:rsidRPr="003D49F2">
        <w:t>Performance and Quality Management</w:t>
      </w:r>
    </w:p>
    <w:p w14:paraId="38F98337" w14:textId="77777777" w:rsidR="003D49F2" w:rsidRPr="00CD0553" w:rsidRDefault="003D49F2" w:rsidP="00C57D7C">
      <w:pPr>
        <w:pStyle w:val="Heading3"/>
        <w:numPr>
          <w:ilvl w:val="2"/>
          <w:numId w:val="79"/>
        </w:numPr>
        <w:rPr>
          <w:b/>
          <w:lang w:eastAsia="en-GB"/>
        </w:rPr>
      </w:pPr>
      <w:r w:rsidRPr="003D49F2">
        <w:rPr>
          <w:lang w:eastAsia="en-GB"/>
        </w:rPr>
        <w:t>The provider will identify a named Contract Manager who will maintain communication with the YNYCA Contract Manager for Contract Management purposes; and provide timely reports to the YNYCA Contract Manager to include delivery of outputs to be agreed prior to Contract award.</w:t>
      </w:r>
    </w:p>
    <w:p w14:paraId="572B9B1D" w14:textId="77777777" w:rsidR="003D49F2" w:rsidRPr="003D49F2" w:rsidRDefault="003D49F2" w:rsidP="00CD0553">
      <w:pPr>
        <w:pStyle w:val="Heading3"/>
        <w:rPr>
          <w:b/>
          <w:lang w:eastAsia="en-GB"/>
        </w:rPr>
      </w:pPr>
      <w:r w:rsidRPr="003D49F2">
        <w:rPr>
          <w:lang w:eastAsia="en-GB"/>
        </w:rPr>
        <w:t>The YNYCA Contract Manager will undertake quarterly performance meetings with the provider’s named Contract Manager to discuss Contract Performance and quality of delivery.</w:t>
      </w:r>
    </w:p>
    <w:p w14:paraId="3EEA81F9" w14:textId="77777777" w:rsidR="003D49F2" w:rsidRPr="003D49F2" w:rsidRDefault="003D49F2" w:rsidP="00CD0553">
      <w:pPr>
        <w:pStyle w:val="Heading3"/>
        <w:rPr>
          <w:b/>
          <w:lang w:eastAsia="en-GB"/>
        </w:rPr>
      </w:pPr>
      <w:r w:rsidRPr="003D49F2">
        <w:rPr>
          <w:lang w:eastAsia="en-GB"/>
        </w:rPr>
        <w:t>The Provider will ensure staff document accurate and up to date information in relation to referral and support offered to women including the uptake of the service and provide statistical information on performance with a focus on outputs and outcomes.</w:t>
      </w:r>
    </w:p>
    <w:p w14:paraId="45891083" w14:textId="5E476898" w:rsidR="003D49F2" w:rsidRPr="003D49F2" w:rsidRDefault="003D49F2" w:rsidP="00CD0553">
      <w:pPr>
        <w:pStyle w:val="Heading3"/>
        <w:rPr>
          <w:rFonts w:eastAsia="Times New Roman"/>
          <w:b/>
          <w:lang w:eastAsia="en-GB"/>
        </w:rPr>
      </w:pPr>
      <w:r w:rsidRPr="003D49F2">
        <w:t xml:space="preserve">The Provider will ensure staff working to this Contract complete the CMP as outlined above at </w:t>
      </w:r>
      <w:r w:rsidR="006157CD">
        <w:t>4.</w:t>
      </w:r>
      <w:r>
        <w:t>8.</w:t>
      </w:r>
      <w:r w:rsidR="006157CD">
        <w:t>3</w:t>
      </w:r>
      <w:r w:rsidRPr="003D49F2">
        <w:t xml:space="preserve"> and as per the YNYCA CMS for every woman, in order to record progress on achieving the outcomes as set out in individual Support Plans, and effectively case manage women’s support journeys.</w:t>
      </w:r>
    </w:p>
    <w:p w14:paraId="364B5060" w14:textId="77777777" w:rsidR="003D49F2" w:rsidRPr="003D49F2" w:rsidRDefault="003D49F2" w:rsidP="00CD0553">
      <w:pPr>
        <w:pStyle w:val="Heading3"/>
        <w:rPr>
          <w:b/>
          <w:lang w:eastAsia="en-GB"/>
        </w:rPr>
      </w:pPr>
      <w:r w:rsidRPr="003D49F2">
        <w:rPr>
          <w:lang w:eastAsia="en-GB"/>
        </w:rPr>
        <w:t xml:space="preserve">The Supporting Victims Team System Administrator will have overall responsibility for ensuring appropriate use of </w:t>
      </w:r>
      <w:proofErr w:type="spellStart"/>
      <w:r w:rsidRPr="003D49F2">
        <w:rPr>
          <w:lang w:eastAsia="en-GB"/>
        </w:rPr>
        <w:t>Orcuma</w:t>
      </w:r>
      <w:proofErr w:type="spellEnd"/>
      <w:r w:rsidRPr="003D49F2">
        <w:rPr>
          <w:lang w:eastAsia="en-GB"/>
        </w:rPr>
        <w:t xml:space="preserve"> and will quality assure data entry via dip sampling throughout the life of the Contract.</w:t>
      </w:r>
    </w:p>
    <w:p w14:paraId="0257441A" w14:textId="77777777" w:rsidR="003D49F2" w:rsidRPr="003D49F2" w:rsidRDefault="003D49F2" w:rsidP="00CD0553">
      <w:pPr>
        <w:pStyle w:val="Heading3"/>
        <w:rPr>
          <w:b/>
          <w:lang w:eastAsia="en-GB"/>
        </w:rPr>
      </w:pPr>
      <w:r w:rsidRPr="003D49F2">
        <w:rPr>
          <w:lang w:eastAsia="en-GB"/>
        </w:rPr>
        <w:t>An annual review of all monitoring information will be undertaken by the YNYCA Contract Manager and discussed with the provider with recommendations for improvement, highlighting areas of good practice and any gaps.</w:t>
      </w:r>
    </w:p>
    <w:p w14:paraId="68DC4906" w14:textId="53ACB81E" w:rsidR="003D49F2" w:rsidRPr="003D49F2" w:rsidRDefault="003D49F2" w:rsidP="00CD0553">
      <w:pPr>
        <w:pStyle w:val="Heading3"/>
        <w:rPr>
          <w:b/>
          <w:lang w:eastAsia="en-GB"/>
        </w:rPr>
      </w:pPr>
      <w:r w:rsidRPr="003D49F2">
        <w:rPr>
          <w:lang w:eastAsia="en-GB"/>
        </w:rPr>
        <w:t xml:space="preserve">Where concerns exist around quality of delivery or performance is deemed to be below agreed tolerance levels (as specified at </w:t>
      </w:r>
      <w:r w:rsidRPr="008718F0">
        <w:rPr>
          <w:lang w:eastAsia="en-GB"/>
        </w:rPr>
        <w:t>8.2</w:t>
      </w:r>
      <w:r w:rsidR="008718F0" w:rsidRPr="008718F0">
        <w:rPr>
          <w:lang w:eastAsia="en-GB"/>
        </w:rPr>
        <w:t>5</w:t>
      </w:r>
      <w:r w:rsidRPr="003D49F2">
        <w:rPr>
          <w:lang w:eastAsia="en-GB"/>
        </w:rPr>
        <w:t>), the YNYCA Contract Manager will agree a reasonable timeline with Provider for improving Service/Contract delivery/quality through a Rectification Plan.</w:t>
      </w:r>
    </w:p>
    <w:p w14:paraId="65EA5222" w14:textId="77777777" w:rsidR="003D49F2" w:rsidRPr="003D49F2" w:rsidRDefault="003D49F2" w:rsidP="00CD0553">
      <w:pPr>
        <w:pStyle w:val="Heading3"/>
        <w:rPr>
          <w:b/>
          <w:lang w:eastAsia="en-GB"/>
        </w:rPr>
      </w:pPr>
      <w:r w:rsidRPr="003D49F2">
        <w:rPr>
          <w:lang w:eastAsia="en-GB"/>
        </w:rPr>
        <w:t>Should the YNYCA Contract Manager continue to have concerns in these areas/not see improvement within agreed timescales, a Default Notice may be issued on this basis, which may carry with it a financial penalty in line with the element of non-rectification.</w:t>
      </w:r>
    </w:p>
    <w:p w14:paraId="695DC2DB" w14:textId="77777777" w:rsidR="003D49F2" w:rsidRPr="003D49F2" w:rsidRDefault="003D49F2" w:rsidP="00CD0553">
      <w:pPr>
        <w:pStyle w:val="Heading3"/>
        <w:rPr>
          <w:lang w:eastAsia="en-GB"/>
        </w:rPr>
      </w:pPr>
      <w:r w:rsidRPr="003D49F2">
        <w:rPr>
          <w:lang w:eastAsia="en-GB"/>
        </w:rPr>
        <w:lastRenderedPageBreak/>
        <w:t>The Provider will be required to produce a minimum of ten anonymised case studies per annum to the YNYCA Contract Manager in a format to be agreed with the Commissioners.</w:t>
      </w:r>
    </w:p>
    <w:p w14:paraId="4D0949F6" w14:textId="77777777" w:rsidR="003D49F2" w:rsidRPr="003D49F2" w:rsidRDefault="003D49F2" w:rsidP="00CD0553">
      <w:pPr>
        <w:pStyle w:val="Heading3"/>
        <w:rPr>
          <w:b/>
          <w:lang w:eastAsia="en-GB"/>
        </w:rPr>
      </w:pPr>
      <w:r w:rsidRPr="003D49F2">
        <w:rPr>
          <w:lang w:eastAsia="en-GB"/>
        </w:rPr>
        <w:t xml:space="preserve">The Provider will be expected to produce an Impact &amp; Evaluation Report of the Service on initial Contract completion, within two (2) calendar months of the final day of the initial Contract period. </w:t>
      </w:r>
    </w:p>
    <w:p w14:paraId="78674C9D" w14:textId="77777777" w:rsidR="003D49F2" w:rsidRPr="003D49F2" w:rsidRDefault="003D49F2" w:rsidP="00E53ACC">
      <w:pPr>
        <w:pStyle w:val="Heading2"/>
        <w:rPr>
          <w:rFonts w:eastAsia="Times New Roman"/>
        </w:rPr>
      </w:pPr>
      <w:bookmarkStart w:id="26" w:name="_Ref512879752"/>
      <w:r w:rsidRPr="003D49F2">
        <w:t>Key Performance Indicators</w:t>
      </w:r>
      <w:bookmarkEnd w:id="26"/>
    </w:p>
    <w:p w14:paraId="2DF3129B" w14:textId="0497A06D" w:rsidR="003D49F2" w:rsidRPr="003D49F2" w:rsidRDefault="003D49F2" w:rsidP="00C57D7C">
      <w:pPr>
        <w:pStyle w:val="Heading3"/>
        <w:numPr>
          <w:ilvl w:val="2"/>
          <w:numId w:val="80"/>
        </w:numPr>
        <w:rPr>
          <w:lang w:eastAsia="en-GB"/>
        </w:rPr>
      </w:pPr>
      <w:bookmarkStart w:id="27" w:name="_Ref512890764"/>
      <w:r w:rsidRPr="003D49F2">
        <w:rPr>
          <w:lang w:eastAsia="en-GB"/>
        </w:rPr>
        <w:t xml:space="preserve">The following Key Performance Indicators (“KPIs”) and tolerance levels have been identified by the </w:t>
      </w:r>
      <w:r w:rsidR="002C0754">
        <w:rPr>
          <w:lang w:eastAsia="en-GB"/>
        </w:rPr>
        <w:t>YNYCA</w:t>
      </w:r>
      <w:r w:rsidRPr="003D49F2">
        <w:rPr>
          <w:lang w:eastAsia="en-GB"/>
        </w:rPr>
        <w:t xml:space="preserve"> as a minimum requirement to demonstrate contractual performance and outcomes achieved by the service.</w:t>
      </w:r>
      <w:bookmarkEnd w:id="27"/>
      <w:r w:rsidRPr="003D49F2">
        <w:rPr>
          <w:lang w:eastAsia="en-GB"/>
        </w:rPr>
        <w:t xml:space="preserve"> </w:t>
      </w:r>
    </w:p>
    <w:p w14:paraId="611D899E" w14:textId="1CE64A49" w:rsidR="003D49F2" w:rsidRPr="003D49F2" w:rsidRDefault="003D49F2" w:rsidP="009B0DA1">
      <w:pPr>
        <w:pStyle w:val="Heading3"/>
        <w:rPr>
          <w:rFonts w:eastAsia="Arial"/>
          <w:color w:val="000000"/>
          <w:lang w:eastAsia="en-GB"/>
        </w:rPr>
      </w:pPr>
      <w:r w:rsidRPr="003D49F2">
        <w:rPr>
          <w:lang w:eastAsia="en-GB"/>
        </w:rPr>
        <w:t xml:space="preserve">These may be changed at the discretion of the </w:t>
      </w:r>
      <w:r w:rsidR="002C0754">
        <w:rPr>
          <w:lang w:eastAsia="en-GB"/>
        </w:rPr>
        <w:t>YNYCA</w:t>
      </w:r>
      <w:r w:rsidRPr="003D49F2">
        <w:rPr>
          <w:lang w:eastAsia="en-GB"/>
        </w:rPr>
        <w:t xml:space="preserve"> throughout the duration of the Contract.</w:t>
      </w:r>
    </w:p>
    <w:p w14:paraId="45354CE9" w14:textId="77777777" w:rsidR="003D49F2" w:rsidRPr="003D49F2" w:rsidRDefault="003D49F2" w:rsidP="009B0DA1">
      <w:pPr>
        <w:pStyle w:val="Heading3"/>
        <w:rPr>
          <w:rFonts w:eastAsia="Arial"/>
          <w:color w:val="000000"/>
          <w:lang w:eastAsia="en-GB"/>
        </w:rPr>
      </w:pPr>
      <w:r w:rsidRPr="003D49F2">
        <w:rPr>
          <w:lang w:eastAsia="en-GB"/>
        </w:rPr>
        <w:t>KPI’s will be reviewed on a quarterly basis.</w:t>
      </w:r>
    </w:p>
    <w:p w14:paraId="28D470AB" w14:textId="77777777" w:rsidR="003D49F2" w:rsidRPr="003D49F2" w:rsidRDefault="003D49F2" w:rsidP="009B0DA1">
      <w:pPr>
        <w:pStyle w:val="Heading3"/>
        <w:rPr>
          <w:rFonts w:eastAsia="Arial"/>
          <w:color w:val="000000"/>
          <w:lang w:eastAsia="en-GB"/>
        </w:rPr>
      </w:pPr>
      <w:r w:rsidRPr="003D49F2">
        <w:rPr>
          <w:lang w:eastAsia="en-GB"/>
        </w:rPr>
        <w:t>The following KPIs will apply to all elements of the service for women who accept the full case management process.</w:t>
      </w:r>
    </w:p>
    <w:p w14:paraId="78F32AC8" w14:textId="77777777" w:rsidR="003D49F2" w:rsidRDefault="003D49F2" w:rsidP="009B0DA1">
      <w:pPr>
        <w:pStyle w:val="Heading3"/>
        <w:rPr>
          <w:lang w:eastAsia="en-GB"/>
        </w:rPr>
      </w:pPr>
      <w:r w:rsidRPr="003D49F2">
        <w:rPr>
          <w:lang w:eastAsia="en-GB"/>
        </w:rPr>
        <w:t xml:space="preserve">Please note that there are additional KPIs relevant to each element of the service contained within the relevant sections of the specification. </w:t>
      </w:r>
    </w:p>
    <w:p w14:paraId="5C406D89" w14:textId="77777777" w:rsidR="009B0DA1" w:rsidRPr="009B0DA1" w:rsidRDefault="009B0DA1" w:rsidP="009B0DA1">
      <w:pPr>
        <w:rPr>
          <w:lang w:eastAsia="en-GB"/>
        </w:rPr>
      </w:pPr>
    </w:p>
    <w:p w14:paraId="23BD329E" w14:textId="77777777" w:rsidR="003D49F2" w:rsidRPr="003D49F2" w:rsidRDefault="003D49F2" w:rsidP="003D49F2">
      <w:pPr>
        <w:spacing w:before="0" w:after="200" w:line="276" w:lineRule="auto"/>
        <w:ind w:left="432"/>
        <w:rPr>
          <w:rFonts w:eastAsia="Times New Roman" w:cs="Arial"/>
          <w:b/>
          <w:bCs/>
          <w:kern w:val="0"/>
          <w:lang w:eastAsia="en-GB"/>
          <w14:ligatures w14:val="none"/>
        </w:rPr>
      </w:pPr>
      <w:r w:rsidRPr="003D49F2">
        <w:rPr>
          <w:rFonts w:eastAsia="Times New Roman" w:cs="Arial"/>
          <w:b/>
          <w:bCs/>
          <w:kern w:val="0"/>
          <w:lang w:eastAsia="en-GB"/>
          <w14:ligatures w14:val="none"/>
        </w:rPr>
        <w:t xml:space="preserve">Referrals </w:t>
      </w:r>
    </w:p>
    <w:p w14:paraId="2C4BA9E5" w14:textId="77777777" w:rsidR="003D49F2" w:rsidRPr="003D49F2" w:rsidRDefault="003D49F2" w:rsidP="00C57D7C">
      <w:pPr>
        <w:numPr>
          <w:ilvl w:val="0"/>
          <w:numId w:val="58"/>
        </w:numPr>
        <w:spacing w:before="0" w:after="240" w:line="276" w:lineRule="auto"/>
        <w:rPr>
          <w:rFonts w:eastAsia="Arial" w:cs="Arial"/>
          <w:kern w:val="0"/>
          <w14:ligatures w14:val="none"/>
        </w:rPr>
      </w:pPr>
      <w:r w:rsidRPr="003D49F2">
        <w:rPr>
          <w:rFonts w:eastAsia="Times New Roman" w:cs="Arial"/>
          <w:b/>
          <w:bCs/>
          <w:kern w:val="0"/>
          <w:lang w:eastAsia="en-GB"/>
          <w14:ligatures w14:val="none"/>
        </w:rPr>
        <w:t>KPI 1</w:t>
      </w:r>
      <w:r w:rsidRPr="003D49F2">
        <w:rPr>
          <w:rFonts w:eastAsia="Times New Roman" w:cs="Arial"/>
          <w:kern w:val="0"/>
          <w:lang w:eastAsia="en-GB"/>
          <w14:ligatures w14:val="none"/>
        </w:rPr>
        <w:t xml:space="preserve"> – </w:t>
      </w:r>
      <w:bookmarkStart w:id="28" w:name="_Hlk137818079"/>
      <w:bookmarkStart w:id="29" w:name="_Hlk138328497"/>
      <w:r w:rsidRPr="003D49F2">
        <w:rPr>
          <w:rFonts w:eastAsia="Times New Roman" w:cs="Arial"/>
          <w:kern w:val="0"/>
          <w14:ligatures w14:val="none"/>
        </w:rPr>
        <w:t xml:space="preserve">Contact is attempted </w:t>
      </w:r>
      <w:bookmarkEnd w:id="28"/>
      <w:bookmarkEnd w:id="29"/>
      <w:r w:rsidRPr="003D49F2">
        <w:rPr>
          <w:rFonts w:eastAsia="Arial" w:cs="Arial"/>
          <w:kern w:val="0"/>
          <w14:ligatures w14:val="none"/>
        </w:rPr>
        <w:t xml:space="preserve">within 72 hours/3 working days of receipt of an eligible referral for a minimum 90% of women. </w:t>
      </w:r>
    </w:p>
    <w:p w14:paraId="6DC18F81" w14:textId="77777777" w:rsidR="003D49F2" w:rsidRPr="003D49F2" w:rsidRDefault="003D49F2" w:rsidP="00C57D7C">
      <w:pPr>
        <w:numPr>
          <w:ilvl w:val="0"/>
          <w:numId w:val="58"/>
        </w:numPr>
        <w:spacing w:before="0" w:after="120" w:line="276" w:lineRule="auto"/>
        <w:jc w:val="both"/>
        <w:rPr>
          <w:rFonts w:eastAsia="Arial" w:cs="Arial"/>
          <w:kern w:val="0"/>
          <w14:ligatures w14:val="none"/>
        </w:rPr>
      </w:pPr>
      <w:r w:rsidRPr="003D49F2">
        <w:rPr>
          <w:rFonts w:eastAsia="Times New Roman" w:cs="Arial"/>
          <w:b/>
          <w:bCs/>
          <w:kern w:val="0"/>
          <w:lang w:eastAsia="en-GB"/>
          <w14:ligatures w14:val="none"/>
        </w:rPr>
        <w:t>KPI 2</w:t>
      </w:r>
      <w:r w:rsidRPr="003D49F2">
        <w:rPr>
          <w:rFonts w:eastAsia="Times New Roman" w:cs="Arial"/>
          <w:kern w:val="0"/>
          <w:lang w:eastAsia="en-GB"/>
          <w14:ligatures w14:val="none"/>
        </w:rPr>
        <w:t xml:space="preserve"> - 100% of those who are contacted are offered an appointment within 7 days of receiving the referral.</w:t>
      </w:r>
    </w:p>
    <w:p w14:paraId="042FA600" w14:textId="49953FB3" w:rsidR="003D49F2" w:rsidRPr="003D49F2" w:rsidRDefault="003D49F2" w:rsidP="00AD43D4">
      <w:pPr>
        <w:spacing w:before="0" w:after="200" w:line="276" w:lineRule="auto"/>
        <w:ind w:left="432"/>
        <w:rPr>
          <w:rFonts w:eastAsia="Times New Roman" w:cs="Arial"/>
          <w:kern w:val="0"/>
          <w:lang w:eastAsia="en-GB"/>
          <w14:ligatures w14:val="none"/>
        </w:rPr>
      </w:pPr>
      <w:r w:rsidRPr="003D49F2">
        <w:rPr>
          <w:rFonts w:eastAsia="Times New Roman" w:cs="Arial"/>
          <w:kern w:val="0"/>
          <w:lang w:eastAsia="en-GB"/>
          <w14:ligatures w14:val="none"/>
        </w:rPr>
        <w:t>If the Provider fails to meet either of these KPIs in relation to a specific referral, the provider must also confirm the actual timescales when contact has been attempted and/or appointment offered for each specific referral outside of these KPIs.</w:t>
      </w:r>
    </w:p>
    <w:p w14:paraId="32FFFA35" w14:textId="77777777" w:rsidR="003D49F2" w:rsidRPr="003D49F2" w:rsidRDefault="003D49F2" w:rsidP="003D49F2">
      <w:pPr>
        <w:spacing w:before="0" w:after="200" w:line="276" w:lineRule="auto"/>
        <w:ind w:left="792" w:hanging="432"/>
        <w:rPr>
          <w:rFonts w:eastAsia="Times New Roman" w:cs="Arial"/>
          <w:b/>
          <w:bCs/>
          <w:kern w:val="0"/>
          <w:lang w:eastAsia="en-GB"/>
          <w14:ligatures w14:val="none"/>
        </w:rPr>
      </w:pPr>
      <w:r w:rsidRPr="003D49F2">
        <w:rPr>
          <w:rFonts w:eastAsia="Times New Roman" w:cs="Arial"/>
          <w:b/>
          <w:bCs/>
          <w:kern w:val="0"/>
          <w:lang w:eastAsia="en-GB"/>
          <w14:ligatures w14:val="none"/>
        </w:rPr>
        <w:t>Risk &amp; Needs Assessment</w:t>
      </w:r>
    </w:p>
    <w:p w14:paraId="212EA38A" w14:textId="77777777" w:rsidR="003D49F2" w:rsidRPr="003D49F2" w:rsidRDefault="003D49F2" w:rsidP="00C57D7C">
      <w:pPr>
        <w:numPr>
          <w:ilvl w:val="0"/>
          <w:numId w:val="54"/>
        </w:numPr>
        <w:spacing w:before="0" w:after="240" w:line="276" w:lineRule="auto"/>
        <w:rPr>
          <w:rFonts w:eastAsia="Times New Roman" w:cs="Arial"/>
          <w:b/>
          <w:bCs/>
          <w:kern w:val="0"/>
          <w:lang w:eastAsia="en-GB"/>
          <w14:ligatures w14:val="none"/>
        </w:rPr>
      </w:pPr>
      <w:r w:rsidRPr="003D49F2">
        <w:rPr>
          <w:rFonts w:eastAsia="Arial" w:cs="Arial"/>
          <w:b/>
          <w:bCs/>
          <w:color w:val="000000"/>
          <w:kern w:val="0"/>
          <w:lang w:eastAsia="en-GB"/>
          <w14:ligatures w14:val="none"/>
        </w:rPr>
        <w:t xml:space="preserve">KPI 3 </w:t>
      </w:r>
      <w:r w:rsidRPr="003D49F2">
        <w:rPr>
          <w:rFonts w:eastAsia="Arial" w:cs="Arial"/>
          <w:color w:val="000000"/>
          <w:kern w:val="0"/>
          <w:lang w:eastAsia="en-GB"/>
          <w14:ligatures w14:val="none"/>
        </w:rPr>
        <w:t xml:space="preserve">- Minimum 90% of women who accept full case-management support receive a full risk and needs assessment which includes baseline scoring across the categories of need. </w:t>
      </w:r>
    </w:p>
    <w:p w14:paraId="1544A846" w14:textId="77777777" w:rsidR="003D49F2" w:rsidRPr="003D49F2" w:rsidRDefault="003D49F2" w:rsidP="003D49F2">
      <w:pPr>
        <w:spacing w:before="0" w:after="200" w:line="276" w:lineRule="auto"/>
        <w:ind w:left="360"/>
        <w:rPr>
          <w:rFonts w:eastAsia="Times New Roman" w:cs="Arial"/>
          <w:b/>
          <w:bCs/>
          <w:kern w:val="0"/>
          <w:lang w:eastAsia="en-GB"/>
          <w14:ligatures w14:val="none"/>
        </w:rPr>
      </w:pPr>
      <w:r w:rsidRPr="003D49F2">
        <w:rPr>
          <w:rFonts w:eastAsia="Times New Roman" w:cs="Arial"/>
          <w:b/>
          <w:bCs/>
          <w:kern w:val="0"/>
          <w:lang w:eastAsia="en-GB"/>
          <w14:ligatures w14:val="none"/>
        </w:rPr>
        <w:t>Support Plan</w:t>
      </w:r>
    </w:p>
    <w:p w14:paraId="05F82F52" w14:textId="77777777" w:rsidR="003D49F2" w:rsidRPr="003D49F2" w:rsidRDefault="003D49F2" w:rsidP="00C57D7C">
      <w:pPr>
        <w:numPr>
          <w:ilvl w:val="0"/>
          <w:numId w:val="54"/>
        </w:numPr>
        <w:spacing w:before="0" w:after="240" w:line="276" w:lineRule="auto"/>
        <w:rPr>
          <w:rFonts w:eastAsia="Times New Roman" w:cs="Arial"/>
          <w:b/>
          <w:bCs/>
          <w:kern w:val="0"/>
          <w:lang w:eastAsia="en-GB"/>
          <w14:ligatures w14:val="none"/>
        </w:rPr>
      </w:pPr>
      <w:r w:rsidRPr="003D49F2">
        <w:rPr>
          <w:rFonts w:eastAsia="Arial" w:cs="Arial"/>
          <w:b/>
          <w:bCs/>
          <w:color w:val="000000"/>
          <w:kern w:val="0"/>
          <w:lang w:eastAsia="en-GB"/>
          <w14:ligatures w14:val="none"/>
        </w:rPr>
        <w:t>KPI 4</w:t>
      </w:r>
      <w:r w:rsidRPr="003D49F2">
        <w:rPr>
          <w:rFonts w:eastAsia="Arial" w:cs="Arial"/>
          <w:color w:val="000000"/>
          <w:kern w:val="0"/>
          <w:lang w:eastAsia="en-GB"/>
          <w14:ligatures w14:val="none"/>
        </w:rPr>
        <w:t xml:space="preserve"> - Minimum 90% of women who receive a needs assessment have a bespoke Support Plan developed in agreement with the woman. </w:t>
      </w:r>
    </w:p>
    <w:p w14:paraId="1D3BFE82" w14:textId="77777777" w:rsidR="003D49F2" w:rsidRPr="003D49F2" w:rsidRDefault="003D49F2" w:rsidP="00C57D7C">
      <w:pPr>
        <w:numPr>
          <w:ilvl w:val="0"/>
          <w:numId w:val="54"/>
        </w:numPr>
        <w:spacing w:before="0" w:after="200" w:line="276" w:lineRule="auto"/>
        <w:rPr>
          <w:rFonts w:eastAsia="Times New Roman" w:cs="Arial"/>
          <w:b/>
          <w:bCs/>
          <w:kern w:val="0"/>
          <w:lang w:eastAsia="en-GB"/>
          <w14:ligatures w14:val="none"/>
        </w:rPr>
      </w:pPr>
      <w:r w:rsidRPr="003D49F2">
        <w:rPr>
          <w:rFonts w:eastAsia="Times New Roman" w:cs="Arial"/>
          <w:b/>
          <w:bCs/>
          <w:kern w:val="0"/>
          <w:lang w:eastAsia="en-GB"/>
          <w14:ligatures w14:val="none"/>
        </w:rPr>
        <w:t>KPI 5</w:t>
      </w:r>
      <w:r w:rsidRPr="003D49F2">
        <w:rPr>
          <w:rFonts w:eastAsia="Times New Roman" w:cs="Arial"/>
          <w:kern w:val="0"/>
          <w:lang w:eastAsia="en-GB"/>
          <w14:ligatures w14:val="none"/>
        </w:rPr>
        <w:t xml:space="preserve"> – Minimum 90% of those who have a mental health need identified as part of their full Risk &amp; Needs Assessment, and are not already engaged with mental health services, are referred onto appropriate mental health support services as part of their</w:t>
      </w:r>
      <w:bookmarkStart w:id="30" w:name="_Hlk137826850"/>
      <w:r w:rsidRPr="003D49F2">
        <w:rPr>
          <w:rFonts w:eastAsia="Times New Roman" w:cs="Arial"/>
          <w:kern w:val="0"/>
          <w:lang w:eastAsia="en-GB"/>
          <w14:ligatures w14:val="none"/>
        </w:rPr>
        <w:t xml:space="preserve"> Support Plan</w:t>
      </w:r>
      <w:bookmarkEnd w:id="30"/>
    </w:p>
    <w:p w14:paraId="219F9107" w14:textId="77777777" w:rsidR="003D49F2" w:rsidRPr="003D49F2" w:rsidRDefault="003D49F2" w:rsidP="00C57D7C">
      <w:pPr>
        <w:numPr>
          <w:ilvl w:val="0"/>
          <w:numId w:val="54"/>
        </w:numPr>
        <w:spacing w:before="0" w:after="200" w:line="276" w:lineRule="auto"/>
        <w:rPr>
          <w:rFonts w:eastAsia="Times New Roman" w:cs="Arial"/>
          <w:b/>
          <w:bCs/>
          <w:kern w:val="0"/>
          <w:lang w:eastAsia="en-GB"/>
          <w14:ligatures w14:val="none"/>
        </w:rPr>
      </w:pPr>
      <w:r w:rsidRPr="003D49F2">
        <w:rPr>
          <w:rFonts w:eastAsia="Times New Roman" w:cs="Arial"/>
          <w:b/>
          <w:bCs/>
          <w:kern w:val="0"/>
          <w:lang w:eastAsia="en-GB"/>
          <w14:ligatures w14:val="none"/>
        </w:rPr>
        <w:t>KPI 6</w:t>
      </w:r>
      <w:r w:rsidRPr="003D49F2">
        <w:rPr>
          <w:rFonts w:eastAsia="Times New Roman" w:cs="Arial"/>
          <w:kern w:val="0"/>
          <w:lang w:eastAsia="en-GB"/>
          <w14:ligatures w14:val="none"/>
        </w:rPr>
        <w:t xml:space="preserve"> - Minimum 90% of those who have other additional needs identified which are outside the scope of the service, are referred into other appropriate services to meet these needs such as </w:t>
      </w:r>
      <w:r w:rsidRPr="003D49F2">
        <w:rPr>
          <w:rFonts w:eastAsia="Times New Roman" w:cs="Arial"/>
          <w:kern w:val="0"/>
          <w:lang w:eastAsia="en-GB"/>
          <w14:ligatures w14:val="none"/>
        </w:rPr>
        <w:lastRenderedPageBreak/>
        <w:t>financial help and advice, housing, substance use services, etc (the provider must ensure any and all onwards referrals are recorded, including which agency or service has been referred or where explicit consent for such onward referrals has not been given by the individual)</w:t>
      </w:r>
    </w:p>
    <w:p w14:paraId="018B7E2E" w14:textId="77777777" w:rsidR="003D49F2" w:rsidRPr="003D49F2" w:rsidRDefault="003D49F2" w:rsidP="003D49F2">
      <w:pPr>
        <w:spacing w:before="0" w:after="200" w:line="276" w:lineRule="auto"/>
        <w:ind w:left="426"/>
        <w:rPr>
          <w:rFonts w:eastAsia="Times New Roman" w:cs="Arial"/>
          <w:kern w:val="0"/>
          <w:lang w:eastAsia="en-GB"/>
          <w14:ligatures w14:val="none"/>
        </w:rPr>
      </w:pPr>
      <w:bookmarkStart w:id="31" w:name="_Hlk137827191"/>
      <w:r w:rsidRPr="003D49F2">
        <w:rPr>
          <w:rFonts w:eastAsia="Times New Roman" w:cs="Arial"/>
          <w:kern w:val="0"/>
          <w:lang w:eastAsia="en-GB"/>
          <w14:ligatures w14:val="none"/>
        </w:rPr>
        <w:t>The provider must ensure all onwards referrals are recorded on the CMS, including which agency or service has been referred to, or where explicit consent for such onward referrals has not been given by the victim or survivor.</w:t>
      </w:r>
    </w:p>
    <w:bookmarkEnd w:id="31"/>
    <w:p w14:paraId="5F746CDF" w14:textId="77777777" w:rsidR="003D49F2" w:rsidRPr="003D49F2" w:rsidRDefault="003D49F2" w:rsidP="003D49F2">
      <w:pPr>
        <w:spacing w:before="0" w:after="200" w:line="276" w:lineRule="auto"/>
        <w:ind w:left="792" w:hanging="432"/>
        <w:rPr>
          <w:rFonts w:eastAsia="Times New Roman" w:cs="Arial"/>
          <w:b/>
          <w:bCs/>
          <w:kern w:val="0"/>
          <w:lang w:eastAsia="en-GB"/>
          <w14:ligatures w14:val="none"/>
        </w:rPr>
      </w:pPr>
      <w:r w:rsidRPr="003D49F2">
        <w:rPr>
          <w:rFonts w:eastAsia="Times New Roman" w:cs="Arial"/>
          <w:b/>
          <w:bCs/>
          <w:kern w:val="0"/>
          <w:lang w:eastAsia="en-GB"/>
          <w14:ligatures w14:val="none"/>
        </w:rPr>
        <w:t>Exit Strategy &amp; Planning</w:t>
      </w:r>
    </w:p>
    <w:p w14:paraId="10818FC4" w14:textId="77777777" w:rsidR="003D49F2" w:rsidRPr="003D49F2" w:rsidRDefault="003D49F2" w:rsidP="00C57D7C">
      <w:pPr>
        <w:numPr>
          <w:ilvl w:val="0"/>
          <w:numId w:val="55"/>
        </w:numPr>
        <w:spacing w:before="0" w:after="240" w:line="276" w:lineRule="auto"/>
        <w:rPr>
          <w:rFonts w:eastAsia="Times New Roman" w:cs="Arial"/>
          <w:b/>
          <w:bCs/>
          <w:kern w:val="0"/>
          <w:lang w:eastAsia="en-GB"/>
          <w14:ligatures w14:val="none"/>
        </w:rPr>
      </w:pPr>
      <w:r w:rsidRPr="003D49F2">
        <w:rPr>
          <w:rFonts w:eastAsia="Times New Roman" w:cs="Arial"/>
          <w:b/>
          <w:bCs/>
          <w:kern w:val="0"/>
          <w:lang w:eastAsia="en-GB"/>
          <w14:ligatures w14:val="none"/>
        </w:rPr>
        <w:t>KPI</w:t>
      </w:r>
      <w:r w:rsidRPr="003D49F2">
        <w:rPr>
          <w:rFonts w:eastAsia="Times New Roman" w:cs="Arial"/>
          <w:kern w:val="0"/>
          <w:lang w:eastAsia="en-GB"/>
          <w14:ligatures w14:val="none"/>
        </w:rPr>
        <w:t xml:space="preserve"> </w:t>
      </w:r>
      <w:r w:rsidRPr="003D49F2">
        <w:rPr>
          <w:rFonts w:eastAsia="Times New Roman" w:cs="Arial"/>
          <w:b/>
          <w:bCs/>
          <w:kern w:val="0"/>
          <w:lang w:eastAsia="en-GB"/>
          <w14:ligatures w14:val="none"/>
        </w:rPr>
        <w:t>7</w:t>
      </w:r>
      <w:r w:rsidRPr="003D49F2">
        <w:rPr>
          <w:rFonts w:eastAsia="Times New Roman" w:cs="Arial"/>
          <w:kern w:val="0"/>
          <w:lang w:eastAsia="en-GB"/>
          <w14:ligatures w14:val="none"/>
        </w:rPr>
        <w:t xml:space="preserve"> – Minimum 90% of women</w:t>
      </w:r>
      <w:r w:rsidRPr="003D49F2">
        <w:rPr>
          <w:rFonts w:eastAsia="Times New Roman" w:cs="Arial"/>
          <w:bCs/>
          <w:kern w:val="0"/>
          <w:lang w:eastAsia="en-GB"/>
          <w14:ligatures w14:val="none"/>
        </w:rPr>
        <w:t xml:space="preserve"> </w:t>
      </w:r>
      <w:r w:rsidRPr="003D49F2">
        <w:rPr>
          <w:rFonts w:eastAsia="Times New Roman" w:cs="Arial"/>
          <w:kern w:val="0"/>
          <w:lang w:eastAsia="en-GB"/>
          <w14:ligatures w14:val="none"/>
        </w:rPr>
        <w:t>who have a Support Plan in place, Exit the Service in a Planned way</w:t>
      </w:r>
    </w:p>
    <w:p w14:paraId="55750E98" w14:textId="77777777" w:rsidR="003D49F2" w:rsidRPr="003D49F2" w:rsidRDefault="003D49F2" w:rsidP="00C57D7C">
      <w:pPr>
        <w:numPr>
          <w:ilvl w:val="0"/>
          <w:numId w:val="55"/>
        </w:numPr>
        <w:spacing w:before="0" w:after="200" w:line="276" w:lineRule="auto"/>
        <w:rPr>
          <w:rFonts w:eastAsia="Times New Roman" w:cs="Arial"/>
          <w:b/>
          <w:bCs/>
          <w:kern w:val="0"/>
          <w:lang w:eastAsia="en-GB"/>
          <w14:ligatures w14:val="none"/>
        </w:rPr>
      </w:pPr>
      <w:r w:rsidRPr="003D49F2">
        <w:rPr>
          <w:rFonts w:eastAsia="Times New Roman" w:cs="Arial"/>
          <w:b/>
          <w:bCs/>
          <w:kern w:val="0"/>
          <w:lang w:eastAsia="en-GB"/>
          <w14:ligatures w14:val="none"/>
        </w:rPr>
        <w:t>KPI 8</w:t>
      </w:r>
      <w:r w:rsidRPr="003D49F2">
        <w:rPr>
          <w:rFonts w:eastAsia="Times New Roman" w:cs="Arial"/>
          <w:kern w:val="0"/>
          <w:lang w:eastAsia="en-GB"/>
          <w14:ligatures w14:val="none"/>
        </w:rPr>
        <w:t xml:space="preserve"> – Minimum 90% of women</w:t>
      </w:r>
      <w:r w:rsidRPr="003D49F2">
        <w:rPr>
          <w:rFonts w:eastAsia="Times New Roman" w:cs="Arial"/>
          <w:bCs/>
          <w:kern w:val="0"/>
          <w:lang w:eastAsia="en-GB"/>
          <w14:ligatures w14:val="none"/>
        </w:rPr>
        <w:t xml:space="preserve">, </w:t>
      </w:r>
      <w:r w:rsidRPr="003D49F2">
        <w:rPr>
          <w:rFonts w:eastAsia="Times New Roman" w:cs="Arial"/>
          <w:kern w:val="0"/>
          <w:lang w:eastAsia="en-GB"/>
          <w14:ligatures w14:val="none"/>
        </w:rPr>
        <w:t>who have a Support Plan in place and Exit the Service in a Planned way complete an Exit Strategy</w:t>
      </w:r>
    </w:p>
    <w:p w14:paraId="06BDC67F" w14:textId="77777777" w:rsidR="003D49F2" w:rsidRPr="003D49F2" w:rsidRDefault="003D49F2" w:rsidP="003D49F2">
      <w:pPr>
        <w:spacing w:before="0" w:after="200" w:line="276" w:lineRule="auto"/>
        <w:ind w:left="360"/>
        <w:rPr>
          <w:rFonts w:eastAsia="Times New Roman" w:cs="Arial"/>
          <w:b/>
          <w:bCs/>
          <w:kern w:val="0"/>
          <w:lang w:eastAsia="en-GB"/>
          <w14:ligatures w14:val="none"/>
        </w:rPr>
      </w:pPr>
      <w:r w:rsidRPr="003D49F2">
        <w:rPr>
          <w:rFonts w:eastAsia="Times New Roman" w:cs="Arial"/>
          <w:b/>
          <w:bCs/>
          <w:kern w:val="0"/>
          <w:lang w:eastAsia="en-GB"/>
          <w14:ligatures w14:val="none"/>
        </w:rPr>
        <w:t xml:space="preserve">Service Satisfaction &amp; Feedback  </w:t>
      </w:r>
    </w:p>
    <w:p w14:paraId="3974B17B" w14:textId="77777777" w:rsidR="003D49F2" w:rsidRPr="003D49F2" w:rsidRDefault="003D49F2" w:rsidP="00C57D7C">
      <w:pPr>
        <w:numPr>
          <w:ilvl w:val="0"/>
          <w:numId w:val="56"/>
        </w:numPr>
        <w:spacing w:before="0" w:after="240" w:line="276" w:lineRule="auto"/>
        <w:rPr>
          <w:rFonts w:eastAsia="Times New Roman" w:cs="Arial"/>
          <w:b/>
          <w:bCs/>
          <w:kern w:val="0"/>
          <w:lang w:eastAsia="en-GB"/>
          <w14:ligatures w14:val="none"/>
        </w:rPr>
      </w:pPr>
      <w:r w:rsidRPr="003D49F2">
        <w:rPr>
          <w:rFonts w:eastAsia="Times New Roman" w:cs="Arial"/>
          <w:b/>
          <w:bCs/>
          <w:kern w:val="0"/>
          <w:lang w:eastAsia="en-GB"/>
          <w14:ligatures w14:val="none"/>
        </w:rPr>
        <w:t>KPI 9</w:t>
      </w:r>
      <w:r w:rsidRPr="003D49F2">
        <w:rPr>
          <w:rFonts w:eastAsia="Times New Roman" w:cs="Arial"/>
          <w:kern w:val="0"/>
          <w:lang w:eastAsia="en-GB"/>
          <w14:ligatures w14:val="none"/>
        </w:rPr>
        <w:t xml:space="preserve"> – 100% of women</w:t>
      </w:r>
      <w:r w:rsidRPr="003D49F2">
        <w:rPr>
          <w:rFonts w:eastAsia="Times New Roman" w:cs="Arial"/>
          <w:bCs/>
          <w:kern w:val="0"/>
          <w:lang w:eastAsia="en-GB"/>
          <w14:ligatures w14:val="none"/>
        </w:rPr>
        <w:t xml:space="preserve">, </w:t>
      </w:r>
      <w:r w:rsidRPr="003D49F2">
        <w:rPr>
          <w:rFonts w:eastAsia="Times New Roman" w:cs="Arial"/>
          <w:kern w:val="0"/>
          <w:lang w:eastAsia="en-GB"/>
          <w14:ligatures w14:val="none"/>
        </w:rPr>
        <w:t xml:space="preserve">who Exit the Service in a Planned way </w:t>
      </w:r>
      <w:proofErr w:type="gramStart"/>
      <w:r w:rsidRPr="003D49F2">
        <w:rPr>
          <w:rFonts w:eastAsia="Times New Roman" w:cs="Arial"/>
          <w:kern w:val="0"/>
          <w:lang w:eastAsia="en-GB"/>
          <w14:ligatures w14:val="none"/>
        </w:rPr>
        <w:t>are</w:t>
      </w:r>
      <w:proofErr w:type="gramEnd"/>
      <w:r w:rsidRPr="003D49F2">
        <w:rPr>
          <w:rFonts w:eastAsia="Times New Roman" w:cs="Arial"/>
          <w:kern w:val="0"/>
          <w:lang w:eastAsia="en-GB"/>
          <w14:ligatures w14:val="none"/>
        </w:rPr>
        <w:t xml:space="preserve"> asked to provide Feedback</w:t>
      </w:r>
    </w:p>
    <w:p w14:paraId="4CC99021" w14:textId="77777777" w:rsidR="003D49F2" w:rsidRPr="003D49F2" w:rsidRDefault="003D49F2" w:rsidP="00C57D7C">
      <w:pPr>
        <w:numPr>
          <w:ilvl w:val="0"/>
          <w:numId w:val="56"/>
        </w:numPr>
        <w:spacing w:before="0" w:after="240" w:line="276" w:lineRule="auto"/>
        <w:rPr>
          <w:rFonts w:eastAsia="Times New Roman" w:cs="Arial"/>
          <w:b/>
          <w:bCs/>
          <w:kern w:val="0"/>
          <w:lang w:eastAsia="en-GB"/>
          <w14:ligatures w14:val="none"/>
        </w:rPr>
      </w:pPr>
      <w:r w:rsidRPr="003D49F2">
        <w:rPr>
          <w:rFonts w:eastAsia="Times New Roman" w:cs="Arial"/>
          <w:b/>
          <w:bCs/>
          <w:kern w:val="0"/>
          <w:lang w:eastAsia="en-GB"/>
          <w14:ligatures w14:val="none"/>
        </w:rPr>
        <w:t>KPI 10</w:t>
      </w:r>
      <w:r w:rsidRPr="003D49F2">
        <w:rPr>
          <w:rFonts w:eastAsia="Times New Roman" w:cs="Arial"/>
          <w:kern w:val="0"/>
          <w:lang w:eastAsia="en-GB"/>
          <w14:ligatures w14:val="none"/>
        </w:rPr>
        <w:t xml:space="preserve"> – Minimum 90% of women</w:t>
      </w:r>
      <w:r w:rsidRPr="003D49F2">
        <w:rPr>
          <w:rFonts w:eastAsia="Times New Roman" w:cs="Arial"/>
          <w:bCs/>
          <w:kern w:val="0"/>
          <w:lang w:eastAsia="en-GB"/>
          <w14:ligatures w14:val="none"/>
        </w:rPr>
        <w:t xml:space="preserve">, </w:t>
      </w:r>
      <w:bookmarkStart w:id="32" w:name="_Hlk137827890"/>
      <w:r w:rsidRPr="003D49F2">
        <w:rPr>
          <w:rFonts w:eastAsia="Times New Roman" w:cs="Arial"/>
          <w:kern w:val="0"/>
          <w:lang w:eastAsia="en-GB"/>
          <w14:ligatures w14:val="none"/>
        </w:rPr>
        <w:t>providing</w:t>
      </w:r>
      <w:bookmarkEnd w:id="32"/>
      <w:r w:rsidRPr="003D49F2">
        <w:rPr>
          <w:rFonts w:eastAsia="Times New Roman" w:cs="Arial"/>
          <w:kern w:val="0"/>
          <w:lang w:eastAsia="en-GB"/>
          <w14:ligatures w14:val="none"/>
        </w:rPr>
        <w:t xml:space="preserve"> Feedback, </w:t>
      </w:r>
      <w:bookmarkStart w:id="33" w:name="_Hlk137652855"/>
      <w:r w:rsidRPr="003D49F2">
        <w:rPr>
          <w:rFonts w:eastAsia="Times New Roman" w:cs="Arial"/>
          <w:kern w:val="0"/>
          <w:lang w:eastAsia="en-GB"/>
          <w14:ligatures w14:val="none"/>
        </w:rPr>
        <w:t>would recommend the service to others</w:t>
      </w:r>
    </w:p>
    <w:p w14:paraId="6BAB10A9" w14:textId="77777777" w:rsidR="003D49F2" w:rsidRPr="003D49F2" w:rsidRDefault="003D49F2" w:rsidP="00C57D7C">
      <w:pPr>
        <w:numPr>
          <w:ilvl w:val="0"/>
          <w:numId w:val="56"/>
        </w:numPr>
        <w:spacing w:before="0" w:after="240" w:line="276" w:lineRule="auto"/>
        <w:rPr>
          <w:rFonts w:eastAsia="Times New Roman" w:cs="Arial"/>
          <w:b/>
          <w:bCs/>
          <w:kern w:val="0"/>
          <w:lang w:eastAsia="en-GB"/>
          <w14:ligatures w14:val="none"/>
        </w:rPr>
      </w:pPr>
      <w:r w:rsidRPr="003D49F2">
        <w:rPr>
          <w:rFonts w:eastAsia="Times New Roman" w:cs="Arial"/>
          <w:b/>
          <w:bCs/>
          <w:kern w:val="0"/>
          <w:lang w:eastAsia="en-GB"/>
          <w14:ligatures w14:val="none"/>
        </w:rPr>
        <w:t>KPI 11</w:t>
      </w:r>
      <w:r w:rsidRPr="003D49F2">
        <w:rPr>
          <w:rFonts w:eastAsia="Times New Roman" w:cs="Arial"/>
          <w:kern w:val="0"/>
          <w:lang w:eastAsia="en-GB"/>
          <w14:ligatures w14:val="none"/>
        </w:rPr>
        <w:t xml:space="preserve"> – Minimum 90% of women</w:t>
      </w:r>
      <w:r w:rsidRPr="003D49F2">
        <w:rPr>
          <w:rFonts w:eastAsia="Times New Roman" w:cs="Arial"/>
          <w:bCs/>
          <w:kern w:val="0"/>
          <w:lang w:eastAsia="en-GB"/>
          <w14:ligatures w14:val="none"/>
        </w:rPr>
        <w:t xml:space="preserve">, </w:t>
      </w:r>
      <w:r w:rsidRPr="003D49F2">
        <w:rPr>
          <w:rFonts w:eastAsia="Times New Roman" w:cs="Arial"/>
          <w:kern w:val="0"/>
          <w:lang w:eastAsia="en-GB"/>
          <w14:ligatures w14:val="none"/>
        </w:rPr>
        <w:t>providing Feedback, view the Service in a positive light</w:t>
      </w:r>
    </w:p>
    <w:p w14:paraId="1CAB18F6" w14:textId="77777777" w:rsidR="003D49F2" w:rsidRPr="003D49F2" w:rsidRDefault="003D49F2" w:rsidP="00C57D7C">
      <w:pPr>
        <w:numPr>
          <w:ilvl w:val="0"/>
          <w:numId w:val="56"/>
        </w:numPr>
        <w:spacing w:before="0" w:after="240" w:line="276" w:lineRule="auto"/>
        <w:rPr>
          <w:rFonts w:eastAsia="Times New Roman" w:cs="Arial"/>
          <w:b/>
          <w:bCs/>
          <w:kern w:val="0"/>
          <w:lang w:eastAsia="en-GB"/>
          <w14:ligatures w14:val="none"/>
        </w:rPr>
      </w:pPr>
      <w:r w:rsidRPr="003D49F2">
        <w:rPr>
          <w:rFonts w:eastAsia="Times New Roman" w:cs="Arial"/>
          <w:b/>
          <w:bCs/>
          <w:kern w:val="0"/>
          <w:lang w:eastAsia="en-GB"/>
          <w14:ligatures w14:val="none"/>
        </w:rPr>
        <w:t>KPI 12</w:t>
      </w:r>
      <w:r w:rsidRPr="003D49F2">
        <w:rPr>
          <w:rFonts w:eastAsia="Times New Roman" w:cs="Arial"/>
          <w:kern w:val="0"/>
          <w:lang w:eastAsia="en-GB"/>
          <w14:ligatures w14:val="none"/>
        </w:rPr>
        <w:t xml:space="preserve"> – Minimum 90% of women</w:t>
      </w:r>
      <w:r w:rsidRPr="003D49F2">
        <w:rPr>
          <w:rFonts w:eastAsia="Times New Roman" w:cs="Arial"/>
          <w:bCs/>
          <w:kern w:val="0"/>
          <w:lang w:eastAsia="en-GB"/>
          <w14:ligatures w14:val="none"/>
        </w:rPr>
        <w:t xml:space="preserve">, </w:t>
      </w:r>
      <w:r w:rsidRPr="003D49F2">
        <w:rPr>
          <w:rFonts w:eastAsia="Times New Roman" w:cs="Arial"/>
          <w:kern w:val="0"/>
          <w:lang w:eastAsia="en-GB"/>
          <w14:ligatures w14:val="none"/>
        </w:rPr>
        <w:t>providing Feedback, feel that their support goals have been met</w:t>
      </w:r>
      <w:bookmarkEnd w:id="33"/>
    </w:p>
    <w:p w14:paraId="6AE948B1" w14:textId="77777777" w:rsidR="003D49F2" w:rsidRPr="003D49F2" w:rsidRDefault="003D49F2" w:rsidP="003D49F2">
      <w:pPr>
        <w:spacing w:before="0" w:after="200" w:line="276" w:lineRule="auto"/>
        <w:ind w:left="792" w:hanging="432"/>
        <w:rPr>
          <w:rFonts w:eastAsia="Times New Roman" w:cs="Arial"/>
          <w:b/>
          <w:bCs/>
          <w:kern w:val="0"/>
          <w:lang w:eastAsia="en-GB"/>
          <w14:ligatures w14:val="none"/>
        </w:rPr>
      </w:pPr>
      <w:r w:rsidRPr="003D49F2">
        <w:rPr>
          <w:rFonts w:eastAsia="Times New Roman" w:cs="Arial"/>
          <w:b/>
          <w:bCs/>
          <w:kern w:val="0"/>
          <w:lang w:eastAsia="en-GB"/>
          <w14:ligatures w14:val="none"/>
        </w:rPr>
        <w:t>Outcomes</w:t>
      </w:r>
    </w:p>
    <w:p w14:paraId="12969867" w14:textId="77777777" w:rsidR="003D49F2" w:rsidRPr="003D49F2" w:rsidRDefault="003D49F2" w:rsidP="00C57D7C">
      <w:pPr>
        <w:numPr>
          <w:ilvl w:val="0"/>
          <w:numId w:val="57"/>
        </w:numPr>
        <w:spacing w:before="0" w:after="240" w:line="276" w:lineRule="auto"/>
        <w:rPr>
          <w:rFonts w:eastAsia="Times New Roman" w:cs="Arial"/>
          <w:b/>
          <w:bCs/>
          <w:kern w:val="0"/>
          <w:lang w:eastAsia="en-GB"/>
          <w14:ligatures w14:val="none"/>
        </w:rPr>
      </w:pPr>
      <w:r w:rsidRPr="003D49F2">
        <w:rPr>
          <w:rFonts w:eastAsia="Arial" w:cs="Arial"/>
          <w:b/>
          <w:bCs/>
          <w:color w:val="000000"/>
          <w:kern w:val="0"/>
          <w:lang w:eastAsia="en-GB"/>
          <w14:ligatures w14:val="none"/>
        </w:rPr>
        <w:t>KPI 13</w:t>
      </w:r>
      <w:r w:rsidRPr="003D49F2">
        <w:rPr>
          <w:rFonts w:eastAsia="Arial" w:cs="Arial"/>
          <w:color w:val="000000"/>
          <w:kern w:val="0"/>
          <w:lang w:eastAsia="en-GB"/>
          <w14:ligatures w14:val="none"/>
        </w:rPr>
        <w:t xml:space="preserve"> – </w:t>
      </w:r>
      <w:r w:rsidRPr="003D49F2">
        <w:rPr>
          <w:rFonts w:eastAsia="Times New Roman" w:cs="Arial"/>
          <w:kern w:val="0"/>
          <w:lang w:eastAsia="en-GB"/>
          <w14:ligatures w14:val="none"/>
        </w:rPr>
        <w:t>In order to measure service impact, 90% of women who have a Support Plan will have improved scores in at least four of categories of needs (demonstrated by an increase of the baseline score) on exit from service</w:t>
      </w:r>
      <w:r w:rsidRPr="003D49F2">
        <w:rPr>
          <w:rFonts w:eastAsia="Times New Roman" w:cs="Arial"/>
          <w:b/>
          <w:bCs/>
          <w:kern w:val="0"/>
          <w:lang w:eastAsia="en-GB"/>
          <w14:ligatures w14:val="none"/>
        </w:rPr>
        <w:t>.</w:t>
      </w:r>
    </w:p>
    <w:p w14:paraId="366162B0" w14:textId="77777777" w:rsidR="003D49F2" w:rsidRPr="003D49F2" w:rsidRDefault="003D49F2" w:rsidP="003D49F2">
      <w:pPr>
        <w:autoSpaceDE w:val="0"/>
        <w:autoSpaceDN w:val="0"/>
        <w:adjustRightInd w:val="0"/>
        <w:spacing w:after="120"/>
        <w:ind w:left="576"/>
        <w:jc w:val="both"/>
        <w:rPr>
          <w:rFonts w:eastAsia="Arial" w:cs="Arial"/>
          <w:color w:val="000000"/>
          <w:kern w:val="0"/>
          <w:lang w:eastAsia="en-GB"/>
          <w14:ligatures w14:val="none"/>
        </w:rPr>
      </w:pPr>
      <w:r w:rsidRPr="003D49F2">
        <w:rPr>
          <w:rFonts w:eastAsia="Arial" w:cs="Arial"/>
          <w:color w:val="000000"/>
          <w:kern w:val="0"/>
          <w:lang w:eastAsia="en-GB"/>
          <w14:ligatures w14:val="none"/>
        </w:rPr>
        <w:t>NB the number of women who accept the offer of support, then disengage or become non-contactable will also require collection and reporting and monitoring in terms of conversion rates for service improvement purposes and to gauge the success of KPIs.</w:t>
      </w:r>
    </w:p>
    <w:p w14:paraId="5113C76A" w14:textId="6FABA5C9" w:rsidR="003D49F2" w:rsidRPr="003D49F2" w:rsidRDefault="003D49F2" w:rsidP="003D49F2">
      <w:pPr>
        <w:spacing w:before="0" w:after="240"/>
        <w:ind w:left="576"/>
        <w:rPr>
          <w:rFonts w:eastAsia="Times New Roman" w:cs="Arial"/>
          <w:b/>
          <w:kern w:val="0"/>
          <w:lang w:eastAsia="en-GB"/>
          <w14:ligatures w14:val="none"/>
        </w:rPr>
      </w:pPr>
      <w:r w:rsidRPr="003D49F2">
        <w:rPr>
          <w:rFonts w:eastAsia="Times New Roman" w:cs="Arial"/>
          <w:b/>
          <w:kern w:val="0"/>
          <w:lang w:eastAsia="en-GB"/>
          <w14:ligatures w14:val="none"/>
        </w:rPr>
        <w:t xml:space="preserve">The </w:t>
      </w:r>
      <w:r w:rsidR="002C0754">
        <w:rPr>
          <w:rFonts w:eastAsia="Times New Roman" w:cs="Arial"/>
          <w:b/>
          <w:kern w:val="0"/>
          <w:lang w:eastAsia="en-GB"/>
          <w14:ligatures w14:val="none"/>
        </w:rPr>
        <w:t>YNYCA</w:t>
      </w:r>
      <w:r w:rsidRPr="003D49F2">
        <w:rPr>
          <w:rFonts w:eastAsia="Times New Roman" w:cs="Arial"/>
          <w:b/>
          <w:kern w:val="0"/>
          <w:lang w:eastAsia="en-GB"/>
          <w14:ligatures w14:val="none"/>
        </w:rPr>
        <w:t xml:space="preserve"> recognise that there will be many women</w:t>
      </w:r>
      <w:r w:rsidRPr="003D49F2">
        <w:rPr>
          <w:rFonts w:eastAsia="Times New Roman" w:cs="Arial"/>
          <w:bCs/>
          <w:kern w:val="0"/>
          <w:lang w:eastAsia="en-GB"/>
          <w14:ligatures w14:val="none"/>
        </w:rPr>
        <w:t xml:space="preserve"> </w:t>
      </w:r>
      <w:r w:rsidRPr="003D49F2">
        <w:rPr>
          <w:rFonts w:eastAsia="Times New Roman" w:cs="Arial"/>
          <w:b/>
          <w:kern w:val="0"/>
          <w:lang w:eastAsia="en-GB"/>
          <w14:ligatures w14:val="none"/>
        </w:rPr>
        <w:t xml:space="preserve">who would benefit from the service who do not wish for their personal information to be shared with the Commissioners or other agencies; there will be an option for anonymised performance reporting at an individual level on an exception only case by case basis. </w:t>
      </w:r>
    </w:p>
    <w:p w14:paraId="7ED6004D" w14:textId="77777777" w:rsidR="003D49F2" w:rsidRPr="00A66DA6" w:rsidRDefault="003D49F2" w:rsidP="00E53ACC">
      <w:pPr>
        <w:pStyle w:val="Heading2"/>
        <w:rPr>
          <w:u w:val="single"/>
        </w:rPr>
      </w:pPr>
      <w:r w:rsidRPr="00AD43D4">
        <w:lastRenderedPageBreak/>
        <w:t xml:space="preserve">Complaints </w:t>
      </w:r>
      <w:r w:rsidRPr="003D49F2">
        <w:t>Process</w:t>
      </w:r>
    </w:p>
    <w:p w14:paraId="72D67F28" w14:textId="565B9965" w:rsidR="003D49F2" w:rsidRPr="003D49F2" w:rsidRDefault="003D49F2" w:rsidP="00C57D7C">
      <w:pPr>
        <w:pStyle w:val="Heading3"/>
        <w:numPr>
          <w:ilvl w:val="2"/>
          <w:numId w:val="81"/>
        </w:numPr>
        <w:rPr>
          <w:lang w:eastAsia="en-GB"/>
        </w:rPr>
      </w:pPr>
      <w:r w:rsidRPr="00A66DA6">
        <w:rPr>
          <w:color w:val="auto"/>
          <w:lang w:eastAsia="en-GB"/>
        </w:rPr>
        <w:t xml:space="preserve">All complaints with regards to delivery of the service and/or the provider’s staff will be dealt with via </w:t>
      </w:r>
      <w:r w:rsidRPr="003D49F2">
        <w:rPr>
          <w:lang w:eastAsia="en-GB"/>
        </w:rPr>
        <w:t xml:space="preserve">the provider’s documented complaints process which will be provided to the </w:t>
      </w:r>
      <w:r w:rsidR="002C0754">
        <w:rPr>
          <w:lang w:eastAsia="en-GB"/>
        </w:rPr>
        <w:t>YNYCA</w:t>
      </w:r>
      <w:r w:rsidRPr="003D49F2">
        <w:rPr>
          <w:lang w:eastAsia="en-GB"/>
        </w:rPr>
        <w:t xml:space="preserve"> prior to Contract award.</w:t>
      </w:r>
    </w:p>
    <w:p w14:paraId="29D92508" w14:textId="77777777" w:rsidR="003D49F2" w:rsidRPr="003D49F2" w:rsidRDefault="003D49F2" w:rsidP="00AD43D4">
      <w:pPr>
        <w:pStyle w:val="Heading3"/>
        <w:rPr>
          <w:lang w:eastAsia="en-GB"/>
        </w:rPr>
      </w:pPr>
      <w:r w:rsidRPr="003D49F2">
        <w:rPr>
          <w:lang w:eastAsia="en-GB"/>
        </w:rPr>
        <w:t>All complaints must also be referred to the YNYCA Contract Manager at the earliest opportunity, so that information is logged which will be discussed at performance management meeting and can be followed up as appropriate; specifically, the number of formal complaints received, the nature of such complaints and number of formal complaints upheld.</w:t>
      </w:r>
    </w:p>
    <w:p w14:paraId="0A6E755B" w14:textId="77777777" w:rsidR="003D49F2" w:rsidRPr="003D49F2" w:rsidRDefault="003D49F2" w:rsidP="00AD43D4">
      <w:pPr>
        <w:pStyle w:val="Heading3"/>
        <w:rPr>
          <w:lang w:eastAsia="en-GB"/>
        </w:rPr>
      </w:pPr>
      <w:r w:rsidRPr="003D49F2">
        <w:rPr>
          <w:lang w:eastAsia="en-GB"/>
        </w:rPr>
        <w:t>Where the complainant is still not satisfied with the resolution offered and/or where no resolution can be agreed internally, the provider must inform the complainant of the option to escalate their complaint to the YNYCA.</w:t>
      </w:r>
    </w:p>
    <w:p w14:paraId="4A98E88B" w14:textId="77777777" w:rsidR="003D49F2" w:rsidRPr="003D49F2" w:rsidRDefault="003D49F2" w:rsidP="00E53ACC">
      <w:pPr>
        <w:pStyle w:val="Heading2"/>
      </w:pPr>
      <w:r w:rsidRPr="003D49F2">
        <w:t>Serious Adverse Incident Reporting</w:t>
      </w:r>
      <w:bookmarkStart w:id="34" w:name="_Hlk138266036"/>
    </w:p>
    <w:p w14:paraId="671DF715" w14:textId="77777777" w:rsidR="003D49F2" w:rsidRPr="00AD43D4" w:rsidRDefault="003D49F2" w:rsidP="00C57D7C">
      <w:pPr>
        <w:pStyle w:val="Heading3"/>
        <w:numPr>
          <w:ilvl w:val="2"/>
          <w:numId w:val="82"/>
        </w:numPr>
        <w:rPr>
          <w:b/>
          <w:bCs/>
          <w:lang w:val="en-US" w:eastAsia="en-GB"/>
        </w:rPr>
      </w:pPr>
      <w:r w:rsidRPr="00AD43D4">
        <w:rPr>
          <w:lang w:val="en-US" w:eastAsia="en-GB"/>
        </w:rPr>
        <w:t>A Serious Adverse Incident includes:</w:t>
      </w:r>
    </w:p>
    <w:p w14:paraId="039CD1A0"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Any death of a Service User, including suicide</w:t>
      </w:r>
    </w:p>
    <w:p w14:paraId="3222974E"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Attempted suicide of a Service User</w:t>
      </w:r>
    </w:p>
    <w:p w14:paraId="74135D4E"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Incidents resulting in hospitalisation or police involvement (including incidents related to violence, drug or alcohol misuse)</w:t>
      </w:r>
    </w:p>
    <w:p w14:paraId="25EF6E9A"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Serious anti-social behaviour (criminal damage, discrimination, threats to others)</w:t>
      </w:r>
    </w:p>
    <w:p w14:paraId="6D72C7C2"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Any report of abuse or neglect (including physical, emotional, sexual, psychological or financial abuse) being carried out by a Service User</w:t>
      </w:r>
    </w:p>
    <w:p w14:paraId="6766580F"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Near misses involving a Service User</w:t>
      </w:r>
    </w:p>
    <w:p w14:paraId="5C4D1795" w14:textId="10432032" w:rsidR="003D49F2" w:rsidRPr="003D49F2" w:rsidRDefault="003D49F2" w:rsidP="00AD43D4">
      <w:pPr>
        <w:pStyle w:val="Heading3"/>
        <w:rPr>
          <w:lang w:val="en-US" w:eastAsia="en-GB"/>
        </w:rPr>
      </w:pPr>
      <w:r w:rsidRPr="003D49F2">
        <w:rPr>
          <w:lang w:val="en-US" w:eastAsia="en-GB"/>
        </w:rPr>
        <w:lastRenderedPageBreak/>
        <w:t xml:space="preserve">All Serious Adverse Incidents must be reported to the YNYCA Contract Manager within 24 hours (1 working day) of the Provider being notified of the incident and in a format as directed by the </w:t>
      </w:r>
      <w:r w:rsidR="00BD63A0">
        <w:rPr>
          <w:lang w:val="en-US" w:eastAsia="en-GB"/>
        </w:rPr>
        <w:t>YNYCA</w:t>
      </w:r>
      <w:r w:rsidRPr="003D49F2">
        <w:rPr>
          <w:lang w:val="en-US" w:eastAsia="en-GB"/>
        </w:rPr>
        <w:t>.</w:t>
      </w:r>
    </w:p>
    <w:p w14:paraId="148E8AB2" w14:textId="77777777" w:rsidR="003D49F2" w:rsidRPr="003D49F2" w:rsidRDefault="003D49F2" w:rsidP="00AD43D4">
      <w:pPr>
        <w:pStyle w:val="Heading3"/>
        <w:rPr>
          <w:lang w:val="en-US" w:eastAsia="en-GB"/>
        </w:rPr>
      </w:pPr>
      <w:r w:rsidRPr="003D49F2">
        <w:rPr>
          <w:lang w:val="en-US" w:eastAsia="en-GB"/>
        </w:rPr>
        <w:t>In the event of an individual’s death as a result of domestic abuse, the provider must participate in a Domestic Abuse Related Death Review as required by the relevant Community Safety Partnership.</w:t>
      </w:r>
    </w:p>
    <w:p w14:paraId="3B191B36" w14:textId="7CB2D14C" w:rsidR="00AD43D4" w:rsidRPr="00AD43D4" w:rsidRDefault="003D49F2" w:rsidP="00AD43D4">
      <w:pPr>
        <w:pStyle w:val="Heading3"/>
        <w:rPr>
          <w:lang w:val="en-US" w:eastAsia="en-GB"/>
        </w:rPr>
      </w:pPr>
      <w:r w:rsidRPr="003D49F2">
        <w:rPr>
          <w:lang w:val="en-US" w:eastAsia="en-GB"/>
        </w:rPr>
        <w:t>In the event of an individual’s death as a result of illicit drug use and/or alcohol, the YNYCA Contract Manager will notify the relevant local Authority Drug &amp; Alcohol Related Deaths Coordinator.  The Provider will be expected to contribute to any case reviews as required by the relevant Drug &amp; alcohol related deaths review process.</w:t>
      </w:r>
    </w:p>
    <w:p w14:paraId="2638B314" w14:textId="77777777" w:rsidR="003D49F2" w:rsidRPr="003D49F2" w:rsidRDefault="003D49F2" w:rsidP="00E53ACC">
      <w:pPr>
        <w:pStyle w:val="Heading2"/>
      </w:pPr>
      <w:r w:rsidRPr="003D49F2">
        <w:t>Business Continuity</w:t>
      </w:r>
    </w:p>
    <w:p w14:paraId="683ADD1B" w14:textId="77777777" w:rsidR="003D49F2" w:rsidRPr="00AD43D4" w:rsidRDefault="003D49F2" w:rsidP="00C57D7C">
      <w:pPr>
        <w:pStyle w:val="Heading3"/>
        <w:numPr>
          <w:ilvl w:val="2"/>
          <w:numId w:val="83"/>
        </w:numPr>
        <w:rPr>
          <w:lang w:val="en-US" w:eastAsia="en-GB"/>
        </w:rPr>
      </w:pPr>
      <w:r w:rsidRPr="00AD43D4">
        <w:rPr>
          <w:lang w:val="en-US" w:eastAsia="en-GB"/>
        </w:rPr>
        <w:t>As Category One Responders under the Civil Contingencies Act 2004, police forces have a legal duty to have effective business continuity plans and arrangements in place to ensure they can maintain essential services and critical functions following a disruptive event.</w:t>
      </w:r>
    </w:p>
    <w:p w14:paraId="354142A8" w14:textId="1847CE6D" w:rsidR="003D49F2" w:rsidRPr="003D49F2" w:rsidRDefault="003D49F2" w:rsidP="00AD43D4">
      <w:pPr>
        <w:pStyle w:val="Heading3"/>
        <w:rPr>
          <w:lang w:val="en-US" w:eastAsia="en-GB"/>
        </w:rPr>
      </w:pPr>
      <w:r w:rsidRPr="003D49F2">
        <w:rPr>
          <w:lang w:val="en-US" w:eastAsia="en-GB"/>
        </w:rPr>
        <w:t xml:space="preserve">As a business-critical supplier, the provider therefore must provide assurances that it would be able to continue to deliver the service in the event of experiencing disruption themselves. In addition, the </w:t>
      </w:r>
      <w:r w:rsidR="002C0754">
        <w:rPr>
          <w:lang w:val="en-US" w:eastAsia="en-GB"/>
        </w:rPr>
        <w:t>YNYCA</w:t>
      </w:r>
      <w:r w:rsidRPr="003D49F2">
        <w:rPr>
          <w:lang w:val="en-US" w:eastAsia="en-GB"/>
        </w:rPr>
        <w:t xml:space="preserve"> require</w:t>
      </w:r>
      <w:r w:rsidR="002C0754">
        <w:rPr>
          <w:lang w:val="en-US" w:eastAsia="en-GB"/>
        </w:rPr>
        <w:t>s</w:t>
      </w:r>
      <w:r w:rsidRPr="003D49F2">
        <w:rPr>
          <w:lang w:val="en-US" w:eastAsia="en-GB"/>
        </w:rPr>
        <w:t xml:space="preserve"> the provider to have the capability to respond to and be flexible to provide enhanced service during times of emergency or disruption and seek the </w:t>
      </w:r>
      <w:r w:rsidR="002C0754">
        <w:rPr>
          <w:lang w:val="en-US" w:eastAsia="en-GB"/>
        </w:rPr>
        <w:t>YNYCA’s</w:t>
      </w:r>
      <w:r w:rsidRPr="003D49F2">
        <w:rPr>
          <w:lang w:val="en-US" w:eastAsia="en-GB"/>
        </w:rPr>
        <w:t xml:space="preserve"> agreement on contingency and response plans. </w:t>
      </w:r>
    </w:p>
    <w:bookmarkEnd w:id="34"/>
    <w:p w14:paraId="23A6E573" w14:textId="77777777" w:rsidR="003D49F2" w:rsidRPr="003D49F2" w:rsidRDefault="003D49F2" w:rsidP="00E53ACC">
      <w:pPr>
        <w:pStyle w:val="Heading2"/>
        <w:rPr>
          <w:rFonts w:cs="Calibri"/>
        </w:rPr>
      </w:pPr>
      <w:r w:rsidRPr="003D49F2">
        <w:t>Safeguarding Vulnerable Adults and Children</w:t>
      </w:r>
    </w:p>
    <w:p w14:paraId="54BD2C04" w14:textId="77777777" w:rsidR="003D49F2" w:rsidRPr="003D49F2" w:rsidRDefault="003D49F2" w:rsidP="00C57D7C">
      <w:pPr>
        <w:pStyle w:val="Heading3"/>
        <w:numPr>
          <w:ilvl w:val="2"/>
          <w:numId w:val="84"/>
        </w:numPr>
        <w:rPr>
          <w:lang w:eastAsia="en-GB"/>
        </w:rPr>
      </w:pPr>
      <w:r w:rsidRPr="003D49F2">
        <w:rPr>
          <w:lang w:eastAsia="en-GB"/>
        </w:rPr>
        <w:t xml:space="preserve">The service will ensure they follow safeguarding procedures to ensure all adults at risk, and all children and young people are safe by providing effective support for women – particularly where a young person aged 0 to 18yrs is involved, or an adult at risk has been identified and specifically in reference to safeguarding.  </w:t>
      </w:r>
    </w:p>
    <w:p w14:paraId="784E7AFA" w14:textId="77777777" w:rsidR="003D49F2" w:rsidRPr="003D49F2" w:rsidRDefault="003D49F2" w:rsidP="00AD43D4">
      <w:pPr>
        <w:pStyle w:val="Heading3"/>
        <w:rPr>
          <w:lang w:eastAsia="en-GB"/>
        </w:rPr>
      </w:pPr>
      <w:r w:rsidRPr="003D49F2">
        <w:rPr>
          <w:lang w:eastAsia="en-GB"/>
        </w:rPr>
        <w:t>The provider must keep up to date in relation to local safeguarding policies particularly when dealing directly with adults at risk and/or children and young people in relation to safeguarding. The provider must ensure that they receive regular updates from North Yorkshire and City of York Safeguarding Partnerships both in respect of Children and Adults.</w:t>
      </w:r>
    </w:p>
    <w:p w14:paraId="75D0CDBD" w14:textId="77777777" w:rsidR="003D49F2" w:rsidRPr="003D49F2" w:rsidRDefault="003D49F2" w:rsidP="00AD43D4">
      <w:pPr>
        <w:pStyle w:val="Heading3"/>
        <w:rPr>
          <w:lang w:eastAsia="en-GB"/>
        </w:rPr>
      </w:pPr>
      <w:r w:rsidRPr="003D49F2">
        <w:rPr>
          <w:lang w:eastAsia="en-GB"/>
        </w:rPr>
        <w:t xml:space="preserve">There may be times when women are less able to protect themselves or make informed decisions about their safety.  Therefore, it is essential that all staff have a clear understand of how and when to support vulnerable service users and understand the process to follow when escalating issues.  It is important that all staff are aware and cited on local assessment frameworks for North Yorkshire and City of York which are underpinned </w:t>
      </w:r>
      <w:hyperlink r:id="rId34" w:history="1">
        <w:r w:rsidRPr="003D49F2">
          <w:rPr>
            <w:rFonts w:cs="Times New Roman"/>
            <w:color w:val="0000FF"/>
            <w:u w:val="single"/>
            <w:lang w:eastAsia="en-GB"/>
          </w:rPr>
          <w:t>Working together to safeguard children 2023: statutory guidance</w:t>
        </w:r>
      </w:hyperlink>
      <w:r w:rsidRPr="003D49F2">
        <w:rPr>
          <w:rFonts w:cs="Times New Roman"/>
          <w:lang w:eastAsia="en-GB"/>
        </w:rPr>
        <w:t xml:space="preserve"> and any subsequent amendments.</w:t>
      </w:r>
    </w:p>
    <w:p w14:paraId="6671D4DA" w14:textId="77777777" w:rsidR="003D49F2" w:rsidRPr="003D49F2" w:rsidRDefault="003D49F2" w:rsidP="00AD43D4">
      <w:pPr>
        <w:pStyle w:val="Heading3"/>
        <w:rPr>
          <w:lang w:eastAsia="en-GB"/>
        </w:rPr>
      </w:pPr>
      <w:r w:rsidRPr="003D49F2">
        <w:rPr>
          <w:lang w:eastAsia="en-GB"/>
        </w:rPr>
        <w:t>Additionally, an adult at risk includes adults with learning disabilities and/or mental health needs, including those with dementia, those who may be older with additional support/care needs and also those who are physically frail or have a chronic illness e.g. brain injury or stroke with physical/sensory disability or who misuse drugs or alcohol.</w:t>
      </w:r>
    </w:p>
    <w:p w14:paraId="37FF9F83" w14:textId="77777777" w:rsidR="003D49F2" w:rsidRPr="003D49F2" w:rsidRDefault="003D49F2" w:rsidP="00AD43D4">
      <w:pPr>
        <w:pStyle w:val="Heading3"/>
        <w:rPr>
          <w:lang w:eastAsia="en-GB"/>
        </w:rPr>
      </w:pPr>
      <w:r w:rsidRPr="003D49F2">
        <w:rPr>
          <w:lang w:eastAsia="en-GB"/>
        </w:rPr>
        <w:t>Such characteristics do not in their own right make women vulnerable. All individual’s circumstances are affected by their environment, for example their proximity to risk, and the support available to them.</w:t>
      </w:r>
    </w:p>
    <w:p w14:paraId="64974924" w14:textId="77777777" w:rsidR="003D49F2" w:rsidRPr="003D49F2" w:rsidRDefault="003D49F2" w:rsidP="00AD43D4">
      <w:pPr>
        <w:pStyle w:val="Heading3"/>
        <w:rPr>
          <w:lang w:eastAsia="en-GB"/>
        </w:rPr>
      </w:pPr>
      <w:r w:rsidRPr="003D49F2">
        <w:rPr>
          <w:lang w:eastAsia="en-GB"/>
        </w:rPr>
        <w:t xml:space="preserve">The term adult at risk may also include trafficked women or victims of forced marriage or modern slavery. </w:t>
      </w:r>
    </w:p>
    <w:p w14:paraId="1ADDE124" w14:textId="77777777" w:rsidR="003D49F2" w:rsidRPr="003D49F2" w:rsidRDefault="003D49F2" w:rsidP="00AD43D4">
      <w:pPr>
        <w:pStyle w:val="Heading3"/>
        <w:rPr>
          <w:lang w:eastAsia="en-GB"/>
        </w:rPr>
      </w:pPr>
      <w:r w:rsidRPr="003D49F2">
        <w:rPr>
          <w:lang w:eastAsia="en-GB"/>
        </w:rPr>
        <w:lastRenderedPageBreak/>
        <w:t>The provider will ensure that cases at risk of suicide and/or self-harm are also dealt with appropriately under organisational safeguarding processes and procedures. Ensuring staff have suitable and appropriate training and are cited on key strategies.</w:t>
      </w:r>
    </w:p>
    <w:p w14:paraId="4D12ED9B" w14:textId="77777777" w:rsidR="003D49F2" w:rsidRPr="003D49F2" w:rsidRDefault="003D49F2" w:rsidP="00AD43D4">
      <w:pPr>
        <w:pStyle w:val="Heading3"/>
        <w:rPr>
          <w:lang w:eastAsia="en-GB"/>
        </w:rPr>
      </w:pPr>
      <w:r w:rsidRPr="003D49F2">
        <w:rPr>
          <w:lang w:eastAsia="en-GB"/>
        </w:rPr>
        <w:t>The provider must comply with both the North Yorkshire and the City of York Safeguarding arrangements for both adults at risk and children and young people:</w:t>
      </w:r>
    </w:p>
    <w:p w14:paraId="6A3230BE" w14:textId="77777777" w:rsidR="003D49F2" w:rsidRPr="003D49F2" w:rsidRDefault="003D49F2" w:rsidP="003D49F2">
      <w:pPr>
        <w:spacing w:before="0" w:after="120" w:line="276" w:lineRule="auto"/>
        <w:ind w:left="720"/>
        <w:jc w:val="both"/>
        <w:rPr>
          <w:rFonts w:ascii="Calibri" w:eastAsia="Times New Roman" w:hAnsi="Calibri" w:cs="Calibri"/>
          <w:kern w:val="0"/>
          <w:lang w:eastAsia="en-GB"/>
          <w14:ligatures w14:val="none"/>
        </w:rPr>
      </w:pPr>
      <w:hyperlink r:id="rId35" w:history="1">
        <w:r w:rsidRPr="003D49F2">
          <w:rPr>
            <w:rFonts w:ascii="Calibri" w:eastAsia="Times New Roman" w:hAnsi="Calibri" w:cs="Calibri"/>
            <w:color w:val="0000FF"/>
            <w:kern w:val="0"/>
            <w:u w:val="single"/>
            <w:lang w:eastAsia="en-GB"/>
            <w14:ligatures w14:val="none"/>
          </w:rPr>
          <w:t>North Yorkshire Safeguarding Children Partnership</w:t>
        </w:r>
      </w:hyperlink>
    </w:p>
    <w:p w14:paraId="2284D645" w14:textId="77777777" w:rsidR="003D49F2" w:rsidRPr="003D49F2" w:rsidRDefault="003D49F2" w:rsidP="003D49F2">
      <w:pPr>
        <w:spacing w:before="0" w:after="120" w:line="276" w:lineRule="auto"/>
        <w:ind w:left="720"/>
        <w:jc w:val="both"/>
        <w:rPr>
          <w:rFonts w:ascii="Calibri" w:eastAsia="Times New Roman" w:hAnsi="Calibri" w:cs="Calibri"/>
          <w:kern w:val="0"/>
          <w:lang w:eastAsia="en-GB"/>
          <w14:ligatures w14:val="none"/>
        </w:rPr>
      </w:pPr>
      <w:hyperlink r:id="rId36" w:history="1">
        <w:r w:rsidRPr="003D49F2">
          <w:rPr>
            <w:rFonts w:ascii="Calibri" w:eastAsia="Times New Roman" w:hAnsi="Calibri" w:cs="Calibri"/>
            <w:color w:val="0000FF"/>
            <w:kern w:val="0"/>
            <w:u w:val="single"/>
            <w:lang w:eastAsia="en-GB"/>
            <w14:ligatures w14:val="none"/>
          </w:rPr>
          <w:t>North Yorkshire Safeguarding Adults Board</w:t>
        </w:r>
      </w:hyperlink>
    </w:p>
    <w:p w14:paraId="5D1CE876" w14:textId="77777777" w:rsidR="003D49F2" w:rsidRPr="003D49F2" w:rsidRDefault="003D49F2" w:rsidP="003D49F2">
      <w:pPr>
        <w:spacing w:after="120" w:line="276" w:lineRule="auto"/>
        <w:ind w:left="792" w:hanging="72"/>
        <w:jc w:val="both"/>
        <w:rPr>
          <w:rFonts w:ascii="Calibri" w:eastAsia="Times New Roman" w:hAnsi="Calibri" w:cs="Calibri"/>
          <w:kern w:val="0"/>
          <w:lang w:eastAsia="en-GB"/>
          <w14:ligatures w14:val="none"/>
        </w:rPr>
      </w:pPr>
      <w:hyperlink r:id="rId37" w:history="1">
        <w:r w:rsidRPr="003D49F2">
          <w:rPr>
            <w:rFonts w:ascii="Calibri" w:eastAsia="Times New Roman" w:hAnsi="Calibri" w:cs="Calibri"/>
            <w:color w:val="0000FF"/>
            <w:kern w:val="0"/>
            <w:u w:val="single"/>
            <w:lang w:eastAsia="en-GB"/>
            <w14:ligatures w14:val="none"/>
          </w:rPr>
          <w:t>City of York Safeguarding Children Partnership</w:t>
        </w:r>
      </w:hyperlink>
    </w:p>
    <w:p w14:paraId="390ED713" w14:textId="77777777" w:rsidR="003D49F2" w:rsidRPr="003D49F2" w:rsidRDefault="003D49F2" w:rsidP="003D49F2">
      <w:pPr>
        <w:spacing w:before="0" w:after="120"/>
        <w:ind w:left="720"/>
        <w:jc w:val="both"/>
        <w:rPr>
          <w:rFonts w:ascii="Calibri" w:eastAsia="Times New Roman" w:hAnsi="Calibri" w:cs="Calibri"/>
          <w:kern w:val="0"/>
          <w:lang w:eastAsia="en-GB"/>
          <w14:ligatures w14:val="none"/>
        </w:rPr>
      </w:pPr>
      <w:hyperlink r:id="rId38" w:history="1">
        <w:r w:rsidRPr="003D49F2">
          <w:rPr>
            <w:rFonts w:ascii="Calibri" w:eastAsia="Times New Roman" w:hAnsi="Calibri" w:cs="Calibri"/>
            <w:color w:val="0000FF"/>
            <w:kern w:val="0"/>
            <w:u w:val="single"/>
            <w:lang w:eastAsia="en-GB"/>
            <w14:ligatures w14:val="none"/>
          </w:rPr>
          <w:t>City of York Safeguarding Adults Board</w:t>
        </w:r>
      </w:hyperlink>
    </w:p>
    <w:p w14:paraId="095DD670" w14:textId="77777777" w:rsidR="003D49F2" w:rsidRPr="003D49F2" w:rsidRDefault="003D49F2" w:rsidP="00AD43D4">
      <w:pPr>
        <w:pStyle w:val="Heading3"/>
        <w:rPr>
          <w:lang w:eastAsia="en-GB"/>
        </w:rPr>
      </w:pPr>
      <w:r w:rsidRPr="003D49F2">
        <w:rPr>
          <w:lang w:eastAsia="en-GB"/>
        </w:rPr>
        <w:lastRenderedPageBreak/>
        <w:t xml:space="preserve">The provider will be required to work collaboratively across agencies to ensure a holistic contribution to safeguard and protect adults and children at risk of significant harm in accordance with statutory guidance contained in Working Together to Safeguard Children – March 2018, and any subsequent amendments.  </w:t>
      </w:r>
    </w:p>
    <w:p w14:paraId="6FF834B1" w14:textId="77777777" w:rsidR="003D49F2" w:rsidRPr="003D49F2" w:rsidRDefault="003D49F2" w:rsidP="00AD43D4">
      <w:pPr>
        <w:pStyle w:val="Heading3"/>
        <w:rPr>
          <w:lang w:eastAsia="en-GB"/>
        </w:rPr>
      </w:pPr>
      <w:r w:rsidRPr="003D49F2">
        <w:rPr>
          <w:lang w:eastAsia="en-GB"/>
        </w:rPr>
        <w:t>The provider must therefore have dedicated Safeguarding Policy and Procedures in place, in line with requirements of the local Safeguarding Children Partnerships and Adult Safeguarding Boards.</w:t>
      </w:r>
    </w:p>
    <w:p w14:paraId="200A585F" w14:textId="77777777" w:rsidR="003D49F2" w:rsidRPr="003D49F2" w:rsidRDefault="003D49F2" w:rsidP="00AD43D4">
      <w:pPr>
        <w:pStyle w:val="Heading3"/>
        <w:rPr>
          <w:lang w:eastAsia="en-GB"/>
        </w:rPr>
      </w:pPr>
      <w:r w:rsidRPr="003D49F2">
        <w:rPr>
          <w:lang w:eastAsia="en-GB"/>
        </w:rPr>
        <w:t>Consideration must be given to safeguarding children and adults at risk when the services are dealing with women who may be parents or carers and who have dependent care obligations which may include care for children and other adults at risk.</w:t>
      </w:r>
    </w:p>
    <w:p w14:paraId="47ED07E8" w14:textId="77777777" w:rsidR="003D49F2" w:rsidRPr="003D49F2" w:rsidRDefault="003D49F2" w:rsidP="00AD43D4">
      <w:pPr>
        <w:pStyle w:val="Heading3"/>
        <w:rPr>
          <w:lang w:eastAsia="en-GB"/>
        </w:rPr>
      </w:pPr>
      <w:r w:rsidRPr="003D49F2">
        <w:rPr>
          <w:lang w:eastAsia="en-GB"/>
        </w:rPr>
        <w:t xml:space="preserve">The provider must be able to safeguard and promote the welfare of children and young people up to the age of 18 years or 25 years for those young people with Special Educational Needs or Disabilities (“SEND”).  </w:t>
      </w:r>
    </w:p>
    <w:p w14:paraId="6B552F7D" w14:textId="77777777" w:rsidR="003D49F2" w:rsidRPr="003D49F2" w:rsidRDefault="003D49F2" w:rsidP="00AD43D4">
      <w:pPr>
        <w:pStyle w:val="Heading3"/>
        <w:rPr>
          <w:lang w:eastAsia="en-GB"/>
        </w:rPr>
      </w:pPr>
      <w:r w:rsidRPr="003D49F2">
        <w:rPr>
          <w:lang w:eastAsia="en-GB"/>
        </w:rPr>
        <w:t xml:space="preserve">The provider must follow local Safeguarding Procedures and refer to MAST/MASH via the Universal Referral Form to ensure children and young people are safe and protected from harm. </w:t>
      </w:r>
    </w:p>
    <w:p w14:paraId="618FE1FE" w14:textId="55E77179" w:rsidR="003D49F2" w:rsidRPr="00AD43D4" w:rsidRDefault="003D49F2" w:rsidP="00AD43D4">
      <w:pPr>
        <w:pStyle w:val="Heading3"/>
        <w:rPr>
          <w:rFonts w:cs="Calibri"/>
          <w:lang w:eastAsia="en-GB"/>
        </w:rPr>
      </w:pPr>
      <w:r w:rsidRPr="003D49F2">
        <w:rPr>
          <w:lang w:eastAsia="en-GB"/>
        </w:rPr>
        <w:t>The Provider must have a Lone Working policy in place.</w:t>
      </w:r>
    </w:p>
    <w:p w14:paraId="67DDC24F" w14:textId="77777777" w:rsidR="003D49F2" w:rsidRPr="003D49F2" w:rsidRDefault="003D49F2" w:rsidP="00E53ACC">
      <w:pPr>
        <w:pStyle w:val="Heading2"/>
      </w:pPr>
      <w:r w:rsidRPr="003D49F2">
        <w:t xml:space="preserve">Modern Slavery </w:t>
      </w:r>
    </w:p>
    <w:p w14:paraId="41744643" w14:textId="77777777" w:rsidR="003D49F2" w:rsidRPr="00AD43D4" w:rsidRDefault="003D49F2" w:rsidP="00C57D7C">
      <w:pPr>
        <w:pStyle w:val="Heading3"/>
        <w:numPr>
          <w:ilvl w:val="2"/>
          <w:numId w:val="85"/>
        </w:numPr>
        <w:rPr>
          <w:rFonts w:cs="Arial"/>
        </w:rPr>
      </w:pPr>
      <w:r w:rsidRPr="003D49F2">
        <w:t>The Slavery and Trafficking Survivor Care Standards 2018 aim to ensure that adult survivors of trafficking receive high quality care wherever they are in the UK. The standards were re-published in 2015 following the Modern Slavery Act 2015. The 2018 update accounts for changes in law, policy, and practice in the rapidly changing landscape of preventing and combatting trafficking and modern slavery and supporting its victims to rehabilitate and rebuild their lives</w:t>
      </w:r>
      <w:r w:rsidRPr="00AD43D4">
        <w:rPr>
          <w:rFonts w:cs="Arial"/>
        </w:rPr>
        <w:t>.</w:t>
      </w:r>
    </w:p>
    <w:p w14:paraId="24B851F5" w14:textId="77777777" w:rsidR="003D49F2" w:rsidRPr="003D49F2" w:rsidRDefault="003D49F2" w:rsidP="00AD43D4">
      <w:pPr>
        <w:pStyle w:val="Heading3"/>
      </w:pPr>
      <w:r w:rsidRPr="003D49F2">
        <w:t>For every survivor of trafficking there should be an appropriate pathway for provision which considers, and is tailored to, their specific individual risks and needs. This includes all survivors who have a high level of need and require specialist provision, and this may include the Women’s Service.</w:t>
      </w:r>
    </w:p>
    <w:p w14:paraId="4E2CE0C5" w14:textId="77777777" w:rsidR="003D49F2" w:rsidRPr="003D49F2" w:rsidRDefault="003D49F2" w:rsidP="00E53ACC">
      <w:pPr>
        <w:pStyle w:val="Heading2"/>
      </w:pPr>
      <w:r w:rsidRPr="003D49F2">
        <w:t>Translation and Interpreting Services</w:t>
      </w:r>
    </w:p>
    <w:p w14:paraId="2AB7CB52" w14:textId="77777777" w:rsidR="003D49F2" w:rsidRPr="003D49F2" w:rsidRDefault="003D49F2" w:rsidP="00C57D7C">
      <w:pPr>
        <w:pStyle w:val="Heading3"/>
        <w:numPr>
          <w:ilvl w:val="2"/>
          <w:numId w:val="86"/>
        </w:numPr>
      </w:pPr>
      <w:r w:rsidRPr="003D49F2">
        <w:t xml:space="preserve">The provider will be responsible for the provision (and cost) of any required translation services or interpreters. All interpreters provided must be appropriately vetted and be nationally accredited as per </w:t>
      </w:r>
      <w:hyperlink r:id="rId39" w:history="1">
        <w:r w:rsidRPr="00AD43D4">
          <w:rPr>
            <w:color w:val="0000FF"/>
            <w:u w:val="single"/>
          </w:rPr>
          <w:t>National Police Language Services (NPLS) guidance</w:t>
        </w:r>
      </w:hyperlink>
      <w:r w:rsidRPr="003D49F2">
        <w:t>.</w:t>
      </w:r>
      <w:r w:rsidRPr="003D49F2">
        <w:rPr>
          <w:lang w:eastAsia="en-GB"/>
        </w:rPr>
        <w:t xml:space="preserve"> </w:t>
      </w:r>
    </w:p>
    <w:p w14:paraId="67FFD5E3" w14:textId="77777777" w:rsidR="003D49F2" w:rsidRPr="003D49F2" w:rsidRDefault="003D49F2" w:rsidP="00E53ACC">
      <w:pPr>
        <w:pStyle w:val="Heading2"/>
      </w:pPr>
      <w:r w:rsidRPr="003D49F2">
        <w:t>Equalities</w:t>
      </w:r>
    </w:p>
    <w:p w14:paraId="5CBD6225" w14:textId="77777777" w:rsidR="003D49F2" w:rsidRPr="003D49F2" w:rsidRDefault="003D49F2" w:rsidP="00C57D7C">
      <w:pPr>
        <w:pStyle w:val="Heading3"/>
        <w:numPr>
          <w:ilvl w:val="2"/>
          <w:numId w:val="87"/>
        </w:numPr>
      </w:pPr>
      <w:r w:rsidRPr="003D49F2">
        <w:t xml:space="preserve">Under the Equality Act 2010 the Commissioners have an ongoing legal duty to pay ‘due regard’ to the need to: </w:t>
      </w:r>
    </w:p>
    <w:p w14:paraId="686B08DE" w14:textId="77777777" w:rsidR="003D49F2" w:rsidRPr="003D49F2" w:rsidRDefault="003D49F2" w:rsidP="00C57D7C">
      <w:pPr>
        <w:numPr>
          <w:ilvl w:val="3"/>
          <w:numId w:val="15"/>
        </w:numPr>
        <w:spacing w:before="0" w:after="120" w:line="276" w:lineRule="auto"/>
        <w:jc w:val="both"/>
        <w:rPr>
          <w:rFonts w:eastAsia="Times New Roman" w:cs="Arial"/>
          <w:kern w:val="0"/>
          <w14:ligatures w14:val="none"/>
        </w:rPr>
      </w:pPr>
      <w:r w:rsidRPr="003D49F2">
        <w:rPr>
          <w:rFonts w:eastAsia="Times New Roman" w:cs="Arial"/>
          <w:kern w:val="0"/>
          <w14:ligatures w14:val="none"/>
        </w:rPr>
        <w:t xml:space="preserve">eliminate unlawful discrimination, harassment and victimisation and other prohibited conduct. </w:t>
      </w:r>
    </w:p>
    <w:p w14:paraId="6D402E46" w14:textId="77777777" w:rsidR="003D49F2" w:rsidRPr="003D49F2" w:rsidRDefault="003D49F2" w:rsidP="00C57D7C">
      <w:pPr>
        <w:numPr>
          <w:ilvl w:val="3"/>
          <w:numId w:val="15"/>
        </w:numPr>
        <w:spacing w:before="0" w:after="120" w:line="276" w:lineRule="auto"/>
        <w:jc w:val="both"/>
        <w:rPr>
          <w:rFonts w:eastAsia="Times New Roman" w:cs="Arial"/>
          <w:kern w:val="0"/>
          <w14:ligatures w14:val="none"/>
        </w:rPr>
      </w:pPr>
      <w:r w:rsidRPr="003D49F2">
        <w:rPr>
          <w:rFonts w:eastAsia="Times New Roman" w:cs="Arial"/>
          <w:kern w:val="0"/>
          <w14:ligatures w14:val="none"/>
        </w:rPr>
        <w:t>advance equality of opportunity between different groups (those who share a protected characteristic and those who do not); and</w:t>
      </w:r>
    </w:p>
    <w:p w14:paraId="523C1669" w14:textId="77777777" w:rsidR="003D49F2" w:rsidRPr="003D49F2" w:rsidRDefault="003D49F2" w:rsidP="00C57D7C">
      <w:pPr>
        <w:numPr>
          <w:ilvl w:val="3"/>
          <w:numId w:val="15"/>
        </w:numPr>
        <w:spacing w:before="0" w:after="120" w:line="276" w:lineRule="auto"/>
        <w:jc w:val="both"/>
        <w:rPr>
          <w:rFonts w:eastAsia="Times New Roman" w:cs="Arial"/>
          <w:kern w:val="0"/>
          <w14:ligatures w14:val="none"/>
        </w:rPr>
      </w:pPr>
      <w:r w:rsidRPr="003D49F2">
        <w:rPr>
          <w:rFonts w:eastAsia="Times New Roman" w:cs="Arial"/>
          <w:kern w:val="0"/>
          <w14:ligatures w14:val="none"/>
        </w:rPr>
        <w:t xml:space="preserve">foster good relations between different groups. </w:t>
      </w:r>
    </w:p>
    <w:p w14:paraId="66349209" w14:textId="77777777" w:rsidR="003D49F2" w:rsidRPr="003D49F2" w:rsidRDefault="003D49F2" w:rsidP="009777D6">
      <w:pPr>
        <w:pStyle w:val="Heading3"/>
      </w:pPr>
      <w:r w:rsidRPr="003D49F2">
        <w:lastRenderedPageBreak/>
        <w:t>The Provider is required to act in accordance with this duty, as well as the more general provision of the Equality Act.</w:t>
      </w:r>
    </w:p>
    <w:p w14:paraId="09D33F96" w14:textId="77777777" w:rsidR="003D49F2" w:rsidRPr="003D49F2" w:rsidRDefault="003D49F2" w:rsidP="009777D6">
      <w:pPr>
        <w:pStyle w:val="Heading3"/>
      </w:pPr>
      <w:r w:rsidRPr="003D49F2">
        <w:t xml:space="preserve">Victims of crime should be treated in a respectful, sensitive, and professional manner. They should receive appropriate support to help them, as far as possible, to cope and build resilience and be protected from re-victimisation. The </w:t>
      </w:r>
      <w:hyperlink r:id="rId40" w:history="1">
        <w:r w:rsidRPr="003D49F2">
          <w:rPr>
            <w:rFonts w:cs="Times New Roman"/>
            <w:color w:val="0000FF"/>
            <w:u w:val="single"/>
            <w:lang w:eastAsia="en-GB"/>
          </w:rPr>
          <w:t xml:space="preserve">Code of Practice for Victims </w:t>
        </w:r>
      </w:hyperlink>
      <w:r w:rsidRPr="003D49F2">
        <w:t xml:space="preserve"> sets out the services to be provided to victims of criminal conduct by criminal justice agencies in England and Wales.</w:t>
      </w:r>
    </w:p>
    <w:p w14:paraId="083B0894" w14:textId="77777777" w:rsidR="003D49F2" w:rsidRPr="003D49F2" w:rsidRDefault="003D49F2" w:rsidP="00E53ACC">
      <w:pPr>
        <w:pStyle w:val="Heading2"/>
      </w:pPr>
      <w:r w:rsidRPr="003D49F2">
        <w:t>Social Value</w:t>
      </w:r>
    </w:p>
    <w:p w14:paraId="5BC4DA40" w14:textId="7BF31BA1" w:rsidR="003D49F2" w:rsidRPr="003D49F2" w:rsidRDefault="003D49F2" w:rsidP="00C57D7C">
      <w:pPr>
        <w:pStyle w:val="Heading3"/>
        <w:numPr>
          <w:ilvl w:val="2"/>
          <w:numId w:val="88"/>
        </w:numPr>
      </w:pPr>
      <w:r w:rsidRPr="003D49F2">
        <w:t xml:space="preserve">The </w:t>
      </w:r>
      <w:r w:rsidR="002C0754">
        <w:t>YNYCA</w:t>
      </w:r>
      <w:r w:rsidRPr="003D49F2">
        <w:t xml:space="preserve"> are committed to considering the social, economic, and environmental impact of the services they commission and to the implementation of the Social Value Act. This means they want to encourage local supply chains, and approaches that build local capacity and skills. The </w:t>
      </w:r>
      <w:r w:rsidR="002C0754">
        <w:t>YNYCA</w:t>
      </w:r>
      <w:r w:rsidRPr="003D49F2">
        <w:t xml:space="preserve"> support the Living Wage for those delivering services on their behalf and expects the successful Provider to consider relevant environmental issues.</w:t>
      </w:r>
    </w:p>
    <w:p w14:paraId="29F5A3D7" w14:textId="003C0C32" w:rsidR="003D49F2" w:rsidRPr="003D49F2" w:rsidRDefault="003D49F2" w:rsidP="00995E52">
      <w:pPr>
        <w:pStyle w:val="Heading3"/>
      </w:pPr>
      <w:r w:rsidRPr="003D49F2">
        <w:t xml:space="preserve">The </w:t>
      </w:r>
      <w:r w:rsidR="002C0754">
        <w:t>YNYCA</w:t>
      </w:r>
      <w:r w:rsidRPr="003D49F2">
        <w:t xml:space="preserve"> require the provider to be able to measure and demonstrate their social value. The term ‘value’ does not simply mean best price but rather this should be seen in a wider context of achieving greater economic, social, and environmental impact and benefits for both staff and the local community. </w:t>
      </w:r>
    </w:p>
    <w:p w14:paraId="4F9B39BC" w14:textId="77777777" w:rsidR="003D49F2" w:rsidRPr="003D49F2" w:rsidRDefault="003D49F2" w:rsidP="00E53ACC">
      <w:pPr>
        <w:pStyle w:val="Heading2"/>
      </w:pPr>
      <w:r w:rsidRPr="003D49F2">
        <w:t>Policies &amp; Procedures</w:t>
      </w:r>
    </w:p>
    <w:p w14:paraId="1102B7D8" w14:textId="77777777" w:rsidR="003D49F2" w:rsidRPr="003D49F2" w:rsidRDefault="003D49F2" w:rsidP="00C57D7C">
      <w:pPr>
        <w:pStyle w:val="Heading3"/>
        <w:numPr>
          <w:ilvl w:val="2"/>
          <w:numId w:val="89"/>
        </w:numPr>
      </w:pPr>
      <w:r w:rsidRPr="003D49F2">
        <w:t>The Provider must have the following policies and procedures in place or be willing to put them in place and ensure that these are reviewed at least every three years; some policy areas may be incorporated within one document where appropriate:</w:t>
      </w:r>
    </w:p>
    <w:p w14:paraId="30538514"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 xml:space="preserve">Equal Opportunities                        </w:t>
      </w:r>
    </w:p>
    <w:p w14:paraId="0F251F2B"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Health &amp; Safety policy</w:t>
      </w:r>
    </w:p>
    <w:p w14:paraId="1E29725D"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Recruitment &amp; Selection</w:t>
      </w:r>
    </w:p>
    <w:p w14:paraId="37152709"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Staff Appraisal</w:t>
      </w:r>
    </w:p>
    <w:p w14:paraId="41876886"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Staff supervision</w:t>
      </w:r>
    </w:p>
    <w:p w14:paraId="02C1B7DF"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 xml:space="preserve">Harassment </w:t>
      </w:r>
    </w:p>
    <w:p w14:paraId="5CB79BA9"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 xml:space="preserve">Disciplinary </w:t>
      </w:r>
    </w:p>
    <w:p w14:paraId="0ADB7E56"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Grievance</w:t>
      </w:r>
    </w:p>
    <w:p w14:paraId="218A6EDA"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Whistle blowing</w:t>
      </w:r>
    </w:p>
    <w:p w14:paraId="56CB7138"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 xml:space="preserve">Complaints </w:t>
      </w:r>
    </w:p>
    <w:p w14:paraId="55C34AE2"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Data Protection</w:t>
      </w:r>
    </w:p>
    <w:p w14:paraId="401C9C44"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Safeguarding</w:t>
      </w:r>
    </w:p>
    <w:p w14:paraId="24A3A037"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Lone Working Policy</w:t>
      </w:r>
    </w:p>
    <w:p w14:paraId="34462AB5"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lastRenderedPageBreak/>
        <w:t>Risk Assessment Policy</w:t>
      </w:r>
    </w:p>
    <w:p w14:paraId="02E13B99"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Business Continuity Plan</w:t>
      </w:r>
    </w:p>
    <w:p w14:paraId="15B807E5" w14:textId="77777777" w:rsidR="003D49F2" w:rsidRPr="003D49F2" w:rsidRDefault="003D49F2" w:rsidP="00C57D7C">
      <w:pPr>
        <w:numPr>
          <w:ilvl w:val="1"/>
          <w:numId w:val="60"/>
        </w:numPr>
        <w:autoSpaceDE w:val="0"/>
        <w:autoSpaceDN w:val="0"/>
        <w:adjustRightInd w:val="0"/>
        <w:spacing w:before="0" w:after="240" w:line="276" w:lineRule="auto"/>
        <w:rPr>
          <w:rFonts w:eastAsia="Times New Roman" w:cs="Arial"/>
          <w:kern w:val="0"/>
          <w:lang w:eastAsia="en-GB"/>
          <w14:ligatures w14:val="none"/>
        </w:rPr>
      </w:pPr>
      <w:r w:rsidRPr="003D49F2">
        <w:rPr>
          <w:rFonts w:eastAsia="Times New Roman" w:cs="Arial"/>
          <w:kern w:val="0"/>
          <w:lang w:eastAsia="en-GB"/>
          <w14:ligatures w14:val="none"/>
        </w:rPr>
        <w:t>Receipt of Gifts Policy / Professional Boundaries Policy</w:t>
      </w:r>
    </w:p>
    <w:p w14:paraId="50138F38" w14:textId="77777777" w:rsidR="003D49F2" w:rsidRPr="003D49F2" w:rsidRDefault="003D49F2" w:rsidP="00995E52">
      <w:pPr>
        <w:pStyle w:val="Heading3"/>
      </w:pPr>
      <w:r w:rsidRPr="003D49F2">
        <w:t>The Provider must provide copies of the above policies prior to commencement of the service, and any revised versions thereafter.</w:t>
      </w:r>
    </w:p>
    <w:p w14:paraId="196A3C93" w14:textId="77777777" w:rsidR="003D49F2" w:rsidRPr="003D49F2" w:rsidRDefault="003D49F2" w:rsidP="008C5697">
      <w:pPr>
        <w:pStyle w:val="Heading3"/>
      </w:pPr>
      <w:r w:rsidRPr="003D49F2">
        <w:t xml:space="preserve">The provider must ensure that all staff, including any volunteers, are aware of and will carry out all elements of the service in accordance with these policies and procedures.  </w:t>
      </w:r>
    </w:p>
    <w:p w14:paraId="1BA29617" w14:textId="77777777" w:rsidR="003D49F2" w:rsidRPr="003D49F2" w:rsidRDefault="003D49F2" w:rsidP="00E53ACC">
      <w:pPr>
        <w:pStyle w:val="Heading2"/>
      </w:pPr>
      <w:r w:rsidRPr="003D49F2">
        <w:t>Service Promotion</w:t>
      </w:r>
    </w:p>
    <w:p w14:paraId="4764BD28" w14:textId="77777777" w:rsidR="003D49F2" w:rsidRPr="003D49F2" w:rsidRDefault="003D49F2" w:rsidP="00C57D7C">
      <w:pPr>
        <w:pStyle w:val="Heading3"/>
        <w:numPr>
          <w:ilvl w:val="2"/>
          <w:numId w:val="90"/>
        </w:numPr>
      </w:pPr>
      <w:r w:rsidRPr="003D49F2">
        <w:t>Working in conjunction with, and as directed by the YNYCA, the provider will actively promote the Women’s service.</w:t>
      </w:r>
    </w:p>
    <w:p w14:paraId="7EB98856" w14:textId="77777777" w:rsidR="003D49F2" w:rsidRPr="003D49F2" w:rsidRDefault="003D49F2" w:rsidP="008C5697">
      <w:pPr>
        <w:pStyle w:val="Heading3"/>
      </w:pPr>
      <w:r w:rsidRPr="003D49F2">
        <w:t xml:space="preserve">The provider will liaise with other agencies representing and working with women to increase public awareness of the issues surrounding the distinct needs of women and promote the work of the service and the wider commissioned support services. </w:t>
      </w:r>
    </w:p>
    <w:p w14:paraId="2EB03F28" w14:textId="678A2B21" w:rsidR="003D49F2" w:rsidRPr="003D49F2" w:rsidRDefault="003D49F2" w:rsidP="008C5697">
      <w:pPr>
        <w:pStyle w:val="Heading3"/>
      </w:pPr>
      <w:r w:rsidRPr="003D49F2">
        <w:t xml:space="preserve">Using whatever means are available, and in agreement with the </w:t>
      </w:r>
      <w:r w:rsidR="002C0754">
        <w:t>YNYCA</w:t>
      </w:r>
      <w:r w:rsidRPr="003D49F2">
        <w:t>, the provider will utilise opportunities to promote access to the service for women throughout York and North Yorkshire.</w:t>
      </w:r>
    </w:p>
    <w:p w14:paraId="3A73BB5F" w14:textId="77777777" w:rsidR="003D49F2" w:rsidRPr="003D49F2" w:rsidRDefault="003D49F2" w:rsidP="008C5697">
      <w:pPr>
        <w:pStyle w:val="Heading3"/>
      </w:pPr>
      <w:r w:rsidRPr="003D49F2">
        <w:t>All collateral used for the above purposes should be that agreed with the YNYCA Contract Manager prior to distribution.</w:t>
      </w:r>
    </w:p>
    <w:p w14:paraId="04E7FD30" w14:textId="77777777" w:rsidR="003D49F2" w:rsidRPr="003D49F2" w:rsidRDefault="003D49F2" w:rsidP="008C5697">
      <w:pPr>
        <w:pStyle w:val="Heading3"/>
      </w:pPr>
      <w:r w:rsidRPr="003D49F2">
        <w:t>The provider will be responsible for updating the YNYCA Contract Manager with regards to key updates that might be valuable for updating the Supporting Victims in North Yorkshire, YNYCA, PFC, NYC and CYC websites, and Social Media feeds in relation to the service and other key developments.</w:t>
      </w:r>
    </w:p>
    <w:p w14:paraId="655C413D" w14:textId="77777777" w:rsidR="002835EC" w:rsidRDefault="002835EC">
      <w:pPr>
        <w:spacing w:before="0" w:line="259" w:lineRule="auto"/>
        <w:rPr>
          <w:rFonts w:asciiTheme="majorHAnsi" w:eastAsiaTheme="majorEastAsia" w:hAnsiTheme="majorHAnsi" w:cstheme="majorBidi"/>
          <w:color w:val="002060"/>
          <w:sz w:val="40"/>
          <w:szCs w:val="40"/>
        </w:rPr>
      </w:pPr>
      <w:r>
        <w:rPr>
          <w:color w:val="002060"/>
        </w:rPr>
        <w:br w:type="page"/>
      </w:r>
    </w:p>
    <w:p w14:paraId="68636183" w14:textId="35DB5128" w:rsidR="008C5697" w:rsidRDefault="002F2AFB" w:rsidP="00063554">
      <w:pPr>
        <w:pStyle w:val="Heading1"/>
        <w:rPr>
          <w:color w:val="002060"/>
        </w:rPr>
      </w:pPr>
      <w:bookmarkStart w:id="35" w:name="_Toc215577712"/>
      <w:r>
        <w:rPr>
          <w:color w:val="002060"/>
        </w:rPr>
        <w:lastRenderedPageBreak/>
        <w:t>Contract Exit Planning</w:t>
      </w:r>
      <w:bookmarkEnd w:id="35"/>
    </w:p>
    <w:p w14:paraId="29E55721" w14:textId="7E1FC322" w:rsidR="00B42EFF" w:rsidRPr="00405848" w:rsidRDefault="00B42EFF" w:rsidP="00E53ACC">
      <w:pPr>
        <w:pStyle w:val="Heading2"/>
      </w:pPr>
      <w:bookmarkStart w:id="36" w:name="_Hlk139297811"/>
      <w:r w:rsidRPr="00B42EFF">
        <w:t>The</w:t>
      </w:r>
      <w:r w:rsidRPr="00405848">
        <w:t xml:space="preserve"> </w:t>
      </w:r>
      <w:r w:rsidR="002C0754">
        <w:t>YNYCA</w:t>
      </w:r>
      <w:r w:rsidRPr="00405848">
        <w:t xml:space="preserve"> require a seamless transition between the </w:t>
      </w:r>
      <w:r>
        <w:t>s</w:t>
      </w:r>
      <w:r w:rsidRPr="00405848">
        <w:t>ervice and any replacement services to be procured in the future</w:t>
      </w:r>
      <w:r>
        <w:t>,</w:t>
      </w:r>
      <w:r w:rsidRPr="00405848">
        <w:t xml:space="preserve"> as a minimum the </w:t>
      </w:r>
      <w:r>
        <w:t>p</w:t>
      </w:r>
      <w:r w:rsidRPr="00405848">
        <w:t xml:space="preserve">rovider is required to ensure that all case management processes remain in place throughout any notice period in order </w:t>
      </w:r>
      <w:bookmarkStart w:id="37" w:name="_Hlk139301493"/>
      <w:r w:rsidRPr="00405848">
        <w:t xml:space="preserve">to </w:t>
      </w:r>
      <w:proofErr w:type="spellStart"/>
      <w:r w:rsidRPr="00405848">
        <w:t>minimise</w:t>
      </w:r>
      <w:proofErr w:type="spellEnd"/>
      <w:r w:rsidRPr="00405848">
        <w:t xml:space="preserve"> the impact on any </w:t>
      </w:r>
      <w:bookmarkEnd w:id="37"/>
      <w:r>
        <w:t>women</w:t>
      </w:r>
      <w:r w:rsidRPr="00405848">
        <w:t xml:space="preserve"> in receipt of the </w:t>
      </w:r>
      <w:r>
        <w:t>s</w:t>
      </w:r>
      <w:r w:rsidRPr="00405848">
        <w:t>ervice.</w:t>
      </w:r>
      <w:bookmarkEnd w:id="36"/>
    </w:p>
    <w:p w14:paraId="5E4C67E0" w14:textId="77777777" w:rsidR="00B42EFF" w:rsidRPr="00405848" w:rsidRDefault="00B42EFF" w:rsidP="00E53ACC">
      <w:pPr>
        <w:pStyle w:val="Heading2"/>
      </w:pPr>
      <w:r w:rsidRPr="00405848">
        <w:t xml:space="preserve">The </w:t>
      </w:r>
      <w:r w:rsidRPr="00B42EFF">
        <w:t>provider</w:t>
      </w:r>
      <w:r w:rsidRPr="00405848">
        <w:t xml:space="preserve"> shall produce a full, detailed Exit Plan for the </w:t>
      </w:r>
      <w:r>
        <w:t>s</w:t>
      </w:r>
      <w:r w:rsidRPr="00405848">
        <w:t xml:space="preserve">ervice twelve (12) months prior to expiry or termination of the Contract and maintain arrangements for achieving an orderly transition of the Service from the </w:t>
      </w:r>
      <w:r>
        <w:t>p</w:t>
      </w:r>
      <w:r w:rsidRPr="00405848">
        <w:t>rovider to any replacement provider/s on the expiry or termination of the Contract.</w:t>
      </w:r>
    </w:p>
    <w:p w14:paraId="3439E2E1" w14:textId="77777777" w:rsidR="00B42EFF" w:rsidRPr="00405848" w:rsidRDefault="00B42EFF" w:rsidP="00E53ACC">
      <w:pPr>
        <w:pStyle w:val="Heading2"/>
      </w:pPr>
      <w:r w:rsidRPr="00405848">
        <w:t xml:space="preserve">As a </w:t>
      </w:r>
      <w:r w:rsidRPr="00B42EFF">
        <w:t>minimum</w:t>
      </w:r>
      <w:r w:rsidRPr="00405848">
        <w:t xml:space="preserve"> the Exit Plan will include:</w:t>
      </w:r>
    </w:p>
    <w:p w14:paraId="2BC197CC" w14:textId="77777777" w:rsidR="00B42EFF" w:rsidRPr="001D02C4" w:rsidRDefault="00B42EFF" w:rsidP="00C57D7C">
      <w:pPr>
        <w:pStyle w:val="Heading3"/>
        <w:numPr>
          <w:ilvl w:val="2"/>
          <w:numId w:val="91"/>
        </w:numPr>
      </w:pPr>
      <w:r w:rsidRPr="00405848">
        <w:t xml:space="preserve">a detailed description of how the </w:t>
      </w:r>
      <w:r>
        <w:t>s</w:t>
      </w:r>
      <w:r w:rsidRPr="00405848">
        <w:t>ervice will cease and/or be transferred to a replacement provider/s</w:t>
      </w:r>
    </w:p>
    <w:p w14:paraId="3CE94094" w14:textId="77777777" w:rsidR="00B42EFF" w:rsidRPr="001D02C4" w:rsidRDefault="00B42EFF" w:rsidP="00B42EFF">
      <w:pPr>
        <w:pStyle w:val="Heading3"/>
      </w:pPr>
      <w:r w:rsidRPr="00405848">
        <w:t xml:space="preserve">details of the management structure to be employed to effectively withdraw and/or transfer the </w:t>
      </w:r>
      <w:r>
        <w:t>service</w:t>
      </w:r>
    </w:p>
    <w:p w14:paraId="5B5F54F1" w14:textId="77777777" w:rsidR="00B42EFF" w:rsidRPr="001D02C4" w:rsidRDefault="00B42EFF" w:rsidP="00B42EFF">
      <w:pPr>
        <w:pStyle w:val="Heading3"/>
      </w:pPr>
      <w:r w:rsidRPr="00405848">
        <w:t>details of how relevant knowledge will be transferred</w:t>
      </w:r>
    </w:p>
    <w:p w14:paraId="734A7FF5" w14:textId="77777777" w:rsidR="00B42EFF" w:rsidRPr="001D02C4" w:rsidRDefault="00B42EFF" w:rsidP="00B42EFF">
      <w:pPr>
        <w:pStyle w:val="Heading3"/>
      </w:pPr>
      <w:r w:rsidRPr="00405848">
        <w:t>details of any assets and/or sub-contracts (if any) which may be available for transfer upon transfer, expiry or termination of the Contract.</w:t>
      </w:r>
    </w:p>
    <w:p w14:paraId="0C1BD51D" w14:textId="675D05DD" w:rsidR="00B42EFF" w:rsidRPr="001D02C4" w:rsidRDefault="00B42EFF" w:rsidP="00E53ACC">
      <w:pPr>
        <w:pStyle w:val="Heading2"/>
      </w:pPr>
      <w:r w:rsidRPr="00405848">
        <w:t xml:space="preserve">The </w:t>
      </w:r>
      <w:r w:rsidR="002C0754">
        <w:t>YNYCA</w:t>
      </w:r>
      <w:r w:rsidRPr="00405848">
        <w:t xml:space="preserve"> will undertake a joint risk assessment with the </w:t>
      </w:r>
      <w:r>
        <w:t>p</w:t>
      </w:r>
      <w:r w:rsidRPr="00405848">
        <w:t>rovider of the Exit Plan.</w:t>
      </w:r>
    </w:p>
    <w:p w14:paraId="22CB7DCC" w14:textId="77777777" w:rsidR="00B42EFF" w:rsidRPr="00007AE1" w:rsidRDefault="00B42EFF" w:rsidP="00E53ACC">
      <w:pPr>
        <w:pStyle w:val="Heading2"/>
      </w:pPr>
      <w:r w:rsidRPr="00405848">
        <w:t xml:space="preserve">The </w:t>
      </w:r>
      <w:r>
        <w:t>p</w:t>
      </w:r>
      <w:r w:rsidRPr="00405848">
        <w:t xml:space="preserve">rovider is required to regularly review and update the Exit Plan as required to reflect any changes in the </w:t>
      </w:r>
      <w:r>
        <w:t>s</w:t>
      </w:r>
      <w:r w:rsidRPr="00405848">
        <w:t xml:space="preserve">ervice and other matters necessary to </w:t>
      </w:r>
      <w:proofErr w:type="spellStart"/>
      <w:r w:rsidRPr="00405848">
        <w:t>minimise</w:t>
      </w:r>
      <w:proofErr w:type="spellEnd"/>
      <w:r w:rsidRPr="00405848">
        <w:t xml:space="preserve"> the impact on any </w:t>
      </w:r>
      <w:r>
        <w:t>women</w:t>
      </w:r>
      <w:r w:rsidRPr="00405848">
        <w:t xml:space="preserve"> and ensure that any replacement provider/s are able to implement the proposed transition arrangements at any time.</w:t>
      </w:r>
      <w:bookmarkStart w:id="38" w:name="_Toc174981475"/>
      <w:bookmarkStart w:id="39" w:name="_Toc174981501"/>
      <w:bookmarkStart w:id="40" w:name="_Toc174981525"/>
      <w:bookmarkStart w:id="41" w:name="_Toc174981543"/>
      <w:bookmarkStart w:id="42" w:name="_Toc174981843"/>
      <w:bookmarkStart w:id="43" w:name="_Toc174981859"/>
      <w:bookmarkStart w:id="44" w:name="_Toc174982251"/>
      <w:bookmarkStart w:id="45" w:name="_Toc174982747"/>
      <w:bookmarkEnd w:id="38"/>
      <w:bookmarkEnd w:id="39"/>
      <w:bookmarkEnd w:id="40"/>
      <w:bookmarkEnd w:id="41"/>
      <w:bookmarkEnd w:id="42"/>
      <w:bookmarkEnd w:id="43"/>
      <w:bookmarkEnd w:id="44"/>
      <w:bookmarkEnd w:id="45"/>
    </w:p>
    <w:p w14:paraId="5E84D062" w14:textId="77777777" w:rsidR="002F2AFB" w:rsidRDefault="002F2AFB">
      <w:pPr>
        <w:spacing w:before="0" w:line="259" w:lineRule="auto"/>
        <w:rPr>
          <w:rFonts w:asciiTheme="majorHAnsi" w:eastAsiaTheme="majorEastAsia" w:hAnsiTheme="majorHAnsi" w:cstheme="majorBidi"/>
          <w:color w:val="002060"/>
          <w:sz w:val="40"/>
          <w:szCs w:val="40"/>
        </w:rPr>
      </w:pPr>
      <w:r>
        <w:rPr>
          <w:color w:val="002060"/>
        </w:rPr>
        <w:br w:type="page"/>
      </w:r>
    </w:p>
    <w:p w14:paraId="73370508" w14:textId="759E881B" w:rsidR="00B42EFF" w:rsidRDefault="00B42EFF" w:rsidP="00063554">
      <w:pPr>
        <w:pStyle w:val="Heading1"/>
        <w:rPr>
          <w:color w:val="002060"/>
        </w:rPr>
      </w:pPr>
      <w:bookmarkStart w:id="46" w:name="_Toc215577713"/>
      <w:r>
        <w:rPr>
          <w:color w:val="002060"/>
        </w:rPr>
        <w:lastRenderedPageBreak/>
        <w:t>Service Components</w:t>
      </w:r>
      <w:bookmarkEnd w:id="46"/>
    </w:p>
    <w:p w14:paraId="0A893C5B" w14:textId="77777777" w:rsidR="00C93E4C" w:rsidRPr="00C93E4C" w:rsidRDefault="00C93E4C" w:rsidP="00E53ACC">
      <w:pPr>
        <w:pStyle w:val="Heading2"/>
      </w:pPr>
      <w:r w:rsidRPr="00C93E4C">
        <w:t xml:space="preserve">Women’s </w:t>
      </w:r>
      <w:proofErr w:type="spellStart"/>
      <w:r w:rsidRPr="00C93E4C">
        <w:t>Centres</w:t>
      </w:r>
      <w:proofErr w:type="spellEnd"/>
    </w:p>
    <w:p w14:paraId="4DDD17BF" w14:textId="77777777" w:rsidR="00C93E4C" w:rsidRPr="00C93E4C" w:rsidRDefault="00C93E4C" w:rsidP="00C57D7C">
      <w:pPr>
        <w:pStyle w:val="Heading3"/>
        <w:numPr>
          <w:ilvl w:val="2"/>
          <w:numId w:val="101"/>
        </w:numPr>
        <w:rPr>
          <w:lang w:eastAsia="en-GB"/>
        </w:rPr>
      </w:pPr>
      <w:r w:rsidRPr="00C93E4C">
        <w:rPr>
          <w:lang w:eastAsia="en-GB"/>
        </w:rPr>
        <w:t>Need and Demand</w:t>
      </w:r>
    </w:p>
    <w:p w14:paraId="35E4C611" w14:textId="77777777" w:rsidR="00C93E4C" w:rsidRPr="00C93E4C" w:rsidRDefault="00C93E4C" w:rsidP="002F1CE6">
      <w:pPr>
        <w:pStyle w:val="Heading3"/>
        <w:rPr>
          <w:lang w:eastAsia="en-GB"/>
        </w:rPr>
      </w:pPr>
      <w:r w:rsidRPr="00C93E4C">
        <w:rPr>
          <w:lang w:eastAsia="en-GB"/>
        </w:rPr>
        <w:t>The table below shows the number of women that York Women’s Centre has supported since 2020 up to 2025.</w:t>
      </w:r>
    </w:p>
    <w:tbl>
      <w:tblPr>
        <w:tblStyle w:val="TableGrid2"/>
        <w:tblW w:w="0" w:type="auto"/>
        <w:tblInd w:w="576" w:type="dxa"/>
        <w:tblLook w:val="04A0" w:firstRow="1" w:lastRow="0" w:firstColumn="1" w:lastColumn="0" w:noHBand="0" w:noVBand="1"/>
      </w:tblPr>
      <w:tblGrid>
        <w:gridCol w:w="2096"/>
        <w:gridCol w:w="2119"/>
        <w:gridCol w:w="2162"/>
      </w:tblGrid>
      <w:tr w:rsidR="00C93E4C" w:rsidRPr="00C93E4C" w14:paraId="6109E74F" w14:textId="77777777" w:rsidTr="00C93E4C">
        <w:tc>
          <w:tcPr>
            <w:tcW w:w="2096" w:type="dxa"/>
            <w:shd w:val="clear" w:color="auto" w:fill="E2EFD9"/>
          </w:tcPr>
          <w:p w14:paraId="248F3F30" w14:textId="77777777" w:rsidR="00C93E4C" w:rsidRPr="00C93E4C" w:rsidRDefault="00C93E4C" w:rsidP="00C93E4C">
            <w:pPr>
              <w:spacing w:after="120" w:line="276" w:lineRule="auto"/>
              <w:jc w:val="center"/>
              <w:rPr>
                <w:rFonts w:ascii="Calibri" w:hAnsi="Calibri" w:cs="Arial"/>
                <w:b/>
                <w:bCs/>
                <w:sz w:val="22"/>
                <w:szCs w:val="24"/>
              </w:rPr>
            </w:pPr>
            <w:r w:rsidRPr="00C93E4C">
              <w:rPr>
                <w:rFonts w:ascii="Calibri" w:hAnsi="Calibri" w:cs="Arial"/>
                <w:b/>
                <w:bCs/>
                <w:sz w:val="22"/>
                <w:szCs w:val="24"/>
              </w:rPr>
              <w:t>Period</w:t>
            </w:r>
          </w:p>
        </w:tc>
        <w:tc>
          <w:tcPr>
            <w:tcW w:w="2119" w:type="dxa"/>
            <w:shd w:val="clear" w:color="auto" w:fill="E2EFD9"/>
          </w:tcPr>
          <w:p w14:paraId="2677D314" w14:textId="77777777" w:rsidR="00C93E4C" w:rsidRPr="00C93E4C" w:rsidRDefault="00C93E4C" w:rsidP="00C93E4C">
            <w:pPr>
              <w:spacing w:after="120" w:line="276" w:lineRule="auto"/>
              <w:jc w:val="center"/>
              <w:rPr>
                <w:rFonts w:ascii="Calibri" w:hAnsi="Calibri" w:cs="Arial"/>
                <w:b/>
                <w:bCs/>
                <w:sz w:val="22"/>
                <w:szCs w:val="24"/>
              </w:rPr>
            </w:pPr>
            <w:r w:rsidRPr="00C93E4C">
              <w:rPr>
                <w:rFonts w:ascii="Calibri" w:hAnsi="Calibri" w:cs="Arial"/>
                <w:b/>
                <w:bCs/>
                <w:sz w:val="22"/>
                <w:szCs w:val="24"/>
              </w:rPr>
              <w:t>Referrals</w:t>
            </w:r>
          </w:p>
        </w:tc>
        <w:tc>
          <w:tcPr>
            <w:tcW w:w="2162" w:type="dxa"/>
            <w:shd w:val="clear" w:color="auto" w:fill="E2EFD9"/>
          </w:tcPr>
          <w:p w14:paraId="5DE97A69" w14:textId="77777777" w:rsidR="00C93E4C" w:rsidRPr="00C93E4C" w:rsidRDefault="00C93E4C" w:rsidP="00C93E4C">
            <w:pPr>
              <w:spacing w:after="120" w:line="276" w:lineRule="auto"/>
              <w:jc w:val="center"/>
              <w:rPr>
                <w:rFonts w:ascii="Calibri" w:hAnsi="Calibri" w:cs="Arial"/>
                <w:b/>
                <w:bCs/>
                <w:sz w:val="22"/>
                <w:szCs w:val="24"/>
              </w:rPr>
            </w:pPr>
            <w:r w:rsidRPr="00C93E4C">
              <w:rPr>
                <w:rFonts w:ascii="Calibri" w:hAnsi="Calibri" w:cs="Arial"/>
                <w:b/>
                <w:bCs/>
                <w:sz w:val="22"/>
                <w:szCs w:val="24"/>
              </w:rPr>
              <w:t>Engagements</w:t>
            </w:r>
          </w:p>
        </w:tc>
      </w:tr>
      <w:tr w:rsidR="00C93E4C" w:rsidRPr="00C93E4C" w14:paraId="37998530" w14:textId="77777777" w:rsidTr="00F44331">
        <w:tc>
          <w:tcPr>
            <w:tcW w:w="2096" w:type="dxa"/>
          </w:tcPr>
          <w:p w14:paraId="53FBA162"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2020-21</w:t>
            </w:r>
          </w:p>
        </w:tc>
        <w:tc>
          <w:tcPr>
            <w:tcW w:w="2119" w:type="dxa"/>
          </w:tcPr>
          <w:p w14:paraId="776B04B7"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82</w:t>
            </w:r>
          </w:p>
        </w:tc>
        <w:tc>
          <w:tcPr>
            <w:tcW w:w="2162" w:type="dxa"/>
          </w:tcPr>
          <w:p w14:paraId="5FA0D1B2"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72</w:t>
            </w:r>
          </w:p>
        </w:tc>
      </w:tr>
      <w:tr w:rsidR="00C93E4C" w:rsidRPr="00C93E4C" w14:paraId="26FB0D19" w14:textId="77777777" w:rsidTr="00F44331">
        <w:tc>
          <w:tcPr>
            <w:tcW w:w="2096" w:type="dxa"/>
          </w:tcPr>
          <w:p w14:paraId="17974F04"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2021-22</w:t>
            </w:r>
          </w:p>
        </w:tc>
        <w:tc>
          <w:tcPr>
            <w:tcW w:w="2119" w:type="dxa"/>
          </w:tcPr>
          <w:p w14:paraId="22BF185C"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55</w:t>
            </w:r>
          </w:p>
        </w:tc>
        <w:tc>
          <w:tcPr>
            <w:tcW w:w="2162" w:type="dxa"/>
          </w:tcPr>
          <w:p w14:paraId="181634FA"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47</w:t>
            </w:r>
          </w:p>
        </w:tc>
      </w:tr>
      <w:tr w:rsidR="00C93E4C" w:rsidRPr="00C93E4C" w14:paraId="1B7E18D8" w14:textId="77777777" w:rsidTr="00F44331">
        <w:tc>
          <w:tcPr>
            <w:tcW w:w="2096" w:type="dxa"/>
          </w:tcPr>
          <w:p w14:paraId="08324D5B"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2022-23</w:t>
            </w:r>
          </w:p>
        </w:tc>
        <w:tc>
          <w:tcPr>
            <w:tcW w:w="2119" w:type="dxa"/>
          </w:tcPr>
          <w:p w14:paraId="0CCE444C"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71</w:t>
            </w:r>
          </w:p>
        </w:tc>
        <w:tc>
          <w:tcPr>
            <w:tcW w:w="2162" w:type="dxa"/>
          </w:tcPr>
          <w:p w14:paraId="601EDFD7"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68</w:t>
            </w:r>
          </w:p>
        </w:tc>
      </w:tr>
      <w:tr w:rsidR="00C93E4C" w:rsidRPr="00C93E4C" w14:paraId="6C9C8574" w14:textId="77777777" w:rsidTr="00F44331">
        <w:tc>
          <w:tcPr>
            <w:tcW w:w="2096" w:type="dxa"/>
          </w:tcPr>
          <w:p w14:paraId="4F8BD2DC"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2023-24</w:t>
            </w:r>
          </w:p>
        </w:tc>
        <w:tc>
          <w:tcPr>
            <w:tcW w:w="2119" w:type="dxa"/>
          </w:tcPr>
          <w:p w14:paraId="42252B32"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174</w:t>
            </w:r>
          </w:p>
        </w:tc>
        <w:tc>
          <w:tcPr>
            <w:tcW w:w="2162" w:type="dxa"/>
          </w:tcPr>
          <w:p w14:paraId="26F6FEDF"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172</w:t>
            </w:r>
          </w:p>
        </w:tc>
      </w:tr>
      <w:tr w:rsidR="00C93E4C" w:rsidRPr="00C93E4C" w14:paraId="7F8FA1E2" w14:textId="77777777" w:rsidTr="00F44331">
        <w:tc>
          <w:tcPr>
            <w:tcW w:w="2096" w:type="dxa"/>
          </w:tcPr>
          <w:p w14:paraId="4BB8A82E"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2024-25</w:t>
            </w:r>
          </w:p>
        </w:tc>
        <w:tc>
          <w:tcPr>
            <w:tcW w:w="2119" w:type="dxa"/>
          </w:tcPr>
          <w:p w14:paraId="0618BC10"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179</w:t>
            </w:r>
          </w:p>
        </w:tc>
        <w:tc>
          <w:tcPr>
            <w:tcW w:w="2162" w:type="dxa"/>
          </w:tcPr>
          <w:p w14:paraId="7DF372FF"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175</w:t>
            </w:r>
          </w:p>
        </w:tc>
      </w:tr>
    </w:tbl>
    <w:p w14:paraId="429E3B19" w14:textId="77777777" w:rsidR="00C93E4C" w:rsidRPr="00C93E4C" w:rsidRDefault="00C93E4C" w:rsidP="002F1CE6">
      <w:pPr>
        <w:spacing w:before="0" w:after="120" w:line="276" w:lineRule="auto"/>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 xml:space="preserve">The jump in referrals since 2023 reflects an increase in service capacity at York Women’s Centre and the start of when brief intervention support cases were included in the figures.  </w:t>
      </w:r>
    </w:p>
    <w:p w14:paraId="4B4E0466" w14:textId="77777777" w:rsidR="00C93E4C" w:rsidRPr="00C93E4C" w:rsidRDefault="00C93E4C" w:rsidP="00EB435A">
      <w:pPr>
        <w:pStyle w:val="Heading3"/>
        <w:rPr>
          <w:lang w:eastAsia="en-GB"/>
        </w:rPr>
      </w:pPr>
      <w:r w:rsidRPr="00C93E4C">
        <w:rPr>
          <w:lang w:eastAsia="en-GB"/>
        </w:rPr>
        <w:t xml:space="preserve">Between the </w:t>
      </w:r>
      <w:proofErr w:type="gramStart"/>
      <w:r w:rsidRPr="00C93E4C">
        <w:rPr>
          <w:lang w:eastAsia="en-GB"/>
        </w:rPr>
        <w:t>1</w:t>
      </w:r>
      <w:r w:rsidRPr="00C93E4C">
        <w:rPr>
          <w:vertAlign w:val="superscript"/>
          <w:lang w:eastAsia="en-GB"/>
        </w:rPr>
        <w:t>st</w:t>
      </w:r>
      <w:proofErr w:type="gramEnd"/>
      <w:r w:rsidRPr="00C93E4C">
        <w:rPr>
          <w:lang w:eastAsia="en-GB"/>
        </w:rPr>
        <w:t xml:space="preserve"> September 2025 and the </w:t>
      </w:r>
      <w:proofErr w:type="gramStart"/>
      <w:r w:rsidRPr="00C93E4C">
        <w:rPr>
          <w:lang w:eastAsia="en-GB"/>
        </w:rPr>
        <w:t>20</w:t>
      </w:r>
      <w:r w:rsidRPr="00C93E4C">
        <w:rPr>
          <w:vertAlign w:val="superscript"/>
          <w:lang w:eastAsia="en-GB"/>
        </w:rPr>
        <w:t>th</w:t>
      </w:r>
      <w:proofErr w:type="gramEnd"/>
      <w:r w:rsidRPr="00C93E4C">
        <w:rPr>
          <w:lang w:eastAsia="en-GB"/>
        </w:rPr>
        <w:t xml:space="preserve"> October 2025, 45 women have attended Scarborough Women’s Centre for brief intervention support, to attend drop-in sessions or see partner agencies. Seven of these women are now in receipt on one-to-one, longer-term support. </w:t>
      </w:r>
    </w:p>
    <w:p w14:paraId="0B0BA07D" w14:textId="77777777" w:rsidR="00C93E4C" w:rsidRPr="00C93E4C" w:rsidRDefault="00C93E4C" w:rsidP="00EB435A">
      <w:pPr>
        <w:pStyle w:val="Heading3"/>
        <w:rPr>
          <w:lang w:eastAsia="en-GB"/>
        </w:rPr>
      </w:pPr>
      <w:r w:rsidRPr="00C93E4C">
        <w:rPr>
          <w:lang w:eastAsia="en-GB"/>
        </w:rPr>
        <w:t>Scope and Specification</w:t>
      </w:r>
    </w:p>
    <w:p w14:paraId="5818904F" w14:textId="77777777" w:rsidR="00C93E4C" w:rsidRPr="00C93E4C" w:rsidRDefault="00C93E4C" w:rsidP="00EB435A">
      <w:pPr>
        <w:pStyle w:val="Heading3"/>
        <w:rPr>
          <w:b/>
          <w:bCs/>
          <w:sz w:val="26"/>
          <w:szCs w:val="26"/>
          <w:lang w:eastAsia="en-GB"/>
        </w:rPr>
      </w:pPr>
      <w:r w:rsidRPr="00C93E4C">
        <w:rPr>
          <w:lang w:val="en-US" w:eastAsia="en-GB"/>
        </w:rPr>
        <w:t xml:space="preserve">The provider will be responsible for the day-to-day management of two Women’s Centre’s – located in York &amp; Scarborough. </w:t>
      </w:r>
    </w:p>
    <w:p w14:paraId="416509AE" w14:textId="77777777" w:rsidR="00C93E4C" w:rsidRPr="00C93E4C" w:rsidRDefault="00C93E4C" w:rsidP="00EB435A">
      <w:pPr>
        <w:pStyle w:val="Heading3"/>
        <w:rPr>
          <w:b/>
          <w:bCs/>
          <w:sz w:val="26"/>
          <w:szCs w:val="26"/>
          <w:lang w:eastAsia="en-GB"/>
        </w:rPr>
      </w:pPr>
      <w:r w:rsidRPr="00C93E4C">
        <w:rPr>
          <w:lang w:eastAsia="en-GB"/>
        </w:rPr>
        <w:t>The Combined Authority are the tenants of these properties and are liable for rent and utility costs; a licence agreement will be in place between the Combined Authority and the provider.</w:t>
      </w:r>
    </w:p>
    <w:p w14:paraId="5C313007" w14:textId="77777777" w:rsidR="00C93E4C" w:rsidRPr="00C93E4C" w:rsidRDefault="00C93E4C" w:rsidP="00EB435A">
      <w:pPr>
        <w:pStyle w:val="Heading3"/>
        <w:rPr>
          <w:lang w:val="en-US" w:eastAsia="en-GB"/>
        </w:rPr>
      </w:pPr>
      <w:r w:rsidRPr="00C93E4C">
        <w:rPr>
          <w:lang w:val="en-US" w:eastAsia="en-GB"/>
        </w:rPr>
        <w:t xml:space="preserve">The Women’s Centre’s will be the ‘hubs’ of the service where holistic support can be delivered. </w:t>
      </w:r>
    </w:p>
    <w:p w14:paraId="660C51E2" w14:textId="77777777" w:rsidR="00C93E4C" w:rsidRPr="00C93E4C" w:rsidRDefault="00C93E4C" w:rsidP="00EB435A">
      <w:pPr>
        <w:pStyle w:val="Heading3"/>
        <w:rPr>
          <w:lang w:eastAsia="en-GB"/>
        </w:rPr>
      </w:pPr>
      <w:r w:rsidRPr="00C93E4C">
        <w:rPr>
          <w:lang w:eastAsia="en-GB"/>
        </w:rPr>
        <w:t>The centres are inclusive, welcoming, women-only environments which include bathroom, kitchen and laundry facilities and are a safe space where women can gather to seek support, develop peer networks and enjoy time in a non-judgemental, women-only space.</w:t>
      </w:r>
      <w:bookmarkStart w:id="47" w:name="_Toc407952880"/>
      <w:bookmarkStart w:id="48" w:name="_Toc407952947"/>
      <w:bookmarkStart w:id="49" w:name="_Toc407953043"/>
      <w:bookmarkStart w:id="50" w:name="_Toc407953330"/>
      <w:bookmarkStart w:id="51" w:name="_Toc407953380"/>
      <w:bookmarkStart w:id="52" w:name="_Toc407964730"/>
      <w:bookmarkStart w:id="53" w:name="_Toc407966869"/>
      <w:bookmarkStart w:id="54" w:name="_Toc407971502"/>
      <w:bookmarkStart w:id="55" w:name="_Toc407977203"/>
      <w:bookmarkStart w:id="56" w:name="_Toc407977284"/>
      <w:bookmarkStart w:id="57" w:name="_Toc408218524"/>
      <w:bookmarkStart w:id="58" w:name="_Toc407952881"/>
      <w:bookmarkStart w:id="59" w:name="_Toc407952948"/>
      <w:bookmarkStart w:id="60" w:name="_Toc407953044"/>
      <w:bookmarkStart w:id="61" w:name="_Toc407953331"/>
      <w:bookmarkStart w:id="62" w:name="_Toc407953381"/>
      <w:bookmarkStart w:id="63" w:name="_Toc407964731"/>
      <w:bookmarkStart w:id="64" w:name="_Toc407966870"/>
      <w:bookmarkStart w:id="65" w:name="_Toc407971503"/>
      <w:bookmarkStart w:id="66" w:name="_Toc407977204"/>
      <w:bookmarkStart w:id="67" w:name="_Toc407977285"/>
      <w:bookmarkStart w:id="68" w:name="_Toc408218525"/>
      <w:bookmarkStart w:id="69" w:name="_Toc407952882"/>
      <w:bookmarkStart w:id="70" w:name="_Toc407952949"/>
      <w:bookmarkStart w:id="71" w:name="_Toc407953045"/>
      <w:bookmarkStart w:id="72" w:name="_Toc407953332"/>
      <w:bookmarkStart w:id="73" w:name="_Toc407953382"/>
      <w:bookmarkStart w:id="74" w:name="_Toc407964732"/>
      <w:bookmarkStart w:id="75" w:name="_Toc407966871"/>
      <w:bookmarkStart w:id="76" w:name="_Toc407971504"/>
      <w:bookmarkStart w:id="77" w:name="_Toc407977205"/>
      <w:bookmarkStart w:id="78" w:name="_Toc407977286"/>
      <w:bookmarkStart w:id="79" w:name="_Toc408218526"/>
      <w:bookmarkStart w:id="80" w:name="_Toc407952883"/>
      <w:bookmarkStart w:id="81" w:name="_Toc407952950"/>
      <w:bookmarkStart w:id="82" w:name="_Toc407953046"/>
      <w:bookmarkStart w:id="83" w:name="_Toc407953333"/>
      <w:bookmarkStart w:id="84" w:name="_Toc407953383"/>
      <w:bookmarkStart w:id="85" w:name="_Toc407964733"/>
      <w:bookmarkStart w:id="86" w:name="_Toc407966872"/>
      <w:bookmarkStart w:id="87" w:name="_Toc407971505"/>
      <w:bookmarkStart w:id="88" w:name="_Toc407977206"/>
      <w:bookmarkStart w:id="89" w:name="_Toc407977287"/>
      <w:bookmarkStart w:id="90" w:name="_Toc408218527"/>
      <w:bookmarkStart w:id="91" w:name="_Toc407952884"/>
      <w:bookmarkStart w:id="92" w:name="_Toc407952951"/>
      <w:bookmarkStart w:id="93" w:name="_Toc407953047"/>
      <w:bookmarkStart w:id="94" w:name="_Toc407953334"/>
      <w:bookmarkStart w:id="95" w:name="_Toc407953384"/>
      <w:bookmarkStart w:id="96" w:name="_Toc407964734"/>
      <w:bookmarkStart w:id="97" w:name="_Toc407966873"/>
      <w:bookmarkStart w:id="98" w:name="_Toc407971506"/>
      <w:bookmarkStart w:id="99" w:name="_Toc407977207"/>
      <w:bookmarkStart w:id="100" w:name="_Toc407977288"/>
      <w:bookmarkStart w:id="101" w:name="_Toc408218528"/>
      <w:bookmarkStart w:id="102" w:name="_Toc407952885"/>
      <w:bookmarkStart w:id="103" w:name="_Toc407952952"/>
      <w:bookmarkStart w:id="104" w:name="_Toc407953048"/>
      <w:bookmarkStart w:id="105" w:name="_Toc407953335"/>
      <w:bookmarkStart w:id="106" w:name="_Toc407953385"/>
      <w:bookmarkStart w:id="107" w:name="_Toc407964735"/>
      <w:bookmarkStart w:id="108" w:name="_Toc407966874"/>
      <w:bookmarkStart w:id="109" w:name="_Toc407971507"/>
      <w:bookmarkStart w:id="110" w:name="_Toc407977208"/>
      <w:bookmarkStart w:id="111" w:name="_Toc407977289"/>
      <w:bookmarkStart w:id="112" w:name="_Toc40821852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1AE4709" w14:textId="77777777" w:rsidR="00C93E4C" w:rsidRPr="00C93E4C" w:rsidRDefault="00C93E4C" w:rsidP="00EB435A">
      <w:pPr>
        <w:pStyle w:val="Heading3"/>
        <w:rPr>
          <w:b/>
        </w:rPr>
      </w:pPr>
      <w:bookmarkStart w:id="113" w:name="_Ref525902847"/>
      <w:r w:rsidRPr="00C93E4C">
        <w:t>The aims of the Women Centres are to:</w:t>
      </w:r>
      <w:bookmarkEnd w:id="113"/>
    </w:p>
    <w:p w14:paraId="15E7E862" w14:textId="77777777" w:rsidR="00C93E4C" w:rsidRPr="00C93E4C" w:rsidRDefault="00C93E4C" w:rsidP="00C57D7C">
      <w:pPr>
        <w:numPr>
          <w:ilvl w:val="0"/>
          <w:numId w:val="92"/>
        </w:numPr>
        <w:spacing w:before="0" w:after="120" w:line="276" w:lineRule="auto"/>
        <w:jc w:val="both"/>
        <w:rPr>
          <w:rFonts w:eastAsia="Times New Roman" w:cs="Arial"/>
          <w:b/>
          <w:kern w:val="0"/>
          <w14:ligatures w14:val="none"/>
        </w:rPr>
      </w:pPr>
      <w:r w:rsidRPr="00C93E4C">
        <w:rPr>
          <w:rFonts w:eastAsia="Times New Roman" w:cs="Arial"/>
          <w:bCs/>
          <w:kern w:val="0"/>
          <w14:ligatures w14:val="none"/>
        </w:rPr>
        <w:t>Serve as a ‘one-stop shops’ where a range of support services can be accessed under one roof</w:t>
      </w:r>
    </w:p>
    <w:p w14:paraId="7CCAAF59" w14:textId="77777777" w:rsidR="00C93E4C" w:rsidRPr="00C93E4C" w:rsidRDefault="00C93E4C" w:rsidP="00C57D7C">
      <w:pPr>
        <w:numPr>
          <w:ilvl w:val="0"/>
          <w:numId w:val="92"/>
        </w:numPr>
        <w:spacing w:before="0" w:after="120" w:line="276" w:lineRule="auto"/>
        <w:jc w:val="both"/>
        <w:rPr>
          <w:rFonts w:eastAsia="Times New Roman" w:cs="Arial"/>
          <w:b/>
          <w:kern w:val="0"/>
          <w14:ligatures w14:val="none"/>
        </w:rPr>
      </w:pPr>
      <w:r w:rsidRPr="00C93E4C">
        <w:rPr>
          <w:rFonts w:eastAsia="Times New Roman" w:cs="Arial"/>
          <w:bCs/>
          <w:kern w:val="0"/>
          <w14:ligatures w14:val="none"/>
        </w:rPr>
        <w:t>Provide non-judgemental, women-centred, trauma-informed care</w:t>
      </w:r>
    </w:p>
    <w:p w14:paraId="06B5DF93" w14:textId="77777777" w:rsidR="00C93E4C" w:rsidRPr="00C93E4C" w:rsidRDefault="00C93E4C" w:rsidP="00C57D7C">
      <w:pPr>
        <w:numPr>
          <w:ilvl w:val="0"/>
          <w:numId w:val="92"/>
        </w:numPr>
        <w:spacing w:before="0" w:after="120" w:line="276" w:lineRule="auto"/>
        <w:jc w:val="both"/>
        <w:rPr>
          <w:rFonts w:eastAsia="Times New Roman" w:cs="Arial"/>
          <w:b/>
          <w:kern w:val="0"/>
          <w14:ligatures w14:val="none"/>
        </w:rPr>
      </w:pPr>
      <w:r w:rsidRPr="00C93E4C">
        <w:rPr>
          <w:rFonts w:eastAsia="Times New Roman" w:cs="Arial"/>
          <w:bCs/>
          <w:kern w:val="0"/>
          <w14:ligatures w14:val="none"/>
        </w:rPr>
        <w:t>Provide support to address root causes that can lead women to come into contact with the CJS, such as trauma, abuse, mental health and substance use issues</w:t>
      </w:r>
    </w:p>
    <w:p w14:paraId="0A4EAFCC" w14:textId="77777777" w:rsidR="00C93E4C" w:rsidRPr="00C93E4C" w:rsidRDefault="00C93E4C" w:rsidP="00C57D7C">
      <w:pPr>
        <w:numPr>
          <w:ilvl w:val="0"/>
          <w:numId w:val="92"/>
        </w:numPr>
        <w:spacing w:before="0" w:after="120" w:line="276" w:lineRule="auto"/>
        <w:jc w:val="both"/>
        <w:rPr>
          <w:rFonts w:eastAsia="Times New Roman" w:cs="Arial"/>
          <w:b/>
          <w:kern w:val="0"/>
          <w14:ligatures w14:val="none"/>
        </w:rPr>
      </w:pPr>
      <w:r w:rsidRPr="00C93E4C">
        <w:rPr>
          <w:rFonts w:eastAsia="Times New Roman" w:cs="Arial"/>
          <w:bCs/>
          <w:kern w:val="0"/>
          <w14:ligatures w14:val="none"/>
        </w:rPr>
        <w:t xml:space="preserve">Bridge any gaps that statutory services may not have the time or specialism to focus on the unique needs of women </w:t>
      </w:r>
    </w:p>
    <w:p w14:paraId="07BACABA" w14:textId="77777777" w:rsidR="00C93E4C" w:rsidRPr="00C93E4C" w:rsidRDefault="00C93E4C" w:rsidP="00EB435A">
      <w:pPr>
        <w:pStyle w:val="Heading3"/>
        <w:rPr>
          <w:lang w:eastAsia="en-GB"/>
        </w:rPr>
      </w:pPr>
      <w:r w:rsidRPr="00C93E4C">
        <w:rPr>
          <w:lang w:eastAsia="en-GB"/>
        </w:rPr>
        <w:lastRenderedPageBreak/>
        <w:t>The Service will offer as a minimum:</w:t>
      </w:r>
    </w:p>
    <w:p w14:paraId="23FFFC17" w14:textId="77777777" w:rsidR="00C93E4C" w:rsidRPr="00C93E4C" w:rsidRDefault="00C93E4C" w:rsidP="00C57D7C">
      <w:pPr>
        <w:numPr>
          <w:ilvl w:val="0"/>
          <w:numId w:val="94"/>
        </w:numPr>
        <w:autoSpaceDE w:val="0"/>
        <w:autoSpaceDN w:val="0"/>
        <w:adjustRightInd w:val="0"/>
        <w:spacing w:before="0" w:after="120" w:line="276" w:lineRule="auto"/>
        <w:jc w:val="both"/>
        <w:rPr>
          <w:rFonts w:eastAsia="Times New Roman" w:cs="Arial"/>
          <w:kern w:val="0"/>
          <w:lang w:eastAsia="en-GB"/>
          <w14:ligatures w14:val="none"/>
        </w:rPr>
      </w:pPr>
      <w:r w:rsidRPr="00C93E4C">
        <w:rPr>
          <w:rFonts w:eastAsia="Times New Roman" w:cs="Arial"/>
          <w:kern w:val="0"/>
          <w14:ligatures w14:val="none"/>
        </w:rPr>
        <w:t>One-to-one emotional and practical support</w:t>
      </w:r>
    </w:p>
    <w:p w14:paraId="2E76D2E0" w14:textId="77777777" w:rsidR="00C93E4C" w:rsidRPr="00C93E4C" w:rsidRDefault="00C93E4C" w:rsidP="00C57D7C">
      <w:pPr>
        <w:numPr>
          <w:ilvl w:val="0"/>
          <w:numId w:val="93"/>
        </w:numPr>
        <w:autoSpaceDE w:val="0"/>
        <w:autoSpaceDN w:val="0"/>
        <w:adjustRightInd w:val="0"/>
        <w:spacing w:before="0" w:after="120" w:line="276" w:lineRule="auto"/>
        <w:jc w:val="both"/>
        <w:rPr>
          <w:rFonts w:eastAsia="Times New Roman" w:cs="Arial"/>
          <w:kern w:val="0"/>
          <w:lang w:eastAsia="en-GB"/>
          <w14:ligatures w14:val="none"/>
        </w:rPr>
      </w:pPr>
      <w:r w:rsidRPr="00C93E4C">
        <w:rPr>
          <w:rFonts w:eastAsia="Times New Roman" w:cs="Arial"/>
          <w:kern w:val="0"/>
          <w:lang w:eastAsia="en-GB"/>
          <w14:ligatures w14:val="none"/>
        </w:rPr>
        <w:t>Brief Intervention support</w:t>
      </w:r>
    </w:p>
    <w:p w14:paraId="1F84B105" w14:textId="77777777" w:rsidR="00C93E4C" w:rsidRPr="00C93E4C" w:rsidRDefault="00C93E4C" w:rsidP="00C57D7C">
      <w:pPr>
        <w:numPr>
          <w:ilvl w:val="0"/>
          <w:numId w:val="93"/>
        </w:numPr>
        <w:autoSpaceDE w:val="0"/>
        <w:autoSpaceDN w:val="0"/>
        <w:adjustRightInd w:val="0"/>
        <w:spacing w:before="0" w:after="120" w:line="276" w:lineRule="auto"/>
        <w:jc w:val="both"/>
        <w:rPr>
          <w:rFonts w:eastAsia="Times New Roman" w:cs="Arial"/>
          <w:kern w:val="0"/>
          <w:lang w:eastAsia="en-GB"/>
          <w14:ligatures w14:val="none"/>
        </w:rPr>
      </w:pPr>
      <w:r w:rsidRPr="00C93E4C">
        <w:rPr>
          <w:rFonts w:eastAsia="Times New Roman" w:cs="Arial"/>
          <w:kern w:val="0"/>
          <w:lang w:eastAsia="en-GB"/>
          <w14:ligatures w14:val="none"/>
        </w:rPr>
        <w:t>Holistic, longer-term support</w:t>
      </w:r>
    </w:p>
    <w:p w14:paraId="4087D7E5" w14:textId="77777777" w:rsidR="00C93E4C" w:rsidRPr="00C93E4C" w:rsidRDefault="00C93E4C" w:rsidP="00C57D7C">
      <w:pPr>
        <w:numPr>
          <w:ilvl w:val="0"/>
          <w:numId w:val="93"/>
        </w:numPr>
        <w:spacing w:before="0" w:after="120" w:line="276" w:lineRule="auto"/>
        <w:jc w:val="both"/>
        <w:rPr>
          <w:rFonts w:eastAsia="Times New Roman" w:cs="Arial"/>
          <w:kern w:val="0"/>
          <w14:ligatures w14:val="none"/>
        </w:rPr>
      </w:pPr>
      <w:r w:rsidRPr="00C93E4C">
        <w:rPr>
          <w:rFonts w:eastAsia="Times New Roman" w:cs="Arial"/>
          <w:kern w:val="0"/>
          <w14:ligatures w14:val="none"/>
        </w:rPr>
        <w:t xml:space="preserve">Supported group work </w:t>
      </w:r>
    </w:p>
    <w:p w14:paraId="3672462E" w14:textId="77777777" w:rsidR="00C93E4C" w:rsidRPr="00C93E4C" w:rsidRDefault="00C93E4C" w:rsidP="00C57D7C">
      <w:pPr>
        <w:numPr>
          <w:ilvl w:val="0"/>
          <w:numId w:val="93"/>
        </w:numPr>
        <w:spacing w:before="0" w:after="120" w:line="276" w:lineRule="auto"/>
        <w:jc w:val="both"/>
        <w:rPr>
          <w:rFonts w:eastAsia="Times New Roman" w:cs="Arial"/>
          <w:kern w:val="0"/>
          <w14:ligatures w14:val="none"/>
        </w:rPr>
      </w:pPr>
      <w:r w:rsidRPr="00C93E4C">
        <w:rPr>
          <w:rFonts w:eastAsia="Times New Roman" w:cs="Arial"/>
          <w:kern w:val="0"/>
          <w14:ligatures w14:val="none"/>
        </w:rPr>
        <w:t>Peer support networks</w:t>
      </w:r>
    </w:p>
    <w:p w14:paraId="58FB3251" w14:textId="77777777" w:rsidR="00C93E4C" w:rsidRPr="00C93E4C" w:rsidRDefault="00C93E4C" w:rsidP="00C57D7C">
      <w:pPr>
        <w:numPr>
          <w:ilvl w:val="0"/>
          <w:numId w:val="93"/>
        </w:numPr>
        <w:spacing w:before="0" w:after="120" w:line="276" w:lineRule="auto"/>
        <w:jc w:val="both"/>
        <w:rPr>
          <w:rFonts w:eastAsia="Times New Roman" w:cs="Arial"/>
          <w:kern w:val="0"/>
          <w14:ligatures w14:val="none"/>
        </w:rPr>
      </w:pPr>
      <w:r w:rsidRPr="00C93E4C">
        <w:rPr>
          <w:rFonts w:eastAsia="Times New Roman" w:cs="Arial"/>
          <w:kern w:val="0"/>
          <w14:ligatures w14:val="none"/>
        </w:rPr>
        <w:t>Onward referrals and/or liaison with other agencies and support services as appropriate</w:t>
      </w:r>
    </w:p>
    <w:p w14:paraId="37C644F0" w14:textId="77777777" w:rsidR="00C93E4C" w:rsidRPr="00C93E4C" w:rsidRDefault="00C93E4C" w:rsidP="00C57D7C">
      <w:pPr>
        <w:numPr>
          <w:ilvl w:val="0"/>
          <w:numId w:val="93"/>
        </w:numPr>
        <w:spacing w:before="0" w:after="120" w:line="276" w:lineRule="auto"/>
        <w:jc w:val="both"/>
        <w:rPr>
          <w:rFonts w:eastAsia="Times New Roman" w:cs="Arial"/>
          <w:kern w:val="0"/>
          <w14:ligatures w14:val="none"/>
        </w:rPr>
      </w:pPr>
      <w:r w:rsidRPr="00C93E4C">
        <w:rPr>
          <w:rFonts w:eastAsia="Times New Roman" w:cs="Arial"/>
          <w:kern w:val="0"/>
          <w14:ligatures w14:val="none"/>
        </w:rPr>
        <w:t>Drop-in sessions where no appointments are required to include activities led by the women’s interests</w:t>
      </w:r>
    </w:p>
    <w:p w14:paraId="4C4F7A29" w14:textId="717D91CC" w:rsidR="00C93E4C" w:rsidRPr="00C93E4C" w:rsidRDefault="00C93E4C" w:rsidP="00EB435A">
      <w:pPr>
        <w:pStyle w:val="Heading3"/>
        <w:rPr>
          <w:lang w:eastAsia="en-GB"/>
        </w:rPr>
      </w:pPr>
      <w:r w:rsidRPr="00C93E4C">
        <w:rPr>
          <w:lang w:eastAsia="en-GB"/>
        </w:rPr>
        <w:t>In order to create a ‘one-stop shop’ environment colocation of partners at the Women’s Centres will be necessary. The provider will be expected to liaise with partner agencies to ensure that services including Health, Probation, ETE, Drug &amp; Alcohol, Mental Health and Finance should use the centres to see women, run groups and clinics so that women can access support from a range of services in one location. Hot-desking</w:t>
      </w:r>
      <w:r w:rsidR="00B625FA">
        <w:rPr>
          <w:lang w:eastAsia="en-GB"/>
        </w:rPr>
        <w:t xml:space="preserve"> for partners</w:t>
      </w:r>
      <w:r w:rsidRPr="00C93E4C">
        <w:rPr>
          <w:lang w:eastAsia="en-GB"/>
        </w:rPr>
        <w:t xml:space="preserve"> is available at the centres</w:t>
      </w:r>
      <w:r w:rsidR="00B625FA">
        <w:rPr>
          <w:lang w:eastAsia="en-GB"/>
        </w:rPr>
        <w:t>.</w:t>
      </w:r>
    </w:p>
    <w:p w14:paraId="200E61F8" w14:textId="77777777" w:rsidR="00C93E4C" w:rsidRPr="00C93E4C" w:rsidRDefault="00C93E4C" w:rsidP="00EB435A">
      <w:pPr>
        <w:pStyle w:val="Heading3"/>
        <w:rPr>
          <w:lang w:eastAsia="en-GB"/>
        </w:rPr>
      </w:pPr>
      <w:r w:rsidRPr="00C93E4C">
        <w:rPr>
          <w:lang w:eastAsia="en-GB"/>
        </w:rPr>
        <w:t>Risk assessments of women using the centre may be required.</w:t>
      </w:r>
    </w:p>
    <w:p w14:paraId="62D13039" w14:textId="77777777" w:rsidR="00C93E4C" w:rsidRPr="00C93E4C" w:rsidRDefault="00C93E4C" w:rsidP="00EB435A">
      <w:pPr>
        <w:pStyle w:val="Heading3"/>
        <w:rPr>
          <w:lang w:eastAsia="en-GB"/>
        </w:rPr>
      </w:pPr>
      <w:r w:rsidRPr="00C93E4C">
        <w:rPr>
          <w:lang w:eastAsia="en-GB"/>
        </w:rPr>
        <w:t xml:space="preserve">Minimum staffing levels at the centres will need to be applied to ensure safety. </w:t>
      </w:r>
    </w:p>
    <w:p w14:paraId="0E33DF57" w14:textId="77777777" w:rsidR="00C93E4C" w:rsidRPr="00C93E4C" w:rsidRDefault="00C93E4C" w:rsidP="00EB435A">
      <w:pPr>
        <w:pStyle w:val="Heading3"/>
        <w:rPr>
          <w:lang w:eastAsia="en-GB"/>
        </w:rPr>
      </w:pPr>
      <w:r w:rsidRPr="00C93E4C">
        <w:rPr>
          <w:lang w:eastAsia="en-GB"/>
        </w:rPr>
        <w:t>Consideration should be given to evening/weekend support.</w:t>
      </w:r>
    </w:p>
    <w:p w14:paraId="770BBDE8" w14:textId="5331901F" w:rsidR="00C93E4C" w:rsidRPr="00C93E4C" w:rsidRDefault="00C93E4C" w:rsidP="00EB435A">
      <w:pPr>
        <w:pStyle w:val="Heading3"/>
        <w:rPr>
          <w:lang w:eastAsia="en-GB"/>
        </w:rPr>
      </w:pPr>
      <w:r w:rsidRPr="00C93E4C">
        <w:rPr>
          <w:lang w:eastAsia="en-GB"/>
        </w:rPr>
        <w:t xml:space="preserve">The centres will act as a safe space for disclosures – one-to-one rooms should be </w:t>
      </w:r>
      <w:r w:rsidR="00B625FA">
        <w:rPr>
          <w:lang w:eastAsia="en-GB"/>
        </w:rPr>
        <w:t>made</w:t>
      </w:r>
      <w:r w:rsidRPr="00C93E4C">
        <w:rPr>
          <w:lang w:eastAsia="en-GB"/>
        </w:rPr>
        <w:t xml:space="preserve"> available</w:t>
      </w:r>
      <w:r w:rsidR="00B625FA">
        <w:rPr>
          <w:lang w:eastAsia="en-GB"/>
        </w:rPr>
        <w:t xml:space="preserve"> for this</w:t>
      </w:r>
      <w:r w:rsidRPr="00C93E4C">
        <w:rPr>
          <w:lang w:eastAsia="en-GB"/>
        </w:rPr>
        <w:t>.</w:t>
      </w:r>
    </w:p>
    <w:p w14:paraId="18815B0E" w14:textId="77777777" w:rsidR="00C93E4C" w:rsidRPr="00C93E4C" w:rsidRDefault="00C93E4C" w:rsidP="002A7FCC">
      <w:pPr>
        <w:pStyle w:val="Heading3"/>
        <w:rPr>
          <w:lang w:eastAsia="en-GB"/>
        </w:rPr>
      </w:pPr>
      <w:r w:rsidRPr="00C93E4C">
        <w:rPr>
          <w:lang w:eastAsia="en-GB"/>
        </w:rPr>
        <w:t>Referrals and Initial Contact</w:t>
      </w:r>
    </w:p>
    <w:p w14:paraId="358EDF9C" w14:textId="77777777" w:rsidR="00C93E4C" w:rsidRPr="00C93E4C" w:rsidRDefault="00C93E4C" w:rsidP="002A7FCC">
      <w:pPr>
        <w:pStyle w:val="Heading3"/>
      </w:pPr>
      <w:r w:rsidRPr="00C93E4C">
        <w:t xml:space="preserve">Any agency can refer into the Women’s Centres. This will include but not limited to Adult and Children's Social Care; Health, including GPs and Mental Health Services; Probation, Police and voluntary sector agencies. </w:t>
      </w:r>
    </w:p>
    <w:p w14:paraId="45252E00" w14:textId="77777777" w:rsidR="00C93E4C" w:rsidRPr="00C93E4C" w:rsidRDefault="00C93E4C" w:rsidP="002A7FCC">
      <w:pPr>
        <w:pStyle w:val="Heading3"/>
      </w:pPr>
      <w:r w:rsidRPr="00C93E4C">
        <w:t xml:space="preserve">Self-referrals should also be encouraged, and the provider will ensure that appropriate pathways are in place to enable women to refer themselves directly into the service. </w:t>
      </w:r>
    </w:p>
    <w:p w14:paraId="3E629708" w14:textId="1EE9DD22" w:rsidR="00C93E4C" w:rsidRPr="00C93E4C" w:rsidRDefault="00C93E4C" w:rsidP="002A7FCC">
      <w:pPr>
        <w:pStyle w:val="Heading3"/>
      </w:pPr>
      <w:r w:rsidRPr="00C93E4C">
        <w:t>Upon receipt of an eligible referral, the provider will ensure 90% of women are contacted within 72 working hours (</w:t>
      </w:r>
      <w:r w:rsidRPr="00BD63A0">
        <w:t>see KPIs at 8.2</w:t>
      </w:r>
      <w:r w:rsidR="00BD63A0" w:rsidRPr="00BD63A0">
        <w:t>5</w:t>
      </w:r>
      <w:r w:rsidRPr="00C93E4C">
        <w:t>) - if the Provider fails to meet this objective in relation to a specific referral, the Referral Agency must be contacted within 12 working hours of the time lapse to explain the action taken to achieve this objective and why contact has not been made; the provider must also confirm the actual timescales when contact has been attempted for these specific referrals.</w:t>
      </w:r>
    </w:p>
    <w:p w14:paraId="6748F05C" w14:textId="77777777" w:rsidR="00C93E4C" w:rsidRPr="00C93E4C" w:rsidRDefault="00C93E4C" w:rsidP="002A7FCC">
      <w:pPr>
        <w:pStyle w:val="Heading3"/>
      </w:pPr>
      <w:r w:rsidRPr="00C93E4C">
        <w:t>Specific KPIs for the Women’s Centre service</w:t>
      </w:r>
    </w:p>
    <w:p w14:paraId="7439ED2F" w14:textId="77777777" w:rsidR="00C93E4C" w:rsidRPr="00C93E4C" w:rsidRDefault="00C93E4C" w:rsidP="00C57D7C">
      <w:pPr>
        <w:numPr>
          <w:ilvl w:val="0"/>
          <w:numId w:val="99"/>
        </w:numPr>
        <w:suppressAutoHyphens/>
        <w:spacing w:before="0" w:after="120" w:line="276" w:lineRule="auto"/>
        <w:jc w:val="both"/>
        <w:rPr>
          <w:rFonts w:eastAsia="Times New Roman" w:cs="Arial"/>
          <w:kern w:val="0"/>
          <w14:ligatures w14:val="none"/>
        </w:rPr>
      </w:pPr>
      <w:r w:rsidRPr="00DB1531">
        <w:rPr>
          <w:rFonts w:eastAsia="Times New Roman" w:cs="Arial"/>
          <w:b/>
          <w:bCs/>
          <w:kern w:val="0"/>
          <w14:ligatures w14:val="none"/>
        </w:rPr>
        <w:t>KPI 14</w:t>
      </w:r>
      <w:r w:rsidRPr="00C93E4C">
        <w:rPr>
          <w:rFonts w:eastAsia="Arial" w:cs="Arial"/>
          <w:kern w:val="0"/>
          <w:lang w:eastAsia="en-GB"/>
          <w14:ligatures w14:val="none"/>
        </w:rPr>
        <w:t xml:space="preserve"> – 100% of contacts, interactions and interventions (brief interventions, drop-ins, group work, use of facilities etc) are recorded on the CMS</w:t>
      </w:r>
    </w:p>
    <w:p w14:paraId="6D4D1643" w14:textId="77777777" w:rsidR="00C93E4C" w:rsidRPr="00C93E4C" w:rsidRDefault="00C93E4C" w:rsidP="00C57D7C">
      <w:pPr>
        <w:numPr>
          <w:ilvl w:val="0"/>
          <w:numId w:val="98"/>
        </w:numPr>
        <w:suppressAutoHyphens/>
        <w:spacing w:before="0" w:after="120" w:line="276" w:lineRule="auto"/>
        <w:jc w:val="both"/>
        <w:rPr>
          <w:rFonts w:eastAsia="Times New Roman" w:cs="Arial"/>
          <w:kern w:val="0"/>
          <w14:ligatures w14:val="none"/>
        </w:rPr>
      </w:pPr>
      <w:r w:rsidRPr="00DB1531">
        <w:rPr>
          <w:rFonts w:eastAsia="Times New Roman" w:cs="Arial"/>
          <w:b/>
          <w:bCs/>
          <w:kern w:val="0"/>
          <w14:ligatures w14:val="none"/>
        </w:rPr>
        <w:t>KPI 15</w:t>
      </w:r>
      <w:r w:rsidRPr="00C93E4C">
        <w:rPr>
          <w:rFonts w:eastAsia="Times New Roman" w:cs="Arial"/>
          <w:kern w:val="0"/>
          <w14:ligatures w14:val="none"/>
        </w:rPr>
        <w:t xml:space="preserve"> - </w:t>
      </w:r>
      <w:r w:rsidRPr="00C93E4C">
        <w:rPr>
          <w:rFonts w:eastAsia="Times New Roman" w:cs="Arial"/>
          <w:kern w:val="0"/>
          <w:lang w:eastAsia="en-GB"/>
          <w14:ligatures w14:val="none"/>
        </w:rPr>
        <w:t>90% of those who receive Brief Intervention only, feel that their needs have been met by the service</w:t>
      </w:r>
    </w:p>
    <w:p w14:paraId="415C01A6" w14:textId="77777777" w:rsidR="00C93E4C" w:rsidRPr="00C93E4C" w:rsidRDefault="00C93E4C" w:rsidP="00C93E4C">
      <w:pPr>
        <w:spacing w:after="120" w:line="276" w:lineRule="auto"/>
        <w:jc w:val="both"/>
        <w:rPr>
          <w:rFonts w:ascii="Calibri" w:eastAsia="Times New Roman" w:hAnsi="Calibri" w:cs="Times New Roman"/>
          <w:b/>
          <w:bCs/>
          <w:kern w:val="0"/>
          <w:szCs w:val="24"/>
          <w:lang w:eastAsia="en-GB"/>
          <w14:ligatures w14:val="none"/>
        </w:rPr>
      </w:pPr>
    </w:p>
    <w:p w14:paraId="01B81A25" w14:textId="77777777" w:rsidR="00C93E4C" w:rsidRPr="00C93E4C" w:rsidRDefault="00C93E4C" w:rsidP="00E53ACC">
      <w:pPr>
        <w:pStyle w:val="Heading2"/>
      </w:pPr>
      <w:r w:rsidRPr="00C93E4C">
        <w:lastRenderedPageBreak/>
        <w:t>Criminal Justice Support</w:t>
      </w:r>
    </w:p>
    <w:p w14:paraId="0ECFB2F2" w14:textId="77777777" w:rsidR="00C93E4C" w:rsidRPr="002A7FCC" w:rsidRDefault="00C93E4C" w:rsidP="00C57D7C">
      <w:pPr>
        <w:pStyle w:val="Heading3"/>
        <w:numPr>
          <w:ilvl w:val="2"/>
          <w:numId w:val="102"/>
        </w:numPr>
        <w:rPr>
          <w:b/>
          <w:bCs/>
          <w:lang w:eastAsia="en-GB"/>
        </w:rPr>
      </w:pPr>
      <w:r w:rsidRPr="00C93E4C">
        <w:rPr>
          <w:lang w:eastAsia="en-GB"/>
        </w:rPr>
        <w:t>Since May 2021, there has been a gender-specific diversion scheme available to women in York and North Yorkshire, known as the Crossroads Diversion scheme. Crossroads addresses the distinct needs of women at risk or involved with the CJS by ensuring that emphasis is placed on responding to the woman as an individual, rather than solely on the offence that has been committed.</w:t>
      </w:r>
    </w:p>
    <w:p w14:paraId="5110958E" w14:textId="77777777" w:rsidR="00C93E4C" w:rsidRPr="00C93E4C" w:rsidRDefault="00C93E4C" w:rsidP="002A7FCC">
      <w:pPr>
        <w:pStyle w:val="Heading3"/>
        <w:rPr>
          <w:b/>
          <w:bCs/>
          <w:lang w:eastAsia="en-GB"/>
        </w:rPr>
      </w:pPr>
      <w:r w:rsidRPr="00C93E4C">
        <w:rPr>
          <w:lang w:eastAsia="en-GB"/>
        </w:rPr>
        <w:t xml:space="preserve">Each woman has an assessment of need across the criminogenic pathways and is offered support based on the outcome of the assessment, to address the root causes of offending or risks of offending. </w:t>
      </w:r>
    </w:p>
    <w:p w14:paraId="04463671" w14:textId="77777777" w:rsidR="00C93E4C" w:rsidRPr="00C93E4C" w:rsidRDefault="00C93E4C" w:rsidP="002A7FCC">
      <w:pPr>
        <w:pStyle w:val="Heading3"/>
        <w:rPr>
          <w:lang w:eastAsia="en-GB"/>
        </w:rPr>
      </w:pPr>
      <w:r w:rsidRPr="00C93E4C">
        <w:rPr>
          <w:lang w:eastAsia="en-GB"/>
        </w:rPr>
        <w:t>The service will offer criminogenic support to women who may be at risk of or involved with the Criminal Justice System. In Phase 1 this will involve the following:</w:t>
      </w:r>
    </w:p>
    <w:p w14:paraId="14A335F7" w14:textId="77777777" w:rsidR="00C93E4C" w:rsidRPr="00C93E4C" w:rsidRDefault="00C93E4C" w:rsidP="00C57D7C">
      <w:pPr>
        <w:numPr>
          <w:ilvl w:val="3"/>
          <w:numId w:val="15"/>
        </w:numPr>
        <w:spacing w:before="0" w:after="120" w:line="276" w:lineRule="auto"/>
        <w:ind w:left="864" w:hanging="864"/>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Community-based support to adult women, offered on a voluntary basis, to women who may be at risk of entering the CJS, be involved with the CJS or to women whose probation supervision has ended but who are still in need of support</w:t>
      </w:r>
    </w:p>
    <w:p w14:paraId="5459FEF3" w14:textId="77777777" w:rsidR="00C93E4C" w:rsidRPr="00C93E4C" w:rsidRDefault="00C93E4C" w:rsidP="00C57D7C">
      <w:pPr>
        <w:numPr>
          <w:ilvl w:val="3"/>
          <w:numId w:val="15"/>
        </w:numPr>
        <w:spacing w:before="0" w:after="120" w:line="276" w:lineRule="auto"/>
        <w:ind w:left="864" w:hanging="864"/>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A mandated Out of Court Resolution (</w:t>
      </w:r>
      <w:proofErr w:type="spellStart"/>
      <w:r w:rsidRPr="00C93E4C">
        <w:rPr>
          <w:rFonts w:eastAsia="Times New Roman" w:cs="Arial"/>
          <w:kern w:val="0"/>
          <w:szCs w:val="24"/>
          <w:lang w:eastAsia="en-GB"/>
          <w14:ligatures w14:val="none"/>
        </w:rPr>
        <w:t>OoCR</w:t>
      </w:r>
      <w:proofErr w:type="spellEnd"/>
      <w:r w:rsidRPr="00C93E4C">
        <w:rPr>
          <w:rFonts w:eastAsia="Times New Roman" w:cs="Arial"/>
          <w:kern w:val="0"/>
          <w:szCs w:val="24"/>
          <w:lang w:eastAsia="en-GB"/>
          <w14:ligatures w14:val="none"/>
        </w:rPr>
        <w:t>) route at the point of arrest or voluntary attendance at a police station, which can offer an alternative to prosecution and diversion from the CJS</w:t>
      </w:r>
    </w:p>
    <w:p w14:paraId="7E5BAEE1" w14:textId="77777777" w:rsidR="00C93E4C" w:rsidRPr="00C93E4C" w:rsidRDefault="00C93E4C" w:rsidP="00E53ACC">
      <w:pPr>
        <w:pStyle w:val="Heading2"/>
      </w:pPr>
      <w:r w:rsidRPr="00C93E4C">
        <w:t>North Yorkshire Police Data</w:t>
      </w:r>
    </w:p>
    <w:p w14:paraId="1E50FC54" w14:textId="77777777" w:rsidR="00C93E4C" w:rsidRPr="00C93E4C" w:rsidRDefault="00C93E4C" w:rsidP="00C57D7C">
      <w:pPr>
        <w:pStyle w:val="Heading3"/>
        <w:numPr>
          <w:ilvl w:val="2"/>
          <w:numId w:val="103"/>
        </w:numPr>
        <w:rPr>
          <w:lang w:eastAsia="en-GB"/>
        </w:rPr>
      </w:pPr>
      <w:r w:rsidRPr="00C93E4C">
        <w:rPr>
          <w:lang w:eastAsia="en-GB"/>
        </w:rPr>
        <w:t>The table below shows the number of crimes committed by women in York and North Yorkshire between 2022/23 and 2024/25</w:t>
      </w:r>
    </w:p>
    <w:tbl>
      <w:tblPr>
        <w:tblStyle w:val="TableGrid2"/>
        <w:tblW w:w="0" w:type="auto"/>
        <w:tblInd w:w="720" w:type="dxa"/>
        <w:tblLook w:val="04A0" w:firstRow="1" w:lastRow="0" w:firstColumn="1" w:lastColumn="0" w:noHBand="0" w:noVBand="1"/>
      </w:tblPr>
      <w:tblGrid>
        <w:gridCol w:w="1827"/>
        <w:gridCol w:w="2835"/>
      </w:tblGrid>
      <w:tr w:rsidR="00C93E4C" w:rsidRPr="00C93E4C" w14:paraId="78CBBA20" w14:textId="77777777" w:rsidTr="00C93E4C">
        <w:tc>
          <w:tcPr>
            <w:tcW w:w="1827" w:type="dxa"/>
            <w:shd w:val="clear" w:color="auto" w:fill="9CC2E5"/>
          </w:tcPr>
          <w:p w14:paraId="23ECEF78" w14:textId="77777777" w:rsidR="00C93E4C" w:rsidRPr="00C93E4C" w:rsidRDefault="00C93E4C" w:rsidP="00C93E4C">
            <w:pPr>
              <w:spacing w:after="120" w:line="276" w:lineRule="auto"/>
              <w:jc w:val="both"/>
              <w:rPr>
                <w:rFonts w:ascii="Calibri" w:hAnsi="Calibri" w:cs="Arial"/>
                <w:b/>
                <w:bCs/>
                <w:sz w:val="22"/>
                <w:szCs w:val="24"/>
              </w:rPr>
            </w:pPr>
            <w:r w:rsidRPr="00C93E4C">
              <w:rPr>
                <w:rFonts w:ascii="Calibri" w:hAnsi="Calibri" w:cs="Arial"/>
                <w:b/>
                <w:bCs/>
                <w:sz w:val="22"/>
                <w:szCs w:val="24"/>
              </w:rPr>
              <w:t>Year</w:t>
            </w:r>
          </w:p>
        </w:tc>
        <w:tc>
          <w:tcPr>
            <w:tcW w:w="2835" w:type="dxa"/>
            <w:shd w:val="clear" w:color="auto" w:fill="9CC2E5"/>
          </w:tcPr>
          <w:p w14:paraId="53AB96F9" w14:textId="77777777" w:rsidR="00C93E4C" w:rsidRPr="00C93E4C" w:rsidRDefault="00C93E4C" w:rsidP="00C93E4C">
            <w:pPr>
              <w:spacing w:after="120" w:line="276" w:lineRule="auto"/>
              <w:jc w:val="both"/>
              <w:rPr>
                <w:rFonts w:ascii="Calibri" w:hAnsi="Calibri" w:cs="Arial"/>
                <w:b/>
                <w:bCs/>
                <w:sz w:val="22"/>
                <w:szCs w:val="24"/>
              </w:rPr>
            </w:pPr>
            <w:r w:rsidRPr="00C93E4C">
              <w:rPr>
                <w:rFonts w:ascii="Calibri" w:hAnsi="Calibri" w:cs="Arial"/>
                <w:b/>
                <w:bCs/>
                <w:sz w:val="22"/>
                <w:szCs w:val="24"/>
              </w:rPr>
              <w:t>Female Identified Offender</w:t>
            </w:r>
          </w:p>
        </w:tc>
      </w:tr>
      <w:tr w:rsidR="00C93E4C" w:rsidRPr="00C93E4C" w14:paraId="25397558" w14:textId="77777777" w:rsidTr="00F44331">
        <w:tc>
          <w:tcPr>
            <w:tcW w:w="1827" w:type="dxa"/>
          </w:tcPr>
          <w:p w14:paraId="3AB05E81"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2022/23</w:t>
            </w:r>
          </w:p>
        </w:tc>
        <w:tc>
          <w:tcPr>
            <w:tcW w:w="2835" w:type="dxa"/>
          </w:tcPr>
          <w:p w14:paraId="1B263E87"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1125</w:t>
            </w:r>
          </w:p>
        </w:tc>
      </w:tr>
      <w:tr w:rsidR="00C93E4C" w:rsidRPr="00C93E4C" w14:paraId="5D3ADC6D" w14:textId="77777777" w:rsidTr="00F44331">
        <w:tc>
          <w:tcPr>
            <w:tcW w:w="1827" w:type="dxa"/>
          </w:tcPr>
          <w:p w14:paraId="28578291"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2023/24</w:t>
            </w:r>
          </w:p>
        </w:tc>
        <w:tc>
          <w:tcPr>
            <w:tcW w:w="2835" w:type="dxa"/>
          </w:tcPr>
          <w:p w14:paraId="4038C719"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1424</w:t>
            </w:r>
          </w:p>
        </w:tc>
      </w:tr>
      <w:tr w:rsidR="00C93E4C" w:rsidRPr="00C93E4C" w14:paraId="4C18BAEF" w14:textId="77777777" w:rsidTr="00F44331">
        <w:tc>
          <w:tcPr>
            <w:tcW w:w="1827" w:type="dxa"/>
          </w:tcPr>
          <w:p w14:paraId="36273357"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2024/25</w:t>
            </w:r>
          </w:p>
        </w:tc>
        <w:tc>
          <w:tcPr>
            <w:tcW w:w="2835" w:type="dxa"/>
          </w:tcPr>
          <w:p w14:paraId="18E9601B"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1498</w:t>
            </w:r>
          </w:p>
        </w:tc>
      </w:tr>
    </w:tbl>
    <w:p w14:paraId="6BC83578" w14:textId="77777777" w:rsidR="00C93E4C" w:rsidRPr="00C93E4C" w:rsidRDefault="00C93E4C" w:rsidP="003460D0">
      <w:pPr>
        <w:pStyle w:val="Heading3"/>
        <w:numPr>
          <w:ilvl w:val="0"/>
          <w:numId w:val="0"/>
        </w:numPr>
        <w:ind w:left="568"/>
        <w:rPr>
          <w:lang w:eastAsia="en-GB"/>
        </w:rPr>
      </w:pPr>
      <w:r w:rsidRPr="00C93E4C">
        <w:rPr>
          <w:lang w:eastAsia="en-GB"/>
        </w:rPr>
        <w:t>The table below shows the number of Voluntary Attendances for women in York and North Yorkshire between 2022/23 and 2024/25</w:t>
      </w:r>
    </w:p>
    <w:tbl>
      <w:tblPr>
        <w:tblStyle w:val="TableGrid2"/>
        <w:tblW w:w="0" w:type="auto"/>
        <w:tblLook w:val="04A0" w:firstRow="1" w:lastRow="0" w:firstColumn="1" w:lastColumn="0" w:noHBand="0" w:noVBand="1"/>
      </w:tblPr>
      <w:tblGrid>
        <w:gridCol w:w="2122"/>
        <w:gridCol w:w="1842"/>
      </w:tblGrid>
      <w:tr w:rsidR="00C93E4C" w:rsidRPr="00C93E4C" w14:paraId="1C00E746" w14:textId="77777777" w:rsidTr="00C93E4C">
        <w:tc>
          <w:tcPr>
            <w:tcW w:w="2122" w:type="dxa"/>
            <w:shd w:val="clear" w:color="auto" w:fill="9CC2E5"/>
          </w:tcPr>
          <w:p w14:paraId="7AB823D7" w14:textId="77777777" w:rsidR="00C93E4C" w:rsidRPr="00C93E4C" w:rsidRDefault="00C93E4C" w:rsidP="00C93E4C">
            <w:pPr>
              <w:spacing w:after="120" w:line="276" w:lineRule="auto"/>
              <w:jc w:val="both"/>
              <w:rPr>
                <w:rFonts w:ascii="Calibri" w:hAnsi="Calibri" w:cs="Arial"/>
                <w:b/>
                <w:bCs/>
                <w:sz w:val="22"/>
                <w:szCs w:val="24"/>
              </w:rPr>
            </w:pPr>
            <w:r w:rsidRPr="00C93E4C">
              <w:rPr>
                <w:rFonts w:ascii="Calibri" w:hAnsi="Calibri" w:cs="Arial"/>
                <w:b/>
                <w:bCs/>
                <w:sz w:val="22"/>
                <w:szCs w:val="24"/>
              </w:rPr>
              <w:t>Year</w:t>
            </w:r>
          </w:p>
        </w:tc>
        <w:tc>
          <w:tcPr>
            <w:tcW w:w="1842" w:type="dxa"/>
            <w:shd w:val="clear" w:color="auto" w:fill="9CC2E5"/>
          </w:tcPr>
          <w:p w14:paraId="0543FB00" w14:textId="77777777" w:rsidR="00C93E4C" w:rsidRPr="00C93E4C" w:rsidRDefault="00C93E4C" w:rsidP="00C93E4C">
            <w:pPr>
              <w:spacing w:after="120" w:line="276" w:lineRule="auto"/>
              <w:jc w:val="both"/>
              <w:rPr>
                <w:rFonts w:ascii="Calibri" w:hAnsi="Calibri" w:cs="Arial"/>
                <w:b/>
                <w:bCs/>
                <w:sz w:val="22"/>
                <w:szCs w:val="24"/>
              </w:rPr>
            </w:pPr>
            <w:r w:rsidRPr="00C93E4C">
              <w:rPr>
                <w:rFonts w:ascii="Calibri" w:hAnsi="Calibri" w:cs="Arial"/>
                <w:b/>
                <w:bCs/>
                <w:sz w:val="22"/>
                <w:szCs w:val="24"/>
              </w:rPr>
              <w:t>Number of VAs</w:t>
            </w:r>
          </w:p>
        </w:tc>
      </w:tr>
      <w:tr w:rsidR="00C93E4C" w:rsidRPr="00C93E4C" w14:paraId="48C304F6" w14:textId="77777777" w:rsidTr="00F44331">
        <w:tc>
          <w:tcPr>
            <w:tcW w:w="2122" w:type="dxa"/>
          </w:tcPr>
          <w:p w14:paraId="69B52BB7"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2022/23</w:t>
            </w:r>
          </w:p>
        </w:tc>
        <w:tc>
          <w:tcPr>
            <w:tcW w:w="1842" w:type="dxa"/>
          </w:tcPr>
          <w:p w14:paraId="665AE9AA"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743</w:t>
            </w:r>
          </w:p>
        </w:tc>
      </w:tr>
      <w:tr w:rsidR="00C93E4C" w:rsidRPr="00C93E4C" w14:paraId="467E5032" w14:textId="77777777" w:rsidTr="00F44331">
        <w:tc>
          <w:tcPr>
            <w:tcW w:w="2122" w:type="dxa"/>
          </w:tcPr>
          <w:p w14:paraId="7CA221E9"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2024/24</w:t>
            </w:r>
          </w:p>
        </w:tc>
        <w:tc>
          <w:tcPr>
            <w:tcW w:w="1842" w:type="dxa"/>
          </w:tcPr>
          <w:p w14:paraId="72FBF1F6"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692</w:t>
            </w:r>
          </w:p>
        </w:tc>
      </w:tr>
      <w:tr w:rsidR="00C93E4C" w:rsidRPr="00C93E4C" w14:paraId="0D95831F" w14:textId="77777777" w:rsidTr="00F44331">
        <w:tc>
          <w:tcPr>
            <w:tcW w:w="2122" w:type="dxa"/>
          </w:tcPr>
          <w:p w14:paraId="76D7624E" w14:textId="77777777" w:rsidR="00C93E4C" w:rsidRPr="00C93E4C" w:rsidRDefault="00C93E4C" w:rsidP="00C93E4C">
            <w:pPr>
              <w:spacing w:after="120" w:line="276" w:lineRule="auto"/>
              <w:jc w:val="both"/>
              <w:rPr>
                <w:rFonts w:ascii="Calibri" w:hAnsi="Calibri" w:cs="Arial"/>
                <w:sz w:val="22"/>
                <w:szCs w:val="24"/>
              </w:rPr>
            </w:pPr>
            <w:r w:rsidRPr="00C93E4C">
              <w:rPr>
                <w:rFonts w:ascii="Calibri" w:hAnsi="Calibri" w:cs="Arial"/>
                <w:sz w:val="22"/>
                <w:szCs w:val="24"/>
              </w:rPr>
              <w:t>2024/25</w:t>
            </w:r>
          </w:p>
        </w:tc>
        <w:tc>
          <w:tcPr>
            <w:tcW w:w="1842" w:type="dxa"/>
          </w:tcPr>
          <w:p w14:paraId="3FE349DD" w14:textId="77777777" w:rsidR="00C93E4C" w:rsidRPr="00C93E4C" w:rsidRDefault="00C93E4C" w:rsidP="00C93E4C">
            <w:pPr>
              <w:spacing w:after="120" w:line="276" w:lineRule="auto"/>
              <w:jc w:val="right"/>
              <w:rPr>
                <w:rFonts w:ascii="Calibri" w:hAnsi="Calibri" w:cs="Arial"/>
                <w:sz w:val="22"/>
                <w:szCs w:val="24"/>
              </w:rPr>
            </w:pPr>
            <w:r w:rsidRPr="00C93E4C">
              <w:rPr>
                <w:rFonts w:ascii="Calibri" w:hAnsi="Calibri" w:cs="Arial"/>
                <w:sz w:val="22"/>
                <w:szCs w:val="24"/>
              </w:rPr>
              <w:t>588</w:t>
            </w:r>
          </w:p>
        </w:tc>
      </w:tr>
    </w:tbl>
    <w:p w14:paraId="3BD3FBF4" w14:textId="77777777" w:rsidR="00C93E4C" w:rsidRPr="00C93E4C" w:rsidRDefault="00C93E4C" w:rsidP="00C93E4C">
      <w:pPr>
        <w:spacing w:after="120"/>
        <w:jc w:val="both"/>
        <w:rPr>
          <w:rFonts w:ascii="Calibri" w:eastAsia="Times New Roman" w:hAnsi="Calibri" w:cs="Arial"/>
          <w:kern w:val="0"/>
          <w:szCs w:val="24"/>
          <w:lang w:eastAsia="en-GB"/>
          <w14:ligatures w14:val="none"/>
        </w:rPr>
      </w:pPr>
    </w:p>
    <w:p w14:paraId="0D12BD73" w14:textId="51B7BBF6" w:rsidR="00C93E4C" w:rsidRPr="00E87CCA" w:rsidRDefault="00C93E4C" w:rsidP="003460D0">
      <w:pPr>
        <w:pStyle w:val="Heading3"/>
        <w:numPr>
          <w:ilvl w:val="0"/>
          <w:numId w:val="0"/>
        </w:numPr>
        <w:ind w:left="568"/>
        <w:rPr>
          <w:lang w:eastAsia="en-GB"/>
        </w:rPr>
      </w:pPr>
      <w:r w:rsidRPr="00C93E4C">
        <w:rPr>
          <w:lang w:eastAsia="en-GB"/>
        </w:rPr>
        <w:lastRenderedPageBreak/>
        <w:t>The table below shows the rate of female first-time entrants in York and North Yorkshire between 2022 and 2024</w:t>
      </w:r>
    </w:p>
    <w:tbl>
      <w:tblPr>
        <w:tblW w:w="8628" w:type="dxa"/>
        <w:tblCellMar>
          <w:left w:w="0" w:type="dxa"/>
          <w:right w:w="0" w:type="dxa"/>
        </w:tblCellMar>
        <w:tblLook w:val="04A0" w:firstRow="1" w:lastRow="0" w:firstColumn="1" w:lastColumn="0" w:noHBand="0" w:noVBand="1"/>
      </w:tblPr>
      <w:tblGrid>
        <w:gridCol w:w="2157"/>
        <w:gridCol w:w="2157"/>
        <w:gridCol w:w="2157"/>
        <w:gridCol w:w="2157"/>
      </w:tblGrid>
      <w:tr w:rsidR="00C93E4C" w:rsidRPr="00C93E4C" w14:paraId="17C94561" w14:textId="77777777" w:rsidTr="00F44331">
        <w:trPr>
          <w:trHeight w:val="300"/>
        </w:trPr>
        <w:tc>
          <w:tcPr>
            <w:tcW w:w="2157" w:type="dxa"/>
            <w:tcBorders>
              <w:top w:val="single" w:sz="8" w:space="0" w:color="auto"/>
              <w:left w:val="single" w:sz="8" w:space="0" w:color="auto"/>
              <w:bottom w:val="single" w:sz="8" w:space="0" w:color="auto"/>
              <w:right w:val="single" w:sz="8" w:space="0" w:color="auto"/>
            </w:tcBorders>
            <w:shd w:val="clear" w:color="auto" w:fill="C1E4F5"/>
            <w:noWrap/>
            <w:tcMar>
              <w:top w:w="0" w:type="dxa"/>
              <w:left w:w="108" w:type="dxa"/>
              <w:bottom w:w="0" w:type="dxa"/>
              <w:right w:w="108" w:type="dxa"/>
            </w:tcMar>
            <w:vAlign w:val="bottom"/>
            <w:hideMark/>
          </w:tcPr>
          <w:p w14:paraId="22FAA358" w14:textId="77777777" w:rsidR="00C93E4C" w:rsidRPr="00C93E4C" w:rsidRDefault="00C93E4C" w:rsidP="00C93E4C">
            <w:pPr>
              <w:spacing w:after="120" w:line="276" w:lineRule="auto"/>
              <w:jc w:val="both"/>
              <w:rPr>
                <w:rFonts w:ascii="Calibri" w:eastAsia="Times New Roman" w:hAnsi="Calibri" w:cs="Times New Roman"/>
                <w:b/>
                <w:bCs/>
                <w:kern w:val="0"/>
                <w:szCs w:val="24"/>
                <w:lang w:eastAsia="en-GB"/>
                <w14:ligatures w14:val="none"/>
              </w:rPr>
            </w:pPr>
            <w:r w:rsidRPr="00C93E4C">
              <w:rPr>
                <w:rFonts w:ascii="Calibri" w:eastAsia="Times New Roman" w:hAnsi="Calibri" w:cs="Times New Roman"/>
                <w:b/>
                <w:bCs/>
                <w:kern w:val="0"/>
                <w:szCs w:val="24"/>
                <w:lang w:eastAsia="en-GB"/>
                <w14:ligatures w14:val="none"/>
              </w:rPr>
              <w:t>12 months ending December</w:t>
            </w:r>
          </w:p>
        </w:tc>
        <w:tc>
          <w:tcPr>
            <w:tcW w:w="2157" w:type="dxa"/>
            <w:tcBorders>
              <w:top w:val="single" w:sz="8" w:space="0" w:color="auto"/>
              <w:left w:val="nil"/>
              <w:bottom w:val="single" w:sz="8" w:space="0" w:color="auto"/>
              <w:right w:val="single" w:sz="8" w:space="0" w:color="auto"/>
            </w:tcBorders>
            <w:shd w:val="clear" w:color="auto" w:fill="C1E4F5"/>
            <w:noWrap/>
            <w:tcMar>
              <w:top w:w="0" w:type="dxa"/>
              <w:left w:w="108" w:type="dxa"/>
              <w:bottom w:w="0" w:type="dxa"/>
              <w:right w:w="108" w:type="dxa"/>
            </w:tcMar>
            <w:vAlign w:val="bottom"/>
            <w:hideMark/>
          </w:tcPr>
          <w:p w14:paraId="04593426" w14:textId="77777777" w:rsidR="00C93E4C" w:rsidRPr="00C93E4C" w:rsidRDefault="00C93E4C" w:rsidP="00C93E4C">
            <w:pPr>
              <w:spacing w:after="120"/>
              <w:ind w:left="720"/>
              <w:jc w:val="both"/>
              <w:rPr>
                <w:rFonts w:ascii="Calibri" w:eastAsia="Times New Roman" w:hAnsi="Calibri" w:cs="Arial"/>
                <w:b/>
                <w:bCs/>
                <w:kern w:val="0"/>
                <w:szCs w:val="24"/>
                <w:lang w:eastAsia="en-GB"/>
                <w14:ligatures w14:val="none"/>
              </w:rPr>
            </w:pPr>
            <w:r w:rsidRPr="00C93E4C">
              <w:rPr>
                <w:rFonts w:ascii="Calibri" w:eastAsia="Times New Roman" w:hAnsi="Calibri" w:cs="Arial"/>
                <w:b/>
                <w:bCs/>
                <w:kern w:val="0"/>
                <w:szCs w:val="24"/>
                <w:lang w:eastAsia="en-GB"/>
                <w14:ligatures w14:val="none"/>
              </w:rPr>
              <w:t>2022</w:t>
            </w:r>
          </w:p>
        </w:tc>
        <w:tc>
          <w:tcPr>
            <w:tcW w:w="2157" w:type="dxa"/>
            <w:tcBorders>
              <w:top w:val="single" w:sz="8" w:space="0" w:color="auto"/>
              <w:left w:val="nil"/>
              <w:bottom w:val="single" w:sz="8" w:space="0" w:color="auto"/>
              <w:right w:val="single" w:sz="8" w:space="0" w:color="auto"/>
            </w:tcBorders>
            <w:shd w:val="clear" w:color="auto" w:fill="C1E4F5"/>
            <w:noWrap/>
            <w:tcMar>
              <w:top w:w="0" w:type="dxa"/>
              <w:left w:w="108" w:type="dxa"/>
              <w:bottom w:w="0" w:type="dxa"/>
              <w:right w:w="108" w:type="dxa"/>
            </w:tcMar>
            <w:vAlign w:val="bottom"/>
            <w:hideMark/>
          </w:tcPr>
          <w:p w14:paraId="6D324CBA" w14:textId="77777777" w:rsidR="00C93E4C" w:rsidRPr="00C93E4C" w:rsidRDefault="00C93E4C" w:rsidP="00C93E4C">
            <w:pPr>
              <w:spacing w:after="120"/>
              <w:ind w:left="720"/>
              <w:jc w:val="both"/>
              <w:rPr>
                <w:rFonts w:ascii="Calibri" w:eastAsia="Times New Roman" w:hAnsi="Calibri" w:cs="Arial"/>
                <w:b/>
                <w:bCs/>
                <w:kern w:val="0"/>
                <w:szCs w:val="24"/>
                <w:lang w:eastAsia="en-GB"/>
                <w14:ligatures w14:val="none"/>
              </w:rPr>
            </w:pPr>
            <w:r w:rsidRPr="00C93E4C">
              <w:rPr>
                <w:rFonts w:ascii="Calibri" w:eastAsia="Times New Roman" w:hAnsi="Calibri" w:cs="Arial"/>
                <w:b/>
                <w:bCs/>
                <w:kern w:val="0"/>
                <w:szCs w:val="24"/>
                <w:lang w:eastAsia="en-GB"/>
                <w14:ligatures w14:val="none"/>
              </w:rPr>
              <w:t>2023</w:t>
            </w:r>
          </w:p>
        </w:tc>
        <w:tc>
          <w:tcPr>
            <w:tcW w:w="2157" w:type="dxa"/>
            <w:tcBorders>
              <w:top w:val="single" w:sz="8" w:space="0" w:color="auto"/>
              <w:left w:val="nil"/>
              <w:bottom w:val="single" w:sz="8" w:space="0" w:color="auto"/>
              <w:right w:val="single" w:sz="8" w:space="0" w:color="auto"/>
            </w:tcBorders>
            <w:shd w:val="clear" w:color="auto" w:fill="C1E4F5"/>
            <w:noWrap/>
            <w:tcMar>
              <w:top w:w="0" w:type="dxa"/>
              <w:left w:w="108" w:type="dxa"/>
              <w:bottom w:w="0" w:type="dxa"/>
              <w:right w:w="108" w:type="dxa"/>
            </w:tcMar>
            <w:vAlign w:val="bottom"/>
            <w:hideMark/>
          </w:tcPr>
          <w:p w14:paraId="3DB65AE1" w14:textId="77777777" w:rsidR="00C93E4C" w:rsidRPr="00C93E4C" w:rsidRDefault="00C93E4C" w:rsidP="00C93E4C">
            <w:pPr>
              <w:spacing w:after="120"/>
              <w:ind w:left="720"/>
              <w:jc w:val="both"/>
              <w:rPr>
                <w:rFonts w:ascii="Calibri" w:eastAsia="Times New Roman" w:hAnsi="Calibri" w:cs="Arial"/>
                <w:b/>
                <w:bCs/>
                <w:kern w:val="0"/>
                <w:szCs w:val="24"/>
                <w:lang w:eastAsia="en-GB"/>
                <w14:ligatures w14:val="none"/>
              </w:rPr>
            </w:pPr>
            <w:r w:rsidRPr="00C93E4C">
              <w:rPr>
                <w:rFonts w:ascii="Calibri" w:eastAsia="Times New Roman" w:hAnsi="Calibri" w:cs="Arial"/>
                <w:b/>
                <w:bCs/>
                <w:kern w:val="0"/>
                <w:szCs w:val="24"/>
                <w:lang w:eastAsia="en-GB"/>
                <w14:ligatures w14:val="none"/>
              </w:rPr>
              <w:t>2024</w:t>
            </w:r>
          </w:p>
        </w:tc>
      </w:tr>
      <w:tr w:rsidR="00C93E4C" w:rsidRPr="00C93E4C" w14:paraId="7C7E7AD9" w14:textId="77777777" w:rsidTr="00F44331">
        <w:trPr>
          <w:trHeight w:val="300"/>
        </w:trPr>
        <w:tc>
          <w:tcPr>
            <w:tcW w:w="21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775356" w14:textId="77777777" w:rsidR="00C93E4C" w:rsidRPr="00C93E4C" w:rsidRDefault="00C93E4C" w:rsidP="00C93E4C">
            <w:pPr>
              <w:spacing w:after="120" w:line="276" w:lineRule="auto"/>
              <w:jc w:val="both"/>
              <w:rPr>
                <w:rFonts w:ascii="Calibri" w:eastAsia="Times New Roman" w:hAnsi="Calibri" w:cs="Times New Roman"/>
                <w:b/>
                <w:bCs/>
                <w:kern w:val="0"/>
                <w:szCs w:val="24"/>
                <w:lang w:eastAsia="en-GB"/>
                <w14:ligatures w14:val="none"/>
              </w:rPr>
            </w:pPr>
            <w:r w:rsidRPr="00C93E4C">
              <w:rPr>
                <w:rFonts w:ascii="Calibri" w:eastAsia="Times New Roman" w:hAnsi="Calibri" w:cs="Times New Roman"/>
                <w:b/>
                <w:bCs/>
                <w:kern w:val="0"/>
                <w:szCs w:val="24"/>
                <w:lang w:eastAsia="en-GB"/>
                <w14:ligatures w14:val="none"/>
              </w:rPr>
              <w:t>%FTE (Female)</w:t>
            </w:r>
          </w:p>
        </w:tc>
        <w:tc>
          <w:tcPr>
            <w:tcW w:w="2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C4CD74" w14:textId="77777777" w:rsidR="00C93E4C" w:rsidRPr="00C93E4C" w:rsidRDefault="00C93E4C" w:rsidP="00C93E4C">
            <w:pPr>
              <w:spacing w:after="120"/>
              <w:ind w:left="720"/>
              <w:jc w:val="right"/>
              <w:rPr>
                <w:rFonts w:ascii="Calibri" w:eastAsia="Times New Roman" w:hAnsi="Calibri" w:cs="Arial"/>
                <w:b/>
                <w:bCs/>
                <w:kern w:val="0"/>
                <w:szCs w:val="24"/>
                <w:lang w:eastAsia="en-GB"/>
                <w14:ligatures w14:val="none"/>
              </w:rPr>
            </w:pPr>
            <w:r w:rsidRPr="00C93E4C">
              <w:rPr>
                <w:rFonts w:ascii="Calibri" w:eastAsia="Times New Roman" w:hAnsi="Calibri" w:cs="Arial"/>
                <w:b/>
                <w:bCs/>
                <w:kern w:val="0"/>
                <w:szCs w:val="24"/>
                <w:lang w:eastAsia="en-GB"/>
                <w14:ligatures w14:val="none"/>
              </w:rPr>
              <w:t>39%</w:t>
            </w:r>
          </w:p>
        </w:tc>
        <w:tc>
          <w:tcPr>
            <w:tcW w:w="2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AB25B" w14:textId="77777777" w:rsidR="00C93E4C" w:rsidRPr="00C93E4C" w:rsidRDefault="00C93E4C" w:rsidP="00C93E4C">
            <w:pPr>
              <w:spacing w:after="120"/>
              <w:ind w:left="720"/>
              <w:jc w:val="right"/>
              <w:rPr>
                <w:rFonts w:ascii="Calibri" w:eastAsia="Times New Roman" w:hAnsi="Calibri" w:cs="Arial"/>
                <w:b/>
                <w:bCs/>
                <w:kern w:val="0"/>
                <w:szCs w:val="24"/>
                <w:lang w:eastAsia="en-GB"/>
                <w14:ligatures w14:val="none"/>
              </w:rPr>
            </w:pPr>
            <w:r w:rsidRPr="00C93E4C">
              <w:rPr>
                <w:rFonts w:ascii="Calibri" w:eastAsia="Times New Roman" w:hAnsi="Calibri" w:cs="Arial"/>
                <w:b/>
                <w:bCs/>
                <w:kern w:val="0"/>
                <w:szCs w:val="24"/>
                <w:lang w:eastAsia="en-GB"/>
                <w14:ligatures w14:val="none"/>
              </w:rPr>
              <w:t>36%</w:t>
            </w:r>
          </w:p>
        </w:tc>
        <w:tc>
          <w:tcPr>
            <w:tcW w:w="2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693762" w14:textId="77777777" w:rsidR="00C93E4C" w:rsidRPr="00C93E4C" w:rsidRDefault="00C93E4C" w:rsidP="00C93E4C">
            <w:pPr>
              <w:spacing w:after="120"/>
              <w:ind w:left="720"/>
              <w:jc w:val="right"/>
              <w:rPr>
                <w:rFonts w:ascii="Calibri" w:eastAsia="Times New Roman" w:hAnsi="Calibri" w:cs="Arial"/>
                <w:b/>
                <w:bCs/>
                <w:kern w:val="0"/>
                <w:szCs w:val="24"/>
                <w:lang w:eastAsia="en-GB"/>
                <w14:ligatures w14:val="none"/>
              </w:rPr>
            </w:pPr>
            <w:r w:rsidRPr="00C93E4C">
              <w:rPr>
                <w:rFonts w:ascii="Calibri" w:eastAsia="Times New Roman" w:hAnsi="Calibri" w:cs="Arial"/>
                <w:b/>
                <w:bCs/>
                <w:kern w:val="0"/>
                <w:szCs w:val="24"/>
                <w:lang w:eastAsia="en-GB"/>
                <w14:ligatures w14:val="none"/>
              </w:rPr>
              <w:t>32%</w:t>
            </w:r>
          </w:p>
        </w:tc>
      </w:tr>
    </w:tbl>
    <w:p w14:paraId="5F0C04BD" w14:textId="59486B9E" w:rsidR="00C93E4C" w:rsidRPr="00C93E4C" w:rsidRDefault="00C93E4C" w:rsidP="003460D0">
      <w:pPr>
        <w:spacing w:after="120"/>
        <w:ind w:left="720"/>
        <w:jc w:val="both"/>
        <w:rPr>
          <w:rFonts w:ascii="Calibri" w:eastAsia="Times New Roman" w:hAnsi="Calibri" w:cs="Arial"/>
          <w:kern w:val="0"/>
          <w:szCs w:val="24"/>
          <w:lang w:eastAsia="en-GB"/>
          <w14:ligatures w14:val="none"/>
        </w:rPr>
      </w:pPr>
      <w:r w:rsidRPr="00C93E4C">
        <w:rPr>
          <w:rFonts w:ascii="Calibri" w:eastAsia="Times New Roman" w:hAnsi="Calibri" w:cs="Arial"/>
          <w:b/>
          <w:bCs/>
          <w:kern w:val="0"/>
          <w:szCs w:val="24"/>
          <w:lang w:eastAsia="en-GB"/>
          <w14:ligatures w14:val="none"/>
        </w:rPr>
        <w:t xml:space="preserve"> </w:t>
      </w:r>
    </w:p>
    <w:p w14:paraId="6B1EBF98" w14:textId="77777777" w:rsidR="00C93E4C" w:rsidRPr="00C93E4C" w:rsidRDefault="00C93E4C" w:rsidP="003460D0">
      <w:pPr>
        <w:pStyle w:val="Heading3"/>
        <w:rPr>
          <w:lang w:eastAsia="en-GB"/>
        </w:rPr>
      </w:pPr>
      <w:r w:rsidRPr="00C93E4C">
        <w:rPr>
          <w:lang w:eastAsia="en-GB"/>
        </w:rPr>
        <w:t>Diversion</w:t>
      </w:r>
    </w:p>
    <w:p w14:paraId="15A90A81" w14:textId="77777777" w:rsidR="00C93E4C" w:rsidRPr="00C93E4C" w:rsidRDefault="00C93E4C" w:rsidP="003460D0">
      <w:pPr>
        <w:pStyle w:val="Heading3"/>
        <w:rPr>
          <w:lang w:eastAsia="en-GB"/>
        </w:rPr>
      </w:pPr>
      <w:r w:rsidRPr="00C93E4C">
        <w:rPr>
          <w:lang w:eastAsia="en-GB"/>
        </w:rPr>
        <w:t>It is becoming increasingly accepted that criminalising and punishing people for low-level offences is not enough to reduce crime and stop reoffending unless the underlying causes of criminality are also addressed.</w:t>
      </w:r>
    </w:p>
    <w:p w14:paraId="1104BA14" w14:textId="6612FED9" w:rsidR="00C93E4C" w:rsidRPr="00C93E4C" w:rsidRDefault="00C93E4C" w:rsidP="00E53ACC">
      <w:pPr>
        <w:pStyle w:val="Heading2"/>
      </w:pPr>
      <w:r w:rsidRPr="00C93E4C">
        <w:t>The mandatory Out of Court Resolution (</w:t>
      </w:r>
      <w:proofErr w:type="spellStart"/>
      <w:r w:rsidRPr="00C93E4C">
        <w:t>OoCR</w:t>
      </w:r>
      <w:proofErr w:type="spellEnd"/>
      <w:r w:rsidRPr="00C93E4C">
        <w:t>) element of the service provides women with an opportunity to be diverted from the CJS</w:t>
      </w:r>
      <w:r w:rsidR="00B625FA">
        <w:t>.</w:t>
      </w:r>
      <w:r w:rsidRPr="00C93E4C">
        <w:t xml:space="preserve"> </w:t>
      </w:r>
      <w:r w:rsidR="00B625FA">
        <w:t>I</w:t>
      </w:r>
      <w:r w:rsidRPr="00C93E4C">
        <w:t xml:space="preserve">f women choose to take up the offer, conditions will be attached to the support that is being offered, i.e. the woman will have to engage with the scheme, otherwise they will be referred back to criminal justice processes which may result in a caution or conviction. </w:t>
      </w:r>
    </w:p>
    <w:p w14:paraId="7D63421E" w14:textId="77777777" w:rsidR="00C93E4C" w:rsidRPr="00C93E4C" w:rsidRDefault="00C93E4C" w:rsidP="00E53ACC">
      <w:pPr>
        <w:pStyle w:val="Heading2"/>
      </w:pPr>
      <w:r w:rsidRPr="00C93E4C">
        <w:t xml:space="preserve">North Yorkshire Police (NYP) </w:t>
      </w:r>
      <w:proofErr w:type="spellStart"/>
      <w:r w:rsidRPr="00C93E4C">
        <w:t>OoCR</w:t>
      </w:r>
      <w:proofErr w:type="spellEnd"/>
      <w:r w:rsidRPr="00C93E4C">
        <w:t xml:space="preserve"> team</w:t>
      </w:r>
    </w:p>
    <w:p w14:paraId="63EC6338" w14:textId="77777777" w:rsidR="00C93E4C" w:rsidRPr="00C93E4C" w:rsidRDefault="00C93E4C" w:rsidP="00C57D7C">
      <w:pPr>
        <w:pStyle w:val="Heading3"/>
        <w:numPr>
          <w:ilvl w:val="2"/>
          <w:numId w:val="104"/>
        </w:numPr>
        <w:rPr>
          <w:lang w:eastAsia="en-GB"/>
        </w:rPr>
      </w:pPr>
      <w:r w:rsidRPr="00C93E4C">
        <w:rPr>
          <w:lang w:eastAsia="en-GB"/>
        </w:rPr>
        <w:t xml:space="preserve">North Yorkshire Police have a dedicated team who deal with all </w:t>
      </w:r>
      <w:proofErr w:type="spellStart"/>
      <w:r w:rsidRPr="00C93E4C">
        <w:rPr>
          <w:lang w:eastAsia="en-GB"/>
        </w:rPr>
        <w:t>OoCR</w:t>
      </w:r>
      <w:proofErr w:type="spellEnd"/>
      <w:r w:rsidRPr="00C93E4C">
        <w:rPr>
          <w:lang w:eastAsia="en-GB"/>
        </w:rPr>
        <w:t xml:space="preserve"> matters. If the Officer in Case (OIC) identifies that an </w:t>
      </w:r>
      <w:proofErr w:type="spellStart"/>
      <w:r w:rsidRPr="00C93E4C">
        <w:rPr>
          <w:lang w:eastAsia="en-GB"/>
        </w:rPr>
        <w:t>OoCR</w:t>
      </w:r>
      <w:proofErr w:type="spellEnd"/>
      <w:r w:rsidRPr="00C93E4C">
        <w:rPr>
          <w:lang w:eastAsia="en-GB"/>
        </w:rPr>
        <w:t xml:space="preserve"> could be a suitable option, then the case is referred to the </w:t>
      </w:r>
      <w:proofErr w:type="spellStart"/>
      <w:r w:rsidRPr="00C93E4C">
        <w:rPr>
          <w:lang w:eastAsia="en-GB"/>
        </w:rPr>
        <w:t>OoCR</w:t>
      </w:r>
      <w:proofErr w:type="spellEnd"/>
      <w:r w:rsidRPr="00C93E4C">
        <w:rPr>
          <w:lang w:eastAsia="en-GB"/>
        </w:rPr>
        <w:t xml:space="preserve"> team. </w:t>
      </w:r>
    </w:p>
    <w:p w14:paraId="7EA751F4" w14:textId="77777777" w:rsidR="00C93E4C" w:rsidRPr="00C93E4C" w:rsidRDefault="00C93E4C" w:rsidP="003460D0">
      <w:pPr>
        <w:pStyle w:val="Heading3"/>
        <w:rPr>
          <w:lang w:eastAsia="en-GB"/>
        </w:rPr>
      </w:pPr>
      <w:r w:rsidRPr="00C93E4C">
        <w:rPr>
          <w:lang w:eastAsia="en-GB"/>
        </w:rPr>
        <w:t xml:space="preserve">The </w:t>
      </w:r>
      <w:proofErr w:type="spellStart"/>
      <w:r w:rsidRPr="00C93E4C">
        <w:rPr>
          <w:lang w:eastAsia="en-GB"/>
        </w:rPr>
        <w:t>OoCR</w:t>
      </w:r>
      <w:proofErr w:type="spellEnd"/>
      <w:r w:rsidRPr="00C93E4C">
        <w:rPr>
          <w:lang w:eastAsia="en-GB"/>
        </w:rPr>
        <w:t xml:space="preserve"> team will complete an assessment and will consider which conditions are suitable to apply to the </w:t>
      </w:r>
      <w:proofErr w:type="spellStart"/>
      <w:r w:rsidRPr="00C93E4C">
        <w:rPr>
          <w:lang w:eastAsia="en-GB"/>
        </w:rPr>
        <w:t>OoCR</w:t>
      </w:r>
      <w:proofErr w:type="spellEnd"/>
      <w:r w:rsidRPr="00C93E4C">
        <w:rPr>
          <w:lang w:eastAsia="en-GB"/>
        </w:rPr>
        <w:t xml:space="preserve">. </w:t>
      </w:r>
    </w:p>
    <w:p w14:paraId="73FFEC15" w14:textId="77777777" w:rsidR="00C93E4C" w:rsidRPr="00C93E4C" w:rsidRDefault="00C93E4C" w:rsidP="003460D0">
      <w:pPr>
        <w:pStyle w:val="Heading3"/>
        <w:rPr>
          <w:lang w:eastAsia="en-GB"/>
        </w:rPr>
      </w:pPr>
      <w:r w:rsidRPr="00C93E4C">
        <w:rPr>
          <w:lang w:eastAsia="en-GB"/>
        </w:rPr>
        <w:t xml:space="preserve">The options of </w:t>
      </w:r>
      <w:proofErr w:type="spellStart"/>
      <w:r w:rsidRPr="00C93E4C">
        <w:rPr>
          <w:lang w:eastAsia="en-GB"/>
        </w:rPr>
        <w:t>OoCR</w:t>
      </w:r>
      <w:proofErr w:type="spellEnd"/>
      <w:r w:rsidRPr="00C93E4C">
        <w:rPr>
          <w:lang w:eastAsia="en-GB"/>
        </w:rPr>
        <w:t xml:space="preserve"> include:</w:t>
      </w:r>
    </w:p>
    <w:p w14:paraId="3C10D7F1" w14:textId="77777777" w:rsidR="00C93E4C" w:rsidRPr="00C93E4C" w:rsidRDefault="00C93E4C" w:rsidP="00C57D7C">
      <w:pPr>
        <w:numPr>
          <w:ilvl w:val="0"/>
          <w:numId w:val="96"/>
        </w:numPr>
        <w:spacing w:before="0" w:after="120" w:line="276" w:lineRule="auto"/>
        <w:jc w:val="both"/>
        <w:rPr>
          <w:rFonts w:eastAsia="Times New Roman" w:cs="Arial"/>
          <w:kern w:val="0"/>
          <w:szCs w:val="24"/>
          <w:lang w:eastAsia="en-GB"/>
          <w14:ligatures w14:val="none"/>
        </w:rPr>
      </w:pPr>
      <w:r w:rsidRPr="00C93E4C">
        <w:rPr>
          <w:rFonts w:eastAsia="Times New Roman" w:cs="Arial"/>
          <w:b/>
          <w:bCs/>
          <w:kern w:val="0"/>
          <w:szCs w:val="24"/>
          <w:lang w:eastAsia="en-GB"/>
          <w14:ligatures w14:val="none"/>
        </w:rPr>
        <w:t>A Community Resolution Disposal (CRD)</w:t>
      </w:r>
      <w:r w:rsidRPr="00C93E4C">
        <w:rPr>
          <w:rFonts w:eastAsia="Times New Roman" w:cs="Arial"/>
          <w:kern w:val="0"/>
          <w:szCs w:val="24"/>
          <w:lang w:eastAsia="en-GB"/>
          <w14:ligatures w14:val="none"/>
        </w:rPr>
        <w:t xml:space="preserve"> - CRDs are voluntary and cannot be escalated if not complied with</w:t>
      </w:r>
    </w:p>
    <w:p w14:paraId="6D390B32" w14:textId="77777777" w:rsidR="00C93E4C" w:rsidRPr="00C93E4C" w:rsidRDefault="00C93E4C" w:rsidP="00C57D7C">
      <w:pPr>
        <w:numPr>
          <w:ilvl w:val="0"/>
          <w:numId w:val="96"/>
        </w:numPr>
        <w:spacing w:before="0" w:after="120" w:line="276" w:lineRule="auto"/>
        <w:jc w:val="both"/>
        <w:rPr>
          <w:rFonts w:eastAsia="Times New Roman" w:cs="Arial"/>
          <w:b/>
          <w:bCs/>
          <w:kern w:val="0"/>
          <w:szCs w:val="24"/>
          <w:lang w:eastAsia="en-GB"/>
          <w14:ligatures w14:val="none"/>
        </w:rPr>
      </w:pPr>
      <w:r w:rsidRPr="00C93E4C">
        <w:rPr>
          <w:rFonts w:eastAsia="Times New Roman" w:cs="Arial"/>
          <w:b/>
          <w:bCs/>
          <w:kern w:val="0"/>
          <w:szCs w:val="24"/>
          <w:lang w:eastAsia="en-GB"/>
          <w14:ligatures w14:val="none"/>
        </w:rPr>
        <w:t xml:space="preserve">Deferred Charge – </w:t>
      </w:r>
      <w:r w:rsidRPr="00C93E4C">
        <w:rPr>
          <w:rFonts w:eastAsia="Times New Roman" w:cs="Arial"/>
          <w:kern w:val="0"/>
          <w:szCs w:val="24"/>
          <w:lang w:eastAsia="en-GB"/>
          <w14:ligatures w14:val="none"/>
        </w:rPr>
        <w:t>if complied with, the offence will not show as a criminal conviction, however breach of the conditions set may result in prosecution of the original offence</w:t>
      </w:r>
    </w:p>
    <w:p w14:paraId="406F646A" w14:textId="77777777" w:rsidR="00C93E4C" w:rsidRPr="00C93E4C" w:rsidRDefault="00C93E4C" w:rsidP="00C57D7C">
      <w:pPr>
        <w:numPr>
          <w:ilvl w:val="0"/>
          <w:numId w:val="96"/>
        </w:numPr>
        <w:spacing w:before="0" w:after="120" w:line="276" w:lineRule="auto"/>
        <w:jc w:val="both"/>
        <w:rPr>
          <w:rFonts w:eastAsia="Times New Roman" w:cs="Arial"/>
          <w:b/>
          <w:bCs/>
          <w:kern w:val="0"/>
          <w:szCs w:val="24"/>
          <w:lang w:eastAsia="en-GB"/>
          <w14:ligatures w14:val="none"/>
        </w:rPr>
      </w:pPr>
      <w:r w:rsidRPr="00C93E4C">
        <w:rPr>
          <w:rFonts w:eastAsia="Times New Roman" w:cs="Arial"/>
          <w:b/>
          <w:bCs/>
          <w:kern w:val="0"/>
          <w:szCs w:val="24"/>
          <w:lang w:eastAsia="en-GB"/>
          <w14:ligatures w14:val="none"/>
        </w:rPr>
        <w:t xml:space="preserve">Conditional Caution - </w:t>
      </w:r>
      <w:r w:rsidRPr="00C93E4C">
        <w:rPr>
          <w:rFonts w:eastAsia="Times New Roman" w:cs="Arial"/>
          <w:kern w:val="0"/>
          <w:szCs w:val="24"/>
          <w:lang w:eastAsia="en-GB"/>
          <w14:ligatures w14:val="none"/>
        </w:rPr>
        <w:t>breach of the conditions set will result in prosecution for the original offence</w:t>
      </w:r>
    </w:p>
    <w:p w14:paraId="0C6C1C0A" w14:textId="77777777" w:rsidR="00C93E4C" w:rsidRPr="00C93E4C" w:rsidRDefault="00C93E4C" w:rsidP="00C93E4C">
      <w:pPr>
        <w:spacing w:after="120"/>
        <w:ind w:left="1440"/>
        <w:jc w:val="both"/>
        <w:rPr>
          <w:rFonts w:ascii="Calibri" w:eastAsia="Times New Roman" w:hAnsi="Calibri" w:cs="Arial"/>
          <w:b/>
          <w:bCs/>
          <w:kern w:val="0"/>
          <w:szCs w:val="24"/>
          <w:lang w:eastAsia="en-GB"/>
          <w14:ligatures w14:val="none"/>
        </w:rPr>
      </w:pPr>
    </w:p>
    <w:p w14:paraId="2A7C63D5" w14:textId="77777777" w:rsidR="00C93E4C" w:rsidRPr="00C93E4C" w:rsidRDefault="00C93E4C" w:rsidP="00E53ACC">
      <w:pPr>
        <w:pStyle w:val="Heading2"/>
      </w:pPr>
      <w:r w:rsidRPr="00C93E4C">
        <w:t>Need and Demand</w:t>
      </w:r>
    </w:p>
    <w:p w14:paraId="010E9EB3" w14:textId="77777777" w:rsidR="00C93E4C" w:rsidRPr="00C93E4C" w:rsidRDefault="00C93E4C" w:rsidP="00C57D7C">
      <w:pPr>
        <w:pStyle w:val="Heading3"/>
        <w:numPr>
          <w:ilvl w:val="2"/>
          <w:numId w:val="105"/>
        </w:numPr>
        <w:rPr>
          <w:lang w:eastAsia="en-GB"/>
        </w:rPr>
      </w:pPr>
      <w:r w:rsidRPr="00C93E4C">
        <w:rPr>
          <w:lang w:eastAsia="en-GB"/>
        </w:rPr>
        <w:t xml:space="preserve">The table below shows how many referrals for women the Crossroads scheme has received, and how many women have engaged with the service since May 2023, up to September 2025. The figures are broken down into voluntary and </w:t>
      </w:r>
      <w:proofErr w:type="spellStart"/>
      <w:r w:rsidRPr="00C93E4C">
        <w:rPr>
          <w:lang w:eastAsia="en-GB"/>
        </w:rPr>
        <w:t>OocR</w:t>
      </w:r>
      <w:proofErr w:type="spellEnd"/>
      <w:r w:rsidRPr="00C93E4C">
        <w:rPr>
          <w:lang w:eastAsia="en-GB"/>
        </w:rPr>
        <w:t xml:space="preserve"> cases. </w:t>
      </w:r>
    </w:p>
    <w:tbl>
      <w:tblPr>
        <w:tblStyle w:val="TableGrid2"/>
        <w:tblW w:w="9639" w:type="dxa"/>
        <w:tblInd w:w="279" w:type="dxa"/>
        <w:tblLayout w:type="fixed"/>
        <w:tblLook w:val="04A0" w:firstRow="1" w:lastRow="0" w:firstColumn="1" w:lastColumn="0" w:noHBand="0" w:noVBand="1"/>
      </w:tblPr>
      <w:tblGrid>
        <w:gridCol w:w="1276"/>
        <w:gridCol w:w="1417"/>
        <w:gridCol w:w="1134"/>
        <w:gridCol w:w="1134"/>
        <w:gridCol w:w="1559"/>
        <w:gridCol w:w="1560"/>
        <w:gridCol w:w="1559"/>
      </w:tblGrid>
      <w:tr w:rsidR="002F1CE6" w:rsidRPr="00C93E4C" w14:paraId="259D80C2" w14:textId="77777777" w:rsidTr="00C93E4C">
        <w:tc>
          <w:tcPr>
            <w:tcW w:w="1276" w:type="dxa"/>
            <w:shd w:val="clear" w:color="auto" w:fill="E2EFD9"/>
          </w:tcPr>
          <w:p w14:paraId="28EAF4F9" w14:textId="77777777" w:rsidR="00C93E4C" w:rsidRPr="00C93E4C" w:rsidRDefault="00C93E4C" w:rsidP="00C93E4C">
            <w:pPr>
              <w:spacing w:before="0" w:after="240" w:line="276" w:lineRule="auto"/>
              <w:jc w:val="center"/>
              <w:rPr>
                <w:rFonts w:ascii="Calibri" w:hAnsi="Calibri" w:cs="Calibri"/>
                <w:b/>
                <w:bCs/>
                <w:sz w:val="22"/>
                <w:szCs w:val="22"/>
              </w:rPr>
            </w:pPr>
            <w:r w:rsidRPr="00C93E4C">
              <w:rPr>
                <w:rFonts w:ascii="Calibri" w:hAnsi="Calibri" w:cs="Calibri"/>
                <w:b/>
                <w:bCs/>
                <w:sz w:val="22"/>
                <w:szCs w:val="22"/>
              </w:rPr>
              <w:t>Period</w:t>
            </w:r>
          </w:p>
        </w:tc>
        <w:tc>
          <w:tcPr>
            <w:tcW w:w="1417" w:type="dxa"/>
            <w:shd w:val="clear" w:color="auto" w:fill="E2EFD9"/>
          </w:tcPr>
          <w:p w14:paraId="58C4B3EC" w14:textId="77777777" w:rsidR="00C93E4C" w:rsidRPr="00C93E4C" w:rsidRDefault="00C93E4C" w:rsidP="00C93E4C">
            <w:pPr>
              <w:spacing w:before="0" w:after="240" w:line="276" w:lineRule="auto"/>
              <w:jc w:val="center"/>
              <w:rPr>
                <w:rFonts w:ascii="Calibri" w:hAnsi="Calibri" w:cs="Calibri"/>
                <w:b/>
                <w:bCs/>
                <w:sz w:val="22"/>
                <w:szCs w:val="22"/>
              </w:rPr>
            </w:pPr>
            <w:proofErr w:type="spellStart"/>
            <w:r w:rsidRPr="00C93E4C">
              <w:rPr>
                <w:rFonts w:ascii="Calibri" w:hAnsi="Calibri" w:cs="Calibri"/>
                <w:b/>
                <w:bCs/>
                <w:sz w:val="22"/>
                <w:szCs w:val="22"/>
              </w:rPr>
              <w:t>OoCR</w:t>
            </w:r>
            <w:proofErr w:type="spellEnd"/>
            <w:r w:rsidRPr="00C93E4C">
              <w:rPr>
                <w:rFonts w:ascii="Calibri" w:hAnsi="Calibri" w:cs="Calibri"/>
                <w:b/>
                <w:bCs/>
                <w:sz w:val="22"/>
                <w:szCs w:val="22"/>
              </w:rPr>
              <w:t xml:space="preserve"> Referrals</w:t>
            </w:r>
          </w:p>
        </w:tc>
        <w:tc>
          <w:tcPr>
            <w:tcW w:w="1134" w:type="dxa"/>
            <w:shd w:val="clear" w:color="auto" w:fill="E2EFD9"/>
          </w:tcPr>
          <w:p w14:paraId="0D37444F" w14:textId="77777777" w:rsidR="00C93E4C" w:rsidRPr="00C93E4C" w:rsidRDefault="00C93E4C" w:rsidP="00C93E4C">
            <w:pPr>
              <w:spacing w:before="0" w:after="240" w:line="276" w:lineRule="auto"/>
              <w:jc w:val="center"/>
              <w:rPr>
                <w:rFonts w:ascii="Calibri" w:hAnsi="Calibri" w:cs="Calibri"/>
                <w:b/>
                <w:bCs/>
                <w:sz w:val="22"/>
                <w:szCs w:val="22"/>
              </w:rPr>
            </w:pPr>
            <w:r w:rsidRPr="00C93E4C">
              <w:rPr>
                <w:rFonts w:ascii="Calibri" w:hAnsi="Calibri" w:cs="Calibri"/>
                <w:b/>
                <w:bCs/>
                <w:sz w:val="22"/>
                <w:szCs w:val="22"/>
              </w:rPr>
              <w:t>Voluntary Referrals</w:t>
            </w:r>
          </w:p>
        </w:tc>
        <w:tc>
          <w:tcPr>
            <w:tcW w:w="1134" w:type="dxa"/>
            <w:shd w:val="clear" w:color="auto" w:fill="E2EFD9"/>
          </w:tcPr>
          <w:p w14:paraId="1C444525" w14:textId="77777777" w:rsidR="00C93E4C" w:rsidRPr="00C93E4C" w:rsidRDefault="00C93E4C" w:rsidP="00C93E4C">
            <w:pPr>
              <w:spacing w:before="0" w:after="240" w:line="276" w:lineRule="auto"/>
              <w:jc w:val="center"/>
              <w:rPr>
                <w:rFonts w:ascii="Calibri" w:hAnsi="Calibri" w:cs="Calibri"/>
                <w:b/>
                <w:bCs/>
                <w:sz w:val="22"/>
                <w:szCs w:val="22"/>
              </w:rPr>
            </w:pPr>
            <w:r w:rsidRPr="00C93E4C">
              <w:rPr>
                <w:rFonts w:ascii="Calibri" w:hAnsi="Calibri" w:cs="Calibri"/>
                <w:b/>
                <w:bCs/>
                <w:sz w:val="22"/>
                <w:szCs w:val="22"/>
              </w:rPr>
              <w:t>Total Referrals</w:t>
            </w:r>
          </w:p>
        </w:tc>
        <w:tc>
          <w:tcPr>
            <w:tcW w:w="1559" w:type="dxa"/>
            <w:shd w:val="clear" w:color="auto" w:fill="E2EFD9"/>
          </w:tcPr>
          <w:p w14:paraId="021D69FF" w14:textId="77777777" w:rsidR="00C93E4C" w:rsidRPr="00C93E4C" w:rsidRDefault="00C93E4C" w:rsidP="00C93E4C">
            <w:pPr>
              <w:spacing w:before="0" w:after="240" w:line="276" w:lineRule="auto"/>
              <w:jc w:val="center"/>
              <w:rPr>
                <w:rFonts w:ascii="Calibri" w:hAnsi="Calibri" w:cs="Calibri"/>
                <w:b/>
                <w:bCs/>
                <w:sz w:val="22"/>
                <w:szCs w:val="22"/>
              </w:rPr>
            </w:pPr>
            <w:proofErr w:type="spellStart"/>
            <w:r w:rsidRPr="00C93E4C">
              <w:rPr>
                <w:rFonts w:ascii="Calibri" w:hAnsi="Calibri" w:cs="Calibri"/>
                <w:b/>
                <w:bCs/>
                <w:sz w:val="22"/>
                <w:szCs w:val="22"/>
              </w:rPr>
              <w:t>OoCR</w:t>
            </w:r>
            <w:proofErr w:type="spellEnd"/>
            <w:r w:rsidRPr="00C93E4C">
              <w:rPr>
                <w:rFonts w:ascii="Calibri" w:hAnsi="Calibri" w:cs="Calibri"/>
                <w:b/>
                <w:bCs/>
                <w:sz w:val="22"/>
                <w:szCs w:val="22"/>
              </w:rPr>
              <w:t xml:space="preserve"> Engagements</w:t>
            </w:r>
          </w:p>
        </w:tc>
        <w:tc>
          <w:tcPr>
            <w:tcW w:w="1560" w:type="dxa"/>
            <w:shd w:val="clear" w:color="auto" w:fill="E2EFD9"/>
          </w:tcPr>
          <w:p w14:paraId="3D780F0A" w14:textId="77777777" w:rsidR="00C93E4C" w:rsidRPr="00C93E4C" w:rsidRDefault="00C93E4C" w:rsidP="00C93E4C">
            <w:pPr>
              <w:spacing w:before="0" w:after="240" w:line="276" w:lineRule="auto"/>
              <w:jc w:val="center"/>
              <w:rPr>
                <w:rFonts w:ascii="Calibri" w:hAnsi="Calibri" w:cs="Calibri"/>
                <w:b/>
                <w:bCs/>
                <w:sz w:val="22"/>
                <w:szCs w:val="22"/>
              </w:rPr>
            </w:pPr>
            <w:r w:rsidRPr="00C93E4C">
              <w:rPr>
                <w:rFonts w:ascii="Calibri" w:hAnsi="Calibri" w:cs="Calibri"/>
                <w:b/>
                <w:bCs/>
                <w:sz w:val="22"/>
                <w:szCs w:val="22"/>
              </w:rPr>
              <w:t>Voluntary Engagements</w:t>
            </w:r>
          </w:p>
        </w:tc>
        <w:tc>
          <w:tcPr>
            <w:tcW w:w="1559" w:type="dxa"/>
            <w:shd w:val="clear" w:color="auto" w:fill="E2EFD9"/>
          </w:tcPr>
          <w:p w14:paraId="41E5BD57" w14:textId="77777777" w:rsidR="00C93E4C" w:rsidRPr="00C93E4C" w:rsidRDefault="00C93E4C" w:rsidP="00C93E4C">
            <w:pPr>
              <w:spacing w:before="0" w:after="240" w:line="276" w:lineRule="auto"/>
              <w:jc w:val="center"/>
              <w:rPr>
                <w:rFonts w:ascii="Calibri" w:hAnsi="Calibri" w:cs="Calibri"/>
                <w:b/>
                <w:bCs/>
                <w:sz w:val="22"/>
                <w:szCs w:val="22"/>
              </w:rPr>
            </w:pPr>
            <w:r w:rsidRPr="00C93E4C">
              <w:rPr>
                <w:rFonts w:ascii="Calibri" w:hAnsi="Calibri" w:cs="Calibri"/>
                <w:b/>
                <w:bCs/>
                <w:sz w:val="22"/>
                <w:szCs w:val="22"/>
              </w:rPr>
              <w:t>Total Engagements</w:t>
            </w:r>
          </w:p>
        </w:tc>
      </w:tr>
      <w:tr w:rsidR="00C93E4C" w:rsidRPr="00C93E4C" w14:paraId="4DA63FA8" w14:textId="77777777" w:rsidTr="00F44331">
        <w:tc>
          <w:tcPr>
            <w:tcW w:w="1276" w:type="dxa"/>
          </w:tcPr>
          <w:p w14:paraId="26615743" w14:textId="77777777" w:rsidR="00C93E4C" w:rsidRPr="00C93E4C" w:rsidRDefault="00C93E4C" w:rsidP="00C93E4C">
            <w:pPr>
              <w:spacing w:before="0" w:after="240" w:line="276" w:lineRule="auto"/>
              <w:jc w:val="center"/>
              <w:rPr>
                <w:rFonts w:ascii="Calibri" w:hAnsi="Calibri" w:cs="Calibri"/>
                <w:sz w:val="22"/>
                <w:szCs w:val="22"/>
              </w:rPr>
            </w:pPr>
            <w:r w:rsidRPr="00C93E4C">
              <w:rPr>
                <w:rFonts w:ascii="Calibri" w:hAnsi="Calibri" w:cs="Calibri"/>
                <w:sz w:val="22"/>
                <w:szCs w:val="22"/>
              </w:rPr>
              <w:t>April 22 – March 23</w:t>
            </w:r>
          </w:p>
        </w:tc>
        <w:tc>
          <w:tcPr>
            <w:tcW w:w="1417" w:type="dxa"/>
          </w:tcPr>
          <w:p w14:paraId="7F5D756F"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99</w:t>
            </w:r>
          </w:p>
        </w:tc>
        <w:tc>
          <w:tcPr>
            <w:tcW w:w="1134" w:type="dxa"/>
          </w:tcPr>
          <w:p w14:paraId="3F6F2A32"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29</w:t>
            </w:r>
          </w:p>
        </w:tc>
        <w:tc>
          <w:tcPr>
            <w:tcW w:w="1134" w:type="dxa"/>
          </w:tcPr>
          <w:p w14:paraId="26B29835" w14:textId="77777777" w:rsidR="00C93E4C" w:rsidRPr="00C93E4C" w:rsidRDefault="00C93E4C" w:rsidP="00C93E4C">
            <w:pPr>
              <w:spacing w:before="0" w:after="240" w:line="276" w:lineRule="auto"/>
              <w:jc w:val="right"/>
              <w:rPr>
                <w:rFonts w:ascii="Calibri" w:hAnsi="Calibri" w:cs="Calibri"/>
                <w:b/>
                <w:bCs/>
                <w:sz w:val="22"/>
                <w:szCs w:val="22"/>
              </w:rPr>
            </w:pPr>
            <w:r w:rsidRPr="00C93E4C">
              <w:rPr>
                <w:rFonts w:ascii="Calibri" w:hAnsi="Calibri" w:cs="Calibri"/>
                <w:b/>
                <w:bCs/>
                <w:sz w:val="22"/>
                <w:szCs w:val="22"/>
              </w:rPr>
              <w:t>128</w:t>
            </w:r>
          </w:p>
        </w:tc>
        <w:tc>
          <w:tcPr>
            <w:tcW w:w="1559" w:type="dxa"/>
          </w:tcPr>
          <w:p w14:paraId="2C85ED24"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89</w:t>
            </w:r>
          </w:p>
        </w:tc>
        <w:tc>
          <w:tcPr>
            <w:tcW w:w="1560" w:type="dxa"/>
          </w:tcPr>
          <w:p w14:paraId="28E74749"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18</w:t>
            </w:r>
          </w:p>
        </w:tc>
        <w:tc>
          <w:tcPr>
            <w:tcW w:w="1559" w:type="dxa"/>
          </w:tcPr>
          <w:p w14:paraId="4BA680C1" w14:textId="77777777" w:rsidR="00C93E4C" w:rsidRPr="00C93E4C" w:rsidRDefault="00C93E4C" w:rsidP="00C93E4C">
            <w:pPr>
              <w:spacing w:before="0" w:after="240" w:line="276" w:lineRule="auto"/>
              <w:jc w:val="right"/>
              <w:rPr>
                <w:rFonts w:ascii="Calibri" w:hAnsi="Calibri" w:cs="Calibri"/>
                <w:b/>
                <w:bCs/>
                <w:sz w:val="22"/>
                <w:szCs w:val="22"/>
              </w:rPr>
            </w:pPr>
            <w:r w:rsidRPr="00C93E4C">
              <w:rPr>
                <w:rFonts w:ascii="Calibri" w:hAnsi="Calibri" w:cs="Calibri"/>
                <w:b/>
                <w:bCs/>
                <w:sz w:val="22"/>
                <w:szCs w:val="22"/>
              </w:rPr>
              <w:t>107</w:t>
            </w:r>
          </w:p>
        </w:tc>
      </w:tr>
      <w:tr w:rsidR="00C93E4C" w:rsidRPr="00C93E4C" w14:paraId="36617EC4" w14:textId="77777777" w:rsidTr="00F44331">
        <w:tc>
          <w:tcPr>
            <w:tcW w:w="1276" w:type="dxa"/>
          </w:tcPr>
          <w:p w14:paraId="7DE4FE2C" w14:textId="77777777" w:rsidR="00C93E4C" w:rsidRPr="00C93E4C" w:rsidRDefault="00C93E4C" w:rsidP="00C93E4C">
            <w:pPr>
              <w:spacing w:before="0" w:after="240" w:line="276" w:lineRule="auto"/>
              <w:jc w:val="center"/>
              <w:rPr>
                <w:rFonts w:ascii="Calibri" w:hAnsi="Calibri" w:cs="Calibri"/>
                <w:sz w:val="22"/>
                <w:szCs w:val="22"/>
              </w:rPr>
            </w:pPr>
            <w:r w:rsidRPr="00C93E4C">
              <w:rPr>
                <w:rFonts w:ascii="Calibri" w:hAnsi="Calibri" w:cs="Calibri"/>
                <w:sz w:val="22"/>
                <w:szCs w:val="22"/>
              </w:rPr>
              <w:lastRenderedPageBreak/>
              <w:t>April 23 – March 24</w:t>
            </w:r>
          </w:p>
        </w:tc>
        <w:tc>
          <w:tcPr>
            <w:tcW w:w="1417" w:type="dxa"/>
          </w:tcPr>
          <w:p w14:paraId="54F7DEA3"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108</w:t>
            </w:r>
          </w:p>
        </w:tc>
        <w:tc>
          <w:tcPr>
            <w:tcW w:w="1134" w:type="dxa"/>
          </w:tcPr>
          <w:p w14:paraId="4424E869"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45</w:t>
            </w:r>
          </w:p>
        </w:tc>
        <w:tc>
          <w:tcPr>
            <w:tcW w:w="1134" w:type="dxa"/>
          </w:tcPr>
          <w:p w14:paraId="56F4CBC6" w14:textId="77777777" w:rsidR="00C93E4C" w:rsidRPr="00C93E4C" w:rsidRDefault="00C93E4C" w:rsidP="00C93E4C">
            <w:pPr>
              <w:spacing w:before="0" w:after="240" w:line="276" w:lineRule="auto"/>
              <w:jc w:val="right"/>
              <w:rPr>
                <w:rFonts w:ascii="Calibri" w:hAnsi="Calibri" w:cs="Calibri"/>
                <w:b/>
                <w:bCs/>
                <w:sz w:val="22"/>
                <w:szCs w:val="22"/>
              </w:rPr>
            </w:pPr>
            <w:r w:rsidRPr="00C93E4C">
              <w:rPr>
                <w:rFonts w:ascii="Calibri" w:hAnsi="Calibri" w:cs="Calibri"/>
                <w:b/>
                <w:bCs/>
                <w:sz w:val="22"/>
                <w:szCs w:val="22"/>
              </w:rPr>
              <w:t>153</w:t>
            </w:r>
          </w:p>
        </w:tc>
        <w:tc>
          <w:tcPr>
            <w:tcW w:w="1559" w:type="dxa"/>
          </w:tcPr>
          <w:p w14:paraId="083A5DA6"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97</w:t>
            </w:r>
          </w:p>
        </w:tc>
        <w:tc>
          <w:tcPr>
            <w:tcW w:w="1560" w:type="dxa"/>
          </w:tcPr>
          <w:p w14:paraId="4227604D"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35</w:t>
            </w:r>
          </w:p>
        </w:tc>
        <w:tc>
          <w:tcPr>
            <w:tcW w:w="1559" w:type="dxa"/>
          </w:tcPr>
          <w:p w14:paraId="7BA6503F" w14:textId="77777777" w:rsidR="00C93E4C" w:rsidRPr="00C93E4C" w:rsidRDefault="00C93E4C" w:rsidP="00C93E4C">
            <w:pPr>
              <w:spacing w:before="0" w:after="240" w:line="276" w:lineRule="auto"/>
              <w:jc w:val="right"/>
              <w:rPr>
                <w:rFonts w:ascii="Calibri" w:hAnsi="Calibri" w:cs="Calibri"/>
                <w:b/>
                <w:bCs/>
                <w:sz w:val="22"/>
                <w:szCs w:val="22"/>
              </w:rPr>
            </w:pPr>
            <w:r w:rsidRPr="00C93E4C">
              <w:rPr>
                <w:rFonts w:ascii="Calibri" w:hAnsi="Calibri" w:cs="Calibri"/>
                <w:b/>
                <w:bCs/>
                <w:sz w:val="22"/>
                <w:szCs w:val="22"/>
              </w:rPr>
              <w:t>132</w:t>
            </w:r>
          </w:p>
        </w:tc>
      </w:tr>
      <w:tr w:rsidR="00C93E4C" w:rsidRPr="00C93E4C" w14:paraId="23A85F87" w14:textId="77777777" w:rsidTr="00F44331">
        <w:tc>
          <w:tcPr>
            <w:tcW w:w="1276" w:type="dxa"/>
          </w:tcPr>
          <w:p w14:paraId="55490509" w14:textId="77777777" w:rsidR="00C93E4C" w:rsidRPr="00C93E4C" w:rsidRDefault="00C93E4C" w:rsidP="00C93E4C">
            <w:pPr>
              <w:spacing w:before="0" w:after="240" w:line="276" w:lineRule="auto"/>
              <w:jc w:val="center"/>
              <w:rPr>
                <w:rFonts w:ascii="Calibri" w:hAnsi="Calibri" w:cs="Calibri"/>
                <w:sz w:val="22"/>
                <w:szCs w:val="22"/>
              </w:rPr>
            </w:pPr>
            <w:r w:rsidRPr="00C93E4C">
              <w:rPr>
                <w:rFonts w:ascii="Calibri" w:hAnsi="Calibri" w:cs="Calibri"/>
                <w:sz w:val="22"/>
                <w:szCs w:val="22"/>
              </w:rPr>
              <w:t>April 24 – March 25</w:t>
            </w:r>
          </w:p>
        </w:tc>
        <w:tc>
          <w:tcPr>
            <w:tcW w:w="1417" w:type="dxa"/>
          </w:tcPr>
          <w:p w14:paraId="6D531052"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58</w:t>
            </w:r>
          </w:p>
        </w:tc>
        <w:tc>
          <w:tcPr>
            <w:tcW w:w="1134" w:type="dxa"/>
          </w:tcPr>
          <w:p w14:paraId="26A602C4"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59</w:t>
            </w:r>
          </w:p>
        </w:tc>
        <w:tc>
          <w:tcPr>
            <w:tcW w:w="1134" w:type="dxa"/>
          </w:tcPr>
          <w:p w14:paraId="49C4DF1C" w14:textId="77777777" w:rsidR="00C93E4C" w:rsidRPr="00C93E4C" w:rsidRDefault="00C93E4C" w:rsidP="00C93E4C">
            <w:pPr>
              <w:spacing w:before="0" w:after="240" w:line="276" w:lineRule="auto"/>
              <w:jc w:val="right"/>
              <w:rPr>
                <w:rFonts w:ascii="Calibri" w:hAnsi="Calibri" w:cs="Calibri"/>
                <w:b/>
                <w:bCs/>
                <w:sz w:val="22"/>
                <w:szCs w:val="22"/>
              </w:rPr>
            </w:pPr>
            <w:r w:rsidRPr="00C93E4C">
              <w:rPr>
                <w:rFonts w:ascii="Calibri" w:hAnsi="Calibri" w:cs="Calibri"/>
                <w:b/>
                <w:bCs/>
                <w:sz w:val="22"/>
                <w:szCs w:val="22"/>
              </w:rPr>
              <w:t>117</w:t>
            </w:r>
          </w:p>
        </w:tc>
        <w:tc>
          <w:tcPr>
            <w:tcW w:w="1559" w:type="dxa"/>
          </w:tcPr>
          <w:p w14:paraId="20B02112"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58</w:t>
            </w:r>
          </w:p>
        </w:tc>
        <w:tc>
          <w:tcPr>
            <w:tcW w:w="1560" w:type="dxa"/>
          </w:tcPr>
          <w:p w14:paraId="1FF17899" w14:textId="77777777" w:rsidR="00C93E4C" w:rsidRPr="00C93E4C" w:rsidRDefault="00C93E4C" w:rsidP="00C93E4C">
            <w:pPr>
              <w:spacing w:before="0" w:after="240" w:line="276" w:lineRule="auto"/>
              <w:jc w:val="right"/>
              <w:rPr>
                <w:rFonts w:ascii="Calibri" w:hAnsi="Calibri" w:cs="Calibri"/>
                <w:sz w:val="22"/>
                <w:szCs w:val="22"/>
              </w:rPr>
            </w:pPr>
            <w:r w:rsidRPr="00C93E4C">
              <w:rPr>
                <w:rFonts w:ascii="Calibri" w:hAnsi="Calibri" w:cs="Calibri"/>
                <w:sz w:val="22"/>
                <w:szCs w:val="22"/>
              </w:rPr>
              <w:t>43</w:t>
            </w:r>
          </w:p>
        </w:tc>
        <w:tc>
          <w:tcPr>
            <w:tcW w:w="1559" w:type="dxa"/>
          </w:tcPr>
          <w:p w14:paraId="0DAC3CE2" w14:textId="77777777" w:rsidR="00C93E4C" w:rsidRPr="00C93E4C" w:rsidRDefault="00C93E4C" w:rsidP="00C93E4C">
            <w:pPr>
              <w:spacing w:before="0" w:after="240" w:line="276" w:lineRule="auto"/>
              <w:jc w:val="right"/>
              <w:rPr>
                <w:rFonts w:ascii="Calibri" w:hAnsi="Calibri" w:cs="Calibri"/>
                <w:b/>
                <w:bCs/>
                <w:sz w:val="22"/>
                <w:szCs w:val="22"/>
              </w:rPr>
            </w:pPr>
            <w:r w:rsidRPr="00C93E4C">
              <w:rPr>
                <w:rFonts w:ascii="Calibri" w:hAnsi="Calibri" w:cs="Calibri"/>
                <w:b/>
                <w:bCs/>
                <w:sz w:val="22"/>
                <w:szCs w:val="22"/>
              </w:rPr>
              <w:t>101</w:t>
            </w:r>
          </w:p>
        </w:tc>
      </w:tr>
    </w:tbl>
    <w:p w14:paraId="0D658514" w14:textId="77777777" w:rsidR="00C93E4C" w:rsidRPr="00C93E4C" w:rsidRDefault="00C93E4C" w:rsidP="00C93E4C">
      <w:pPr>
        <w:spacing w:after="120"/>
        <w:ind w:left="720"/>
        <w:jc w:val="both"/>
        <w:rPr>
          <w:rFonts w:ascii="Calibri" w:eastAsia="Times New Roman" w:hAnsi="Calibri" w:cs="Arial"/>
          <w:b/>
          <w:bCs/>
          <w:kern w:val="0"/>
          <w:szCs w:val="24"/>
          <w:lang w:eastAsia="en-GB"/>
          <w14:ligatures w14:val="none"/>
        </w:rPr>
      </w:pPr>
    </w:p>
    <w:p w14:paraId="0AAF0B3D" w14:textId="77777777" w:rsidR="00C93E4C" w:rsidRPr="00C93E4C" w:rsidRDefault="00C93E4C" w:rsidP="00E53ACC">
      <w:pPr>
        <w:pStyle w:val="Heading2"/>
      </w:pPr>
      <w:r w:rsidRPr="00C93E4C">
        <w:t>Measurements of Success</w:t>
      </w:r>
    </w:p>
    <w:p w14:paraId="784ED4C2" w14:textId="1C1C7873" w:rsidR="00C93E4C" w:rsidRPr="00C93E4C" w:rsidRDefault="00C93E4C" w:rsidP="00C57D7C">
      <w:pPr>
        <w:pStyle w:val="Heading3"/>
        <w:numPr>
          <w:ilvl w:val="2"/>
          <w:numId w:val="106"/>
        </w:numPr>
        <w:rPr>
          <w:lang w:eastAsia="en-GB"/>
        </w:rPr>
      </w:pPr>
      <w:r w:rsidRPr="00C93E4C">
        <w:rPr>
          <w:lang w:eastAsia="en-GB"/>
        </w:rPr>
        <w:t>To measu</w:t>
      </w:r>
      <w:r w:rsidR="00B625FA">
        <w:rPr>
          <w:lang w:eastAsia="en-GB"/>
        </w:rPr>
        <w:t>re</w:t>
      </w:r>
      <w:r w:rsidRPr="00C93E4C">
        <w:rPr>
          <w:lang w:eastAsia="en-GB"/>
        </w:rPr>
        <w:t xml:space="preserve"> the success of the diversion service - a first-time entrant to the criminal justice system will be defined as an individual who receives their first caution or charge. The rate of first-time entrants within the programme will be defined as the proportion of those who engage with the programme with no previous cautions or convictions who are subsequently given a caution or charge within 12 months of completing an initial assessment. </w:t>
      </w:r>
    </w:p>
    <w:p w14:paraId="0DEE12AB" w14:textId="77777777" w:rsidR="00C93E4C" w:rsidRPr="00C93E4C" w:rsidRDefault="00C93E4C" w:rsidP="00432BC6">
      <w:pPr>
        <w:spacing w:before="0" w:after="200" w:line="276" w:lineRule="auto"/>
        <w:rPr>
          <w:rFonts w:ascii="Calibri" w:eastAsia="Times New Roman" w:hAnsi="Calibri" w:cs="Calibri"/>
          <w:b/>
          <w:kern w:val="0"/>
          <w:lang w:eastAsia="en-GB"/>
          <w14:ligatures w14:val="none"/>
        </w:rPr>
      </w:pPr>
    </w:p>
    <w:p w14:paraId="014ECF97" w14:textId="77777777" w:rsidR="00C93E4C" w:rsidRPr="00C93E4C" w:rsidRDefault="00C93E4C" w:rsidP="00E53ACC">
      <w:pPr>
        <w:pStyle w:val="Heading2"/>
      </w:pPr>
      <w:r w:rsidRPr="00C93E4C">
        <w:t>Reoffending</w:t>
      </w:r>
    </w:p>
    <w:p w14:paraId="477E9771" w14:textId="77777777" w:rsidR="00C93E4C" w:rsidRPr="00432BC6" w:rsidRDefault="00C93E4C" w:rsidP="00C57D7C">
      <w:pPr>
        <w:pStyle w:val="Heading3"/>
        <w:numPr>
          <w:ilvl w:val="2"/>
          <w:numId w:val="107"/>
        </w:numPr>
        <w:rPr>
          <w:b/>
          <w:lang w:eastAsia="en-GB"/>
        </w:rPr>
      </w:pPr>
      <w:r w:rsidRPr="00C93E4C">
        <w:rPr>
          <w:lang w:eastAsia="en-GB"/>
        </w:rPr>
        <w:t>For the purposes of analysing the success of the proposed service, a reoffence will be defined by any offence after engagement with the service that results in a caution or charge. This is used as a proxy measure for ‘proven reoffending’, which is the term used by the MoJ to describe subsequent offences that result in a caution or conviction.</w:t>
      </w:r>
    </w:p>
    <w:p w14:paraId="5E849DBF" w14:textId="77777777" w:rsidR="00C93E4C" w:rsidRPr="00C93E4C" w:rsidRDefault="00C93E4C" w:rsidP="00432BC6">
      <w:pPr>
        <w:pStyle w:val="Heading3"/>
        <w:rPr>
          <w:b/>
          <w:lang w:eastAsia="en-GB"/>
        </w:rPr>
      </w:pPr>
      <w:r w:rsidRPr="00C93E4C">
        <w:rPr>
          <w:lang w:eastAsia="en-GB"/>
        </w:rPr>
        <w:t>Reoffending will be measured using a binary measure (% of those on the programme who reoffend within 3, 6, 9 and 12 months of initial assessment); a frequency measure (the average number of reoffences per reoffender within 3, 6, 9 and 12 months); and a severity measure (the average severity score of reoffences).</w:t>
      </w:r>
    </w:p>
    <w:p w14:paraId="20A48992" w14:textId="77777777" w:rsidR="00C93E4C" w:rsidRPr="00C93E4C" w:rsidRDefault="00C93E4C" w:rsidP="00432BC6">
      <w:pPr>
        <w:pStyle w:val="Heading3"/>
        <w:rPr>
          <w:b/>
          <w:lang w:eastAsia="en-GB"/>
        </w:rPr>
      </w:pPr>
      <w:r w:rsidRPr="00C93E4C">
        <w:rPr>
          <w:lang w:eastAsia="en-GB"/>
        </w:rPr>
        <w:t>In-person comparisons will also be measured, comparing the frequency and severity of offending behaviour of individuals in the 12 months prior to initial assessment and the 12 months after initial assessment (to include measurements at the 3-, 6-, and 9-month points post initial assessment).</w:t>
      </w:r>
    </w:p>
    <w:p w14:paraId="633E7011" w14:textId="77777777" w:rsidR="00C93E4C" w:rsidRPr="00C93E4C" w:rsidRDefault="00C93E4C" w:rsidP="00E53ACC">
      <w:pPr>
        <w:pStyle w:val="Heading2"/>
      </w:pPr>
      <w:r w:rsidRPr="00C93E4C">
        <w:t xml:space="preserve"> </w:t>
      </w:r>
      <w:bookmarkStart w:id="114" w:name="_Toc512885476"/>
      <w:bookmarkStart w:id="115" w:name="_Ref523921171"/>
      <w:r w:rsidRPr="00C93E4C">
        <w:t xml:space="preserve">Crossroads Diversion Scheme Performance Indicators </w:t>
      </w:r>
    </w:p>
    <w:p w14:paraId="6D5E27B2" w14:textId="77777777" w:rsidR="00C93E4C" w:rsidRPr="00432BC6" w:rsidRDefault="00C93E4C" w:rsidP="00C57D7C">
      <w:pPr>
        <w:pStyle w:val="Heading3"/>
        <w:numPr>
          <w:ilvl w:val="2"/>
          <w:numId w:val="108"/>
        </w:numPr>
        <w:rPr>
          <w:b/>
          <w:bCs/>
          <w:lang w:eastAsia="en-GB"/>
        </w:rPr>
      </w:pPr>
      <w:r w:rsidRPr="00C93E4C">
        <w:rPr>
          <w:lang w:eastAsia="en-GB"/>
        </w:rPr>
        <w:t>The YNYCA has tracked women who have been supported by the Crossroads Diversion scheme, as per the measurements of success defined above. The results shown in the table below are an average taken from three cohorts of women who were supported from 2021 until 2024.</w:t>
      </w:r>
    </w:p>
    <w:tbl>
      <w:tblPr>
        <w:tblStyle w:val="TableGrid2"/>
        <w:tblW w:w="10915" w:type="dxa"/>
        <w:tblInd w:w="-5" w:type="dxa"/>
        <w:tblLook w:val="04A0" w:firstRow="1" w:lastRow="0" w:firstColumn="1" w:lastColumn="0" w:noHBand="0" w:noVBand="1"/>
      </w:tblPr>
      <w:tblGrid>
        <w:gridCol w:w="2977"/>
        <w:gridCol w:w="3119"/>
        <w:gridCol w:w="2516"/>
        <w:gridCol w:w="2303"/>
      </w:tblGrid>
      <w:tr w:rsidR="00C93E4C" w:rsidRPr="00C93E4C" w14:paraId="75379508" w14:textId="77777777" w:rsidTr="00432BC6">
        <w:tc>
          <w:tcPr>
            <w:tcW w:w="2977" w:type="dxa"/>
            <w:shd w:val="clear" w:color="auto" w:fill="E2EFD9"/>
          </w:tcPr>
          <w:p w14:paraId="5025CA9A" w14:textId="77777777" w:rsidR="00C93E4C" w:rsidRPr="00C93E4C" w:rsidRDefault="00C93E4C" w:rsidP="00C93E4C">
            <w:pPr>
              <w:spacing w:before="0" w:after="240" w:line="276" w:lineRule="auto"/>
              <w:rPr>
                <w:rFonts w:ascii="Calibri" w:hAnsi="Calibri" w:cs="Calibri"/>
                <w:b/>
                <w:bCs/>
                <w:sz w:val="22"/>
                <w:szCs w:val="22"/>
              </w:rPr>
            </w:pPr>
            <w:r w:rsidRPr="00C93E4C">
              <w:rPr>
                <w:rFonts w:ascii="Calibri" w:hAnsi="Calibri" w:cs="Calibri"/>
                <w:b/>
                <w:bCs/>
                <w:sz w:val="22"/>
                <w:szCs w:val="22"/>
              </w:rPr>
              <w:t>% without previous cautions/convictions who did not receive a caution/charge within 12 months of initial assessment</w:t>
            </w:r>
          </w:p>
        </w:tc>
        <w:tc>
          <w:tcPr>
            <w:tcW w:w="3119" w:type="dxa"/>
            <w:shd w:val="clear" w:color="auto" w:fill="E2EFD9"/>
          </w:tcPr>
          <w:p w14:paraId="54DA685C" w14:textId="77777777" w:rsidR="00C93E4C" w:rsidRPr="00C93E4C" w:rsidRDefault="00C93E4C" w:rsidP="00C93E4C">
            <w:pPr>
              <w:spacing w:before="0" w:after="240" w:line="276" w:lineRule="auto"/>
              <w:rPr>
                <w:rFonts w:ascii="Calibri" w:hAnsi="Calibri" w:cs="Calibri"/>
                <w:b/>
                <w:bCs/>
                <w:sz w:val="22"/>
                <w:szCs w:val="22"/>
              </w:rPr>
            </w:pPr>
            <w:r w:rsidRPr="00C93E4C">
              <w:rPr>
                <w:rFonts w:ascii="Calibri" w:hAnsi="Calibri" w:cs="Calibri"/>
                <w:b/>
                <w:bCs/>
                <w:sz w:val="22"/>
                <w:szCs w:val="22"/>
              </w:rPr>
              <w:t>% with previous cautions/convictions who did not receive a cation/charge within 12 months of initial assessment</w:t>
            </w:r>
          </w:p>
        </w:tc>
        <w:tc>
          <w:tcPr>
            <w:tcW w:w="2516" w:type="dxa"/>
            <w:shd w:val="clear" w:color="auto" w:fill="E2EFD9"/>
          </w:tcPr>
          <w:p w14:paraId="59E27945" w14:textId="77777777" w:rsidR="00C93E4C" w:rsidRPr="00C93E4C" w:rsidRDefault="00C93E4C" w:rsidP="00C93E4C">
            <w:pPr>
              <w:spacing w:before="0" w:after="240" w:line="276" w:lineRule="auto"/>
              <w:rPr>
                <w:rFonts w:ascii="Calibri" w:hAnsi="Calibri" w:cs="Calibri"/>
                <w:b/>
                <w:bCs/>
                <w:sz w:val="22"/>
                <w:szCs w:val="22"/>
              </w:rPr>
            </w:pPr>
            <w:r w:rsidRPr="00C93E4C">
              <w:rPr>
                <w:rFonts w:ascii="Calibri" w:hAnsi="Calibri" w:cs="Calibri"/>
                <w:b/>
                <w:bCs/>
                <w:sz w:val="22"/>
                <w:szCs w:val="22"/>
              </w:rPr>
              <w:t>% who demonstrated a reduction in frequency of offending</w:t>
            </w:r>
          </w:p>
        </w:tc>
        <w:tc>
          <w:tcPr>
            <w:tcW w:w="2303" w:type="dxa"/>
            <w:shd w:val="clear" w:color="auto" w:fill="E2EFD9"/>
          </w:tcPr>
          <w:p w14:paraId="605342D3" w14:textId="77777777" w:rsidR="00C93E4C" w:rsidRPr="00C93E4C" w:rsidRDefault="00C93E4C" w:rsidP="00C93E4C">
            <w:pPr>
              <w:spacing w:before="0" w:after="240" w:line="276" w:lineRule="auto"/>
              <w:rPr>
                <w:rFonts w:ascii="Calibri" w:hAnsi="Calibri" w:cs="Calibri"/>
                <w:b/>
                <w:bCs/>
                <w:sz w:val="22"/>
                <w:szCs w:val="22"/>
              </w:rPr>
            </w:pPr>
            <w:r w:rsidRPr="00C93E4C">
              <w:rPr>
                <w:rFonts w:ascii="Calibri" w:hAnsi="Calibri" w:cs="Calibri"/>
                <w:b/>
                <w:bCs/>
                <w:sz w:val="22"/>
                <w:szCs w:val="22"/>
              </w:rPr>
              <w:t>% who demonstrated a reduction in severity of offending</w:t>
            </w:r>
          </w:p>
        </w:tc>
      </w:tr>
      <w:tr w:rsidR="00C93E4C" w:rsidRPr="00C93E4C" w14:paraId="3B22B19E" w14:textId="77777777" w:rsidTr="00432BC6">
        <w:tc>
          <w:tcPr>
            <w:tcW w:w="2977" w:type="dxa"/>
          </w:tcPr>
          <w:p w14:paraId="705D41D3" w14:textId="77777777" w:rsidR="00C93E4C" w:rsidRPr="00C93E4C" w:rsidRDefault="00C93E4C" w:rsidP="00C93E4C">
            <w:pPr>
              <w:spacing w:before="0" w:after="240" w:line="276" w:lineRule="auto"/>
              <w:jc w:val="right"/>
              <w:rPr>
                <w:rFonts w:ascii="Calibri" w:hAnsi="Calibri" w:cs="Calibri"/>
                <w:b/>
                <w:bCs/>
                <w:sz w:val="22"/>
                <w:szCs w:val="22"/>
              </w:rPr>
            </w:pPr>
            <w:r w:rsidRPr="00C93E4C">
              <w:rPr>
                <w:rFonts w:ascii="Calibri" w:hAnsi="Calibri" w:cs="Calibri"/>
                <w:b/>
                <w:bCs/>
                <w:sz w:val="22"/>
                <w:szCs w:val="22"/>
              </w:rPr>
              <w:t>81%</w:t>
            </w:r>
          </w:p>
        </w:tc>
        <w:tc>
          <w:tcPr>
            <w:tcW w:w="3119" w:type="dxa"/>
          </w:tcPr>
          <w:p w14:paraId="44B32779" w14:textId="77777777" w:rsidR="00C93E4C" w:rsidRPr="00C93E4C" w:rsidRDefault="00C93E4C" w:rsidP="00C93E4C">
            <w:pPr>
              <w:spacing w:before="0" w:after="240" w:line="276" w:lineRule="auto"/>
              <w:jc w:val="right"/>
              <w:rPr>
                <w:rFonts w:ascii="Calibri" w:hAnsi="Calibri" w:cs="Calibri"/>
                <w:b/>
                <w:bCs/>
                <w:sz w:val="22"/>
                <w:szCs w:val="22"/>
              </w:rPr>
            </w:pPr>
            <w:r w:rsidRPr="00C93E4C">
              <w:rPr>
                <w:rFonts w:ascii="Calibri" w:hAnsi="Calibri" w:cs="Calibri"/>
                <w:b/>
                <w:bCs/>
                <w:sz w:val="22"/>
                <w:szCs w:val="22"/>
              </w:rPr>
              <w:t>65%</w:t>
            </w:r>
          </w:p>
        </w:tc>
        <w:tc>
          <w:tcPr>
            <w:tcW w:w="2516" w:type="dxa"/>
          </w:tcPr>
          <w:p w14:paraId="27FE357C" w14:textId="77777777" w:rsidR="00C93E4C" w:rsidRPr="00C93E4C" w:rsidRDefault="00C93E4C" w:rsidP="00C93E4C">
            <w:pPr>
              <w:spacing w:before="0" w:after="240" w:line="276" w:lineRule="auto"/>
              <w:jc w:val="right"/>
              <w:rPr>
                <w:rFonts w:ascii="Calibri" w:hAnsi="Calibri" w:cs="Calibri"/>
                <w:b/>
                <w:bCs/>
                <w:sz w:val="22"/>
                <w:szCs w:val="22"/>
              </w:rPr>
            </w:pPr>
            <w:r w:rsidRPr="00C93E4C">
              <w:rPr>
                <w:rFonts w:ascii="Calibri" w:hAnsi="Calibri" w:cs="Calibri"/>
                <w:b/>
                <w:bCs/>
                <w:sz w:val="22"/>
                <w:szCs w:val="22"/>
              </w:rPr>
              <w:t>76%</w:t>
            </w:r>
          </w:p>
        </w:tc>
        <w:tc>
          <w:tcPr>
            <w:tcW w:w="2303" w:type="dxa"/>
          </w:tcPr>
          <w:p w14:paraId="5E56986F" w14:textId="77777777" w:rsidR="00C93E4C" w:rsidRPr="00C93E4C" w:rsidRDefault="00C93E4C" w:rsidP="00C93E4C">
            <w:pPr>
              <w:spacing w:before="0" w:after="240" w:line="276" w:lineRule="auto"/>
              <w:jc w:val="right"/>
              <w:rPr>
                <w:rFonts w:ascii="Calibri" w:hAnsi="Calibri" w:cs="Calibri"/>
                <w:b/>
                <w:bCs/>
                <w:sz w:val="22"/>
                <w:szCs w:val="22"/>
              </w:rPr>
            </w:pPr>
            <w:r w:rsidRPr="00C93E4C">
              <w:rPr>
                <w:rFonts w:ascii="Calibri" w:hAnsi="Calibri" w:cs="Calibri"/>
                <w:b/>
                <w:bCs/>
                <w:sz w:val="22"/>
                <w:szCs w:val="22"/>
              </w:rPr>
              <w:t>76%</w:t>
            </w:r>
          </w:p>
        </w:tc>
      </w:tr>
    </w:tbl>
    <w:p w14:paraId="3D04C554" w14:textId="77777777" w:rsidR="00C93E4C" w:rsidRPr="00C93E4C" w:rsidRDefault="00C93E4C" w:rsidP="00C93E4C">
      <w:pPr>
        <w:spacing w:before="0" w:after="240"/>
        <w:ind w:left="720"/>
        <w:rPr>
          <w:rFonts w:ascii="Calibri" w:eastAsia="Times New Roman" w:hAnsi="Calibri" w:cs="Calibri"/>
          <w:b/>
          <w:bCs/>
          <w:kern w:val="0"/>
          <w:lang w:eastAsia="en-GB"/>
          <w14:ligatures w14:val="none"/>
        </w:rPr>
      </w:pPr>
    </w:p>
    <w:p w14:paraId="7B12F391" w14:textId="77777777" w:rsidR="00C93E4C" w:rsidRPr="00C93E4C" w:rsidRDefault="00C93E4C" w:rsidP="00E53ACC">
      <w:pPr>
        <w:pStyle w:val="Heading2"/>
      </w:pPr>
      <w:r w:rsidRPr="00C93E4C">
        <w:lastRenderedPageBreak/>
        <w:t>Scope and Specificatio</w:t>
      </w:r>
      <w:bookmarkEnd w:id="114"/>
      <w:bookmarkEnd w:id="115"/>
      <w:r w:rsidRPr="00C93E4C">
        <w:t>n</w:t>
      </w:r>
    </w:p>
    <w:p w14:paraId="2116E987" w14:textId="77777777" w:rsidR="00C93E4C" w:rsidRPr="00432BC6" w:rsidRDefault="00C93E4C" w:rsidP="00C57D7C">
      <w:pPr>
        <w:pStyle w:val="Heading3"/>
        <w:numPr>
          <w:ilvl w:val="2"/>
          <w:numId w:val="109"/>
        </w:numPr>
        <w:rPr>
          <w:b/>
          <w:bCs/>
          <w:lang w:eastAsia="en-GB"/>
        </w:rPr>
      </w:pPr>
      <w:r w:rsidRPr="00C93E4C">
        <w:rPr>
          <w:lang w:eastAsia="en-GB"/>
        </w:rPr>
        <w:t>The overall aim of the Criminal Justice element of the Women’s Service is to:</w:t>
      </w:r>
    </w:p>
    <w:p w14:paraId="0709B098" w14:textId="7AAE869D" w:rsidR="00C93E4C" w:rsidRPr="00C93E4C" w:rsidRDefault="00C93E4C" w:rsidP="00C57D7C">
      <w:pPr>
        <w:numPr>
          <w:ilvl w:val="0"/>
          <w:numId w:val="100"/>
        </w:numPr>
        <w:spacing w:before="0" w:after="120" w:line="276" w:lineRule="auto"/>
        <w:rPr>
          <w:rFonts w:eastAsia="Times New Roman" w:cs="Arial"/>
          <w:b/>
          <w:kern w:val="0"/>
          <w:lang w:eastAsia="en-GB"/>
          <w14:ligatures w14:val="none"/>
        </w:rPr>
      </w:pPr>
      <w:r w:rsidRPr="00C93E4C">
        <w:rPr>
          <w:rFonts w:eastAsia="Times New Roman" w:cs="Arial"/>
          <w:kern w:val="0"/>
          <w:lang w:eastAsia="en-GB"/>
          <w14:ligatures w14:val="none"/>
        </w:rPr>
        <w:t>Reduce the number of female first-time entrants (defined at 10.</w:t>
      </w:r>
      <w:r w:rsidR="008718F0">
        <w:rPr>
          <w:rFonts w:eastAsia="Times New Roman" w:cs="Arial"/>
          <w:kern w:val="0"/>
          <w:lang w:eastAsia="en-GB"/>
          <w14:ligatures w14:val="none"/>
        </w:rPr>
        <w:t>7</w:t>
      </w:r>
      <w:r w:rsidRPr="00C93E4C">
        <w:rPr>
          <w:rFonts w:eastAsia="Times New Roman" w:cs="Arial"/>
          <w:kern w:val="0"/>
          <w:lang w:eastAsia="en-GB"/>
          <w14:ligatures w14:val="none"/>
        </w:rPr>
        <w:t>.1)</w:t>
      </w:r>
    </w:p>
    <w:p w14:paraId="19C874D0" w14:textId="1C9264A9" w:rsidR="00C93E4C" w:rsidRPr="00C93E4C" w:rsidRDefault="00C93E4C" w:rsidP="00C57D7C">
      <w:pPr>
        <w:numPr>
          <w:ilvl w:val="0"/>
          <w:numId w:val="100"/>
        </w:numPr>
        <w:spacing w:before="0" w:after="120" w:line="276" w:lineRule="auto"/>
        <w:rPr>
          <w:rFonts w:eastAsia="Times New Roman" w:cs="Arial"/>
          <w:b/>
          <w:kern w:val="0"/>
          <w:lang w:eastAsia="en-GB"/>
          <w14:ligatures w14:val="none"/>
        </w:rPr>
      </w:pPr>
      <w:r w:rsidRPr="00C93E4C">
        <w:rPr>
          <w:rFonts w:eastAsia="Times New Roman" w:cs="Arial"/>
          <w:kern w:val="0"/>
          <w:lang w:eastAsia="en-GB"/>
          <w14:ligatures w14:val="none"/>
        </w:rPr>
        <w:t>Reduce the reoffending rates of women (defined at 10.</w:t>
      </w:r>
      <w:r w:rsidR="008718F0">
        <w:rPr>
          <w:rFonts w:eastAsia="Times New Roman" w:cs="Arial"/>
          <w:kern w:val="0"/>
          <w:lang w:eastAsia="en-GB"/>
          <w14:ligatures w14:val="none"/>
        </w:rPr>
        <w:t>8</w:t>
      </w:r>
      <w:r w:rsidRPr="00C93E4C">
        <w:rPr>
          <w:rFonts w:eastAsia="Times New Roman" w:cs="Arial"/>
          <w:kern w:val="0"/>
          <w:lang w:eastAsia="en-GB"/>
          <w14:ligatures w14:val="none"/>
        </w:rPr>
        <w:t>)</w:t>
      </w:r>
    </w:p>
    <w:p w14:paraId="3A360EE1" w14:textId="77777777" w:rsidR="00C93E4C" w:rsidRPr="00C93E4C" w:rsidRDefault="00C93E4C" w:rsidP="00C57D7C">
      <w:pPr>
        <w:numPr>
          <w:ilvl w:val="0"/>
          <w:numId w:val="100"/>
        </w:numPr>
        <w:spacing w:before="0" w:after="120" w:line="276" w:lineRule="auto"/>
        <w:rPr>
          <w:rFonts w:eastAsia="Times New Roman" w:cs="Arial"/>
          <w:b/>
          <w:kern w:val="0"/>
          <w:lang w:eastAsia="en-GB"/>
          <w14:ligatures w14:val="none"/>
        </w:rPr>
      </w:pPr>
      <w:r w:rsidRPr="00C93E4C">
        <w:rPr>
          <w:rFonts w:eastAsia="Times New Roman" w:cs="Arial"/>
          <w:kern w:val="0"/>
          <w:lang w:eastAsia="en-GB"/>
          <w14:ligatures w14:val="none"/>
        </w:rPr>
        <w:t>Prevent offending by identifying and addressing the criminogenic needs of women and evidencing positive progress against these</w:t>
      </w:r>
    </w:p>
    <w:p w14:paraId="46E593DF" w14:textId="77777777" w:rsidR="00C93E4C" w:rsidRPr="00C93E4C" w:rsidRDefault="00C93E4C" w:rsidP="00C93E4C">
      <w:pPr>
        <w:spacing w:after="120"/>
        <w:ind w:left="720"/>
        <w:rPr>
          <w:rFonts w:ascii="Calibri" w:eastAsia="Times New Roman" w:hAnsi="Calibri" w:cs="Calibri"/>
          <w:b/>
          <w:kern w:val="0"/>
          <w:lang w:eastAsia="en-GB"/>
          <w14:ligatures w14:val="none"/>
        </w:rPr>
      </w:pPr>
    </w:p>
    <w:p w14:paraId="7066AC73" w14:textId="77777777" w:rsidR="00C93E4C" w:rsidRPr="00C93E4C" w:rsidRDefault="00C93E4C" w:rsidP="00E53ACC">
      <w:pPr>
        <w:pStyle w:val="Heading2"/>
        <w:rPr>
          <w:b/>
        </w:rPr>
      </w:pPr>
      <w:r w:rsidRPr="00C93E4C">
        <w:t xml:space="preserve">The Service will take a gender-informed approach and offer </w:t>
      </w:r>
      <w:r w:rsidRPr="00C93E4C">
        <w:rPr>
          <w:b/>
        </w:rPr>
        <w:t>one-to-one</w:t>
      </w:r>
      <w:r w:rsidRPr="00C93E4C">
        <w:t xml:space="preserve"> support, </w:t>
      </w:r>
      <w:r w:rsidRPr="00C93E4C">
        <w:rPr>
          <w:b/>
        </w:rPr>
        <w:t>group work</w:t>
      </w:r>
      <w:r w:rsidRPr="00C93E4C">
        <w:t xml:space="preserve"> and </w:t>
      </w:r>
      <w:r w:rsidRPr="00C93E4C">
        <w:rPr>
          <w:b/>
        </w:rPr>
        <w:t>onward referral</w:t>
      </w:r>
      <w:r w:rsidRPr="00C93E4C">
        <w:t xml:space="preserve"> to </w:t>
      </w:r>
      <w:proofErr w:type="gramStart"/>
      <w:r w:rsidRPr="00C93E4C">
        <w:t>achieve</w:t>
      </w:r>
      <w:proofErr w:type="gramEnd"/>
      <w:r w:rsidRPr="00C93E4C">
        <w:t xml:space="preserve"> the following objectives:</w:t>
      </w:r>
    </w:p>
    <w:p w14:paraId="2DF29AD6" w14:textId="77777777" w:rsidR="00C93E4C" w:rsidRPr="00365896" w:rsidRDefault="00C93E4C" w:rsidP="00C57D7C">
      <w:pPr>
        <w:pStyle w:val="Heading3"/>
        <w:numPr>
          <w:ilvl w:val="2"/>
          <w:numId w:val="110"/>
        </w:numPr>
        <w:rPr>
          <w:b/>
          <w:lang w:eastAsia="en-GB"/>
        </w:rPr>
      </w:pPr>
      <w:r w:rsidRPr="00365896">
        <w:rPr>
          <w:b/>
          <w:lang w:eastAsia="en-GB"/>
        </w:rPr>
        <w:t>Address</w:t>
      </w:r>
      <w:r w:rsidRPr="00C93E4C">
        <w:rPr>
          <w:lang w:eastAsia="en-GB"/>
        </w:rPr>
        <w:t xml:space="preserve"> </w:t>
      </w:r>
      <w:r w:rsidRPr="00365896">
        <w:rPr>
          <w:b/>
          <w:bCs/>
          <w:lang w:eastAsia="en-GB"/>
        </w:rPr>
        <w:t xml:space="preserve">substance </w:t>
      </w:r>
      <w:proofErr w:type="gramStart"/>
      <w:r w:rsidRPr="00365896">
        <w:rPr>
          <w:b/>
          <w:bCs/>
          <w:lang w:eastAsia="en-GB"/>
        </w:rPr>
        <w:t>use</w:t>
      </w:r>
      <w:proofErr w:type="gramEnd"/>
      <w:r w:rsidRPr="00365896">
        <w:rPr>
          <w:b/>
          <w:bCs/>
          <w:lang w:eastAsia="en-GB"/>
        </w:rPr>
        <w:t xml:space="preserve"> problems</w:t>
      </w:r>
      <w:r w:rsidRPr="00C93E4C">
        <w:rPr>
          <w:lang w:eastAsia="en-GB"/>
        </w:rPr>
        <w:t>: Stabilise and address individual problems, in particular address class A drug use, binge and chronic drinking.</w:t>
      </w:r>
    </w:p>
    <w:p w14:paraId="4F2ABC50" w14:textId="77777777" w:rsidR="00C93E4C" w:rsidRPr="00C93E4C" w:rsidRDefault="00C93E4C" w:rsidP="00365896">
      <w:pPr>
        <w:pStyle w:val="Heading3"/>
        <w:rPr>
          <w:b/>
          <w:lang w:eastAsia="en-GB"/>
        </w:rPr>
      </w:pPr>
      <w:r w:rsidRPr="00C93E4C">
        <w:rPr>
          <w:b/>
          <w:lang w:eastAsia="en-GB"/>
        </w:rPr>
        <w:t>Address</w:t>
      </w:r>
      <w:r w:rsidRPr="00C93E4C">
        <w:rPr>
          <w:lang w:eastAsia="en-GB"/>
        </w:rPr>
        <w:t xml:space="preserve"> </w:t>
      </w:r>
      <w:r w:rsidRPr="00C93E4C">
        <w:rPr>
          <w:b/>
          <w:bCs/>
          <w:lang w:eastAsia="en-GB"/>
        </w:rPr>
        <w:t>mental health problems</w:t>
      </w:r>
      <w:r w:rsidRPr="00C93E4C">
        <w:rPr>
          <w:lang w:eastAsia="en-GB"/>
        </w:rPr>
        <w:t>: Expedite access to services that address mental health problems, in particular anxiety and depression, personality disorder, post -traumatic stress disorder, and trauma.</w:t>
      </w:r>
    </w:p>
    <w:p w14:paraId="35872839" w14:textId="77777777" w:rsidR="00C93E4C" w:rsidRPr="00C93E4C" w:rsidRDefault="00C93E4C" w:rsidP="00365896">
      <w:pPr>
        <w:pStyle w:val="Heading3"/>
        <w:rPr>
          <w:b/>
          <w:lang w:eastAsia="en-GB"/>
        </w:rPr>
      </w:pPr>
      <w:r w:rsidRPr="00C93E4C">
        <w:rPr>
          <w:b/>
          <w:bCs/>
          <w:lang w:eastAsia="en-GB"/>
        </w:rPr>
        <w:t>Improve family contact</w:t>
      </w:r>
      <w:r w:rsidRPr="00C93E4C">
        <w:rPr>
          <w:lang w:eastAsia="en-GB"/>
        </w:rPr>
        <w:t xml:space="preserve">: Help women to build healthy and supportive family relationships, especially with their children. </w:t>
      </w:r>
    </w:p>
    <w:p w14:paraId="1D1EE069" w14:textId="77777777" w:rsidR="00C93E4C" w:rsidRPr="00C93E4C" w:rsidRDefault="00C93E4C" w:rsidP="00365896">
      <w:pPr>
        <w:pStyle w:val="Heading3"/>
        <w:rPr>
          <w:b/>
          <w:lang w:eastAsia="en-GB"/>
        </w:rPr>
      </w:pPr>
      <w:r w:rsidRPr="00C93E4C">
        <w:rPr>
          <w:b/>
          <w:lang w:eastAsia="en-GB"/>
        </w:rPr>
        <w:t>Build</w:t>
      </w:r>
      <w:r w:rsidRPr="00C93E4C">
        <w:rPr>
          <w:lang w:eastAsia="en-GB"/>
        </w:rPr>
        <w:t xml:space="preserve"> </w:t>
      </w:r>
      <w:r w:rsidRPr="00C93E4C">
        <w:rPr>
          <w:b/>
          <w:bCs/>
          <w:lang w:eastAsia="en-GB"/>
        </w:rPr>
        <w:t>skills in emotion management</w:t>
      </w:r>
      <w:r w:rsidRPr="00C93E4C">
        <w:rPr>
          <w:lang w:eastAsia="en-GB"/>
        </w:rPr>
        <w:t xml:space="preserve">: Help women to build skills to control impulsive behaviour and destructive emotions.  </w:t>
      </w:r>
    </w:p>
    <w:p w14:paraId="4493DD7B" w14:textId="77777777" w:rsidR="00C93E4C" w:rsidRPr="00C93E4C" w:rsidRDefault="00C93E4C" w:rsidP="00365896">
      <w:pPr>
        <w:pStyle w:val="Heading3"/>
        <w:rPr>
          <w:b/>
          <w:lang w:eastAsia="en-GB"/>
        </w:rPr>
      </w:pPr>
      <w:r w:rsidRPr="00C93E4C">
        <w:rPr>
          <w:b/>
          <w:lang w:eastAsia="en-GB"/>
        </w:rPr>
        <w:t xml:space="preserve">Help </w:t>
      </w:r>
      <w:r w:rsidRPr="00C93E4C">
        <w:rPr>
          <w:b/>
          <w:bCs/>
          <w:lang w:eastAsia="en-GB"/>
        </w:rPr>
        <w:t xml:space="preserve">women to build and maintain a pro-social identity: </w:t>
      </w:r>
      <w:r w:rsidRPr="00C93E4C">
        <w:rPr>
          <w:lang w:eastAsia="en-GB"/>
        </w:rPr>
        <w:t>Encourage and reinforce a positive identity in women. Enable women to do good for their community or for others and use this to help them to change the way they describe themselves.</w:t>
      </w:r>
    </w:p>
    <w:p w14:paraId="77A4A081" w14:textId="77777777" w:rsidR="00C93E4C" w:rsidRPr="00C93E4C" w:rsidRDefault="00C93E4C" w:rsidP="00365896">
      <w:pPr>
        <w:pStyle w:val="Heading3"/>
        <w:rPr>
          <w:b/>
          <w:lang w:eastAsia="en-GB"/>
        </w:rPr>
      </w:pPr>
      <w:r w:rsidRPr="00C93E4C">
        <w:rPr>
          <w:b/>
          <w:lang w:eastAsia="en-GB"/>
        </w:rPr>
        <w:t>Help</w:t>
      </w:r>
      <w:r w:rsidRPr="00C93E4C">
        <w:rPr>
          <w:lang w:eastAsia="en-GB"/>
        </w:rPr>
        <w:t xml:space="preserve"> </w:t>
      </w:r>
      <w:r w:rsidRPr="00C93E4C">
        <w:rPr>
          <w:b/>
          <w:lang w:eastAsia="en-GB"/>
        </w:rPr>
        <w:t xml:space="preserve">women to resettle: </w:t>
      </w:r>
      <w:r w:rsidRPr="00C93E4C">
        <w:rPr>
          <w:lang w:eastAsia="en-GB"/>
        </w:rPr>
        <w:t>Help women to find somewhere to live, to learn how to manage their money. Help women to make a positive contribution by undertaking meaningful activities such as volunteering or accessing education and training and employment</w:t>
      </w:r>
      <w:r w:rsidRPr="00C93E4C">
        <w:rPr>
          <w:b/>
          <w:lang w:eastAsia="en-GB"/>
        </w:rPr>
        <w:t>.</w:t>
      </w:r>
    </w:p>
    <w:p w14:paraId="01AE797E" w14:textId="77777777" w:rsidR="00C93E4C" w:rsidRPr="00C93E4C" w:rsidRDefault="00C93E4C" w:rsidP="00365896">
      <w:pPr>
        <w:pStyle w:val="Heading3"/>
        <w:rPr>
          <w:b/>
          <w:lang w:eastAsia="en-GB"/>
        </w:rPr>
      </w:pPr>
      <w:r w:rsidRPr="00C93E4C">
        <w:rPr>
          <w:b/>
          <w:bCs/>
          <w:lang w:eastAsia="en-GB"/>
        </w:rPr>
        <w:t xml:space="preserve"> Help women to build their social capital: </w:t>
      </w:r>
      <w:r w:rsidRPr="00C93E4C">
        <w:rPr>
          <w:lang w:eastAsia="en-GB"/>
        </w:rPr>
        <w:t>Support women to build positive relationships with friends, family and the wider community.</w:t>
      </w:r>
    </w:p>
    <w:p w14:paraId="1D77775F" w14:textId="77777777" w:rsidR="00C93E4C" w:rsidRPr="00C93E4C" w:rsidRDefault="00C93E4C" w:rsidP="00365896">
      <w:pPr>
        <w:pStyle w:val="Heading3"/>
        <w:rPr>
          <w:lang w:eastAsia="en-GB"/>
        </w:rPr>
      </w:pPr>
      <w:r w:rsidRPr="00C93E4C">
        <w:rPr>
          <w:lang w:eastAsia="en-GB"/>
        </w:rPr>
        <w:t xml:space="preserve">Help </w:t>
      </w:r>
      <w:r w:rsidRPr="00C93E4C">
        <w:rPr>
          <w:bCs/>
          <w:lang w:eastAsia="en-GB"/>
        </w:rPr>
        <w:t>women to believe in their ability to control their lives and achieve goals:</w:t>
      </w:r>
      <w:r w:rsidRPr="00C93E4C">
        <w:rPr>
          <w:lang w:eastAsia="en-GB"/>
        </w:rPr>
        <w:t xml:space="preserve"> Motivate women to believe that they can work to achieve their goals.   </w:t>
      </w:r>
    </w:p>
    <w:p w14:paraId="0B2B2B85" w14:textId="77777777" w:rsidR="00C93E4C" w:rsidRPr="00C93E4C" w:rsidRDefault="00C93E4C" w:rsidP="00E53ACC">
      <w:pPr>
        <w:pStyle w:val="Heading2"/>
        <w:rPr>
          <w:b/>
        </w:rPr>
      </w:pPr>
      <w:r w:rsidRPr="00C93E4C">
        <w:t>These objectives are aligned to the priorities set out in the Ministry of Justice’s (MOJ) Managing Vulnerability: Women – Fact Pack (June 2018):</w:t>
      </w:r>
      <w:r w:rsidRPr="00C93E4C">
        <w:rPr>
          <w:b/>
        </w:rPr>
        <w:t xml:space="preserve"> </w:t>
      </w:r>
      <w:hyperlink r:id="rId41" w:history="1">
        <w:r w:rsidRPr="00C93E4C">
          <w:rPr>
            <w:color w:val="0000FF"/>
            <w:u w:val="single"/>
          </w:rPr>
          <w:t>https://assets.publishing.service.gov.uk/government/uploads/system/uploads/attachment_data/file/721190/police-guidance-on-working-with-vulnerable-women-web.pdf</w:t>
        </w:r>
      </w:hyperlink>
      <w:r w:rsidRPr="00C93E4C">
        <w:t xml:space="preserve"> </w:t>
      </w:r>
    </w:p>
    <w:p w14:paraId="123133AF" w14:textId="77777777" w:rsidR="00C93E4C" w:rsidRPr="00C93E4C" w:rsidRDefault="00C93E4C" w:rsidP="00E53ACC">
      <w:pPr>
        <w:pStyle w:val="Heading2"/>
      </w:pPr>
      <w:r w:rsidRPr="00C93E4C">
        <w:t>Referrals and Initial Contact</w:t>
      </w:r>
    </w:p>
    <w:p w14:paraId="0498740E" w14:textId="77777777" w:rsidR="00C93E4C" w:rsidRPr="00C93E4C" w:rsidRDefault="00C93E4C" w:rsidP="00E53ACC">
      <w:pPr>
        <w:pStyle w:val="Heading2"/>
      </w:pPr>
      <w:r w:rsidRPr="00C93E4C">
        <w:t xml:space="preserve">Specific KPIs for the Diversion Service </w:t>
      </w:r>
    </w:p>
    <w:p w14:paraId="67A8E864" w14:textId="7E49A9D8" w:rsidR="00C93E4C" w:rsidRPr="00C93E4C" w:rsidRDefault="00C93E4C" w:rsidP="00C57D7C">
      <w:pPr>
        <w:numPr>
          <w:ilvl w:val="0"/>
          <w:numId w:val="97"/>
        </w:numPr>
        <w:spacing w:before="0" w:after="120" w:line="276" w:lineRule="auto"/>
        <w:rPr>
          <w:rFonts w:eastAsia="Times New Roman" w:cs="Arial"/>
          <w:kern w:val="0"/>
          <w:lang w:val="en-US"/>
          <w14:ligatures w14:val="none"/>
        </w:rPr>
      </w:pPr>
      <w:r w:rsidRPr="00C93E4C">
        <w:rPr>
          <w:rFonts w:eastAsia="Times New Roman" w:cs="Arial"/>
          <w:b/>
          <w:bCs/>
          <w:kern w:val="0"/>
          <w:lang w:eastAsia="en-GB"/>
          <w14:ligatures w14:val="none"/>
        </w:rPr>
        <w:t>KPI 16</w:t>
      </w:r>
      <w:r w:rsidRPr="00C93E4C">
        <w:rPr>
          <w:rFonts w:eastAsia="Times New Roman" w:cs="Arial"/>
          <w:kern w:val="0"/>
          <w:lang w:eastAsia="en-GB"/>
          <w14:ligatures w14:val="none"/>
        </w:rPr>
        <w:t xml:space="preserve"> – In order to measure service impact, i.e. the reduction of first-time entrants, at least 82% of women that engage with the service with no previous cautions or convictions, will not commit an offence resulting in a caution or charge within 12 months of initial assessment, in line with section 1</w:t>
      </w:r>
      <w:r w:rsidR="008718F0">
        <w:rPr>
          <w:rFonts w:eastAsia="Times New Roman" w:cs="Arial"/>
          <w:kern w:val="0"/>
          <w:lang w:eastAsia="en-GB"/>
          <w14:ligatures w14:val="none"/>
        </w:rPr>
        <w:t>0</w:t>
      </w:r>
      <w:r w:rsidRPr="00C93E4C">
        <w:rPr>
          <w:rFonts w:eastAsia="Times New Roman" w:cs="Arial"/>
          <w:kern w:val="0"/>
          <w:lang w:eastAsia="en-GB"/>
          <w14:ligatures w14:val="none"/>
        </w:rPr>
        <w:t>.</w:t>
      </w:r>
      <w:r w:rsidR="008718F0">
        <w:rPr>
          <w:rFonts w:eastAsia="Times New Roman" w:cs="Arial"/>
          <w:kern w:val="0"/>
          <w:lang w:eastAsia="en-GB"/>
          <w14:ligatures w14:val="none"/>
        </w:rPr>
        <w:t>7</w:t>
      </w:r>
      <w:r w:rsidRPr="00C93E4C">
        <w:rPr>
          <w:rFonts w:eastAsia="Times New Roman" w:cs="Arial"/>
          <w:kern w:val="0"/>
          <w:lang w:eastAsia="en-GB"/>
          <w14:ligatures w14:val="none"/>
        </w:rPr>
        <w:t>.1.</w:t>
      </w:r>
    </w:p>
    <w:p w14:paraId="55E84414" w14:textId="377F3CA6" w:rsidR="00C93E4C" w:rsidRPr="00C93E4C" w:rsidRDefault="00C93E4C" w:rsidP="00C57D7C">
      <w:pPr>
        <w:numPr>
          <w:ilvl w:val="0"/>
          <w:numId w:val="97"/>
        </w:numPr>
        <w:spacing w:before="0" w:after="120" w:line="276" w:lineRule="auto"/>
        <w:rPr>
          <w:rFonts w:eastAsia="Times New Roman" w:cs="Arial"/>
          <w:kern w:val="0"/>
          <w:lang w:val="en-US"/>
          <w14:ligatures w14:val="none"/>
        </w:rPr>
      </w:pPr>
      <w:r w:rsidRPr="00C93E4C">
        <w:rPr>
          <w:rFonts w:eastAsia="Times New Roman" w:cs="Arial"/>
          <w:b/>
          <w:bCs/>
          <w:kern w:val="0"/>
          <w:lang w:eastAsia="en-GB"/>
          <w14:ligatures w14:val="none"/>
        </w:rPr>
        <w:t>KPI 17</w:t>
      </w:r>
      <w:r w:rsidRPr="00C93E4C">
        <w:rPr>
          <w:rFonts w:eastAsia="Times New Roman" w:cs="Arial"/>
          <w:kern w:val="0"/>
          <w:lang w:eastAsia="en-GB"/>
          <w14:ligatures w14:val="none"/>
        </w:rPr>
        <w:t xml:space="preserve"> – In order to measure service impact, i.e. the reduction of reoffending rates, at least 66% of women that engage with the service with previous cautions or convictions will not </w:t>
      </w:r>
      <w:r w:rsidRPr="00C93E4C">
        <w:rPr>
          <w:rFonts w:eastAsia="Times New Roman" w:cs="Arial"/>
          <w:kern w:val="0"/>
          <w:lang w:eastAsia="en-GB"/>
          <w14:ligatures w14:val="none"/>
        </w:rPr>
        <w:lastRenderedPageBreak/>
        <w:t>commit any offence after engagement with the service that results in a caution or charge within 12 months of initial assessment in line with 1</w:t>
      </w:r>
      <w:r w:rsidR="008718F0">
        <w:rPr>
          <w:rFonts w:eastAsia="Times New Roman" w:cs="Arial"/>
          <w:kern w:val="0"/>
          <w:lang w:eastAsia="en-GB"/>
          <w14:ligatures w14:val="none"/>
        </w:rPr>
        <w:t>0.8</w:t>
      </w:r>
    </w:p>
    <w:p w14:paraId="4A88A7DB" w14:textId="77777777" w:rsidR="00C93E4C" w:rsidRPr="00C93E4C" w:rsidRDefault="00C93E4C" w:rsidP="00C57D7C">
      <w:pPr>
        <w:numPr>
          <w:ilvl w:val="0"/>
          <w:numId w:val="97"/>
        </w:numPr>
        <w:spacing w:before="0" w:after="120" w:line="276" w:lineRule="auto"/>
        <w:rPr>
          <w:rFonts w:eastAsia="Times New Roman" w:cs="Arial"/>
          <w:kern w:val="0"/>
          <w:lang w:val="en-US"/>
          <w14:ligatures w14:val="none"/>
        </w:rPr>
      </w:pPr>
      <w:r w:rsidRPr="00C93E4C">
        <w:rPr>
          <w:rFonts w:eastAsia="Times New Roman" w:cs="Arial"/>
          <w:b/>
          <w:bCs/>
          <w:kern w:val="0"/>
          <w:lang w:eastAsia="en-GB"/>
          <w14:ligatures w14:val="none"/>
        </w:rPr>
        <w:t>KPI 18</w:t>
      </w:r>
      <w:r w:rsidRPr="00C93E4C">
        <w:rPr>
          <w:rFonts w:eastAsia="Times New Roman" w:cs="Arial"/>
          <w:kern w:val="0"/>
          <w:lang w:eastAsia="en-GB"/>
          <w14:ligatures w14:val="none"/>
        </w:rPr>
        <w:t xml:space="preserve"> - 70% of women will demonstrate a reduction in frequency of offending in the 12 months following initial assessment when compared to the 12 months prior to initial assessment</w:t>
      </w:r>
    </w:p>
    <w:p w14:paraId="779C484F" w14:textId="77777777" w:rsidR="00C93E4C" w:rsidRPr="00C93E4C" w:rsidRDefault="00C93E4C" w:rsidP="00C57D7C">
      <w:pPr>
        <w:numPr>
          <w:ilvl w:val="0"/>
          <w:numId w:val="97"/>
        </w:numPr>
        <w:spacing w:before="0" w:after="120" w:line="276" w:lineRule="auto"/>
        <w:rPr>
          <w:rFonts w:eastAsia="Times New Roman" w:cs="Arial"/>
          <w:kern w:val="0"/>
          <w:lang w:val="en-US"/>
          <w14:ligatures w14:val="none"/>
        </w:rPr>
      </w:pPr>
      <w:r w:rsidRPr="00C93E4C">
        <w:rPr>
          <w:rFonts w:eastAsia="Times New Roman" w:cs="Arial"/>
          <w:b/>
          <w:bCs/>
          <w:kern w:val="0"/>
          <w:lang w:eastAsia="en-GB"/>
          <w14:ligatures w14:val="none"/>
        </w:rPr>
        <w:t>KPI 19</w:t>
      </w:r>
      <w:r w:rsidRPr="00C93E4C">
        <w:rPr>
          <w:rFonts w:eastAsia="Times New Roman" w:cs="Arial"/>
          <w:kern w:val="0"/>
          <w:lang w:eastAsia="en-GB"/>
          <w14:ligatures w14:val="none"/>
        </w:rPr>
        <w:t xml:space="preserve"> - 70% of women will demonstrate a reduction in severity of offending in the 12 months following initial assessment when compared to the 12 months prior to initial assessment.</w:t>
      </w:r>
    </w:p>
    <w:p w14:paraId="418EF10A" w14:textId="77777777" w:rsidR="00C93E4C" w:rsidRPr="00C93E4C" w:rsidRDefault="00C93E4C" w:rsidP="00C93E4C">
      <w:pPr>
        <w:widowControl w:val="0"/>
        <w:autoSpaceDE w:val="0"/>
        <w:autoSpaceDN w:val="0"/>
        <w:adjustRightInd w:val="0"/>
        <w:spacing w:before="0" w:after="200"/>
        <w:ind w:left="1440"/>
        <w:contextualSpacing/>
        <w:rPr>
          <w:rFonts w:ascii="Calibri" w:eastAsia="Times New Roman" w:hAnsi="Calibri" w:cs="Calibri"/>
          <w:kern w:val="0"/>
          <w:lang w:eastAsia="en-GB"/>
          <w14:ligatures w14:val="none"/>
        </w:rPr>
      </w:pPr>
    </w:p>
    <w:p w14:paraId="23C1EDAB" w14:textId="77777777" w:rsidR="00C93E4C" w:rsidRPr="00C93E4C" w:rsidRDefault="00C93E4C" w:rsidP="00C93E4C">
      <w:pPr>
        <w:widowControl w:val="0"/>
        <w:autoSpaceDE w:val="0"/>
        <w:autoSpaceDN w:val="0"/>
        <w:adjustRightInd w:val="0"/>
        <w:spacing w:before="0" w:after="200"/>
        <w:ind w:left="1111"/>
        <w:contextualSpacing/>
        <w:rPr>
          <w:rFonts w:ascii="Calibri" w:eastAsia="Times New Roman" w:hAnsi="Calibri" w:cs="Calibri"/>
          <w:kern w:val="0"/>
          <w:lang w:eastAsia="en-GB"/>
          <w14:ligatures w14:val="none"/>
        </w:rPr>
      </w:pPr>
    </w:p>
    <w:p w14:paraId="61C77536" w14:textId="77777777" w:rsidR="00C93E4C" w:rsidRPr="00C93E4C" w:rsidRDefault="00C93E4C" w:rsidP="00C93E4C">
      <w:pPr>
        <w:spacing w:after="120"/>
        <w:ind w:left="576"/>
        <w:jc w:val="both"/>
        <w:rPr>
          <w:rFonts w:ascii="Calibri" w:eastAsia="Times New Roman" w:hAnsi="Calibri" w:cs="Arial"/>
          <w:b/>
          <w:bCs/>
          <w:kern w:val="0"/>
          <w:szCs w:val="24"/>
          <w:lang w:eastAsia="en-GB"/>
          <w14:ligatures w14:val="none"/>
        </w:rPr>
      </w:pPr>
    </w:p>
    <w:p w14:paraId="3BE88C62" w14:textId="77777777" w:rsidR="00C93E4C" w:rsidRPr="00C93E4C" w:rsidRDefault="00C93E4C" w:rsidP="00C93E4C">
      <w:pPr>
        <w:spacing w:after="120" w:line="276" w:lineRule="auto"/>
        <w:ind w:left="792" w:hanging="432"/>
        <w:jc w:val="both"/>
        <w:rPr>
          <w:rFonts w:ascii="Calibri" w:eastAsia="Times New Roman" w:hAnsi="Calibri" w:cs="Times New Roman"/>
          <w:b/>
          <w:bCs/>
          <w:kern w:val="0"/>
          <w:szCs w:val="24"/>
          <w:lang w:eastAsia="en-GB"/>
          <w14:ligatures w14:val="none"/>
        </w:rPr>
      </w:pPr>
      <w:r w:rsidRPr="00C93E4C">
        <w:rPr>
          <w:rFonts w:ascii="Calibri" w:eastAsia="Times New Roman" w:hAnsi="Calibri" w:cs="Times New Roman"/>
          <w:b/>
          <w:bCs/>
          <w:kern w:val="0"/>
          <w:szCs w:val="24"/>
          <w:lang w:eastAsia="en-GB"/>
          <w14:ligatures w14:val="none"/>
        </w:rPr>
        <w:t xml:space="preserve"> </w:t>
      </w:r>
    </w:p>
    <w:p w14:paraId="635E576D" w14:textId="77777777" w:rsidR="00C93E4C" w:rsidRPr="00C93E4C" w:rsidRDefault="00C93E4C" w:rsidP="00E53ACC">
      <w:pPr>
        <w:pStyle w:val="Heading2"/>
      </w:pPr>
      <w:r w:rsidRPr="00C93E4C">
        <w:t xml:space="preserve">Women’s Whole System </w:t>
      </w:r>
      <w:proofErr w:type="gramStart"/>
      <w:r w:rsidRPr="00C93E4C">
        <w:t>Approach (“WSA”)</w:t>
      </w:r>
      <w:proofErr w:type="gramEnd"/>
    </w:p>
    <w:p w14:paraId="354CE9E8" w14:textId="77777777" w:rsidR="00C93E4C" w:rsidRPr="00B338CD" w:rsidRDefault="00C93E4C" w:rsidP="00C57D7C">
      <w:pPr>
        <w:pStyle w:val="Heading3"/>
        <w:numPr>
          <w:ilvl w:val="2"/>
          <w:numId w:val="111"/>
        </w:numPr>
        <w:rPr>
          <w:szCs w:val="24"/>
          <w:lang w:eastAsia="en-GB"/>
        </w:rPr>
      </w:pPr>
      <w:r w:rsidRPr="00C93E4C">
        <w:t xml:space="preserve">It is anticipated that the proposed Women’s service will include a service manager role who will be responsible for the continued development of the Women’s Whole System Approach across York and North Yorkshire. </w:t>
      </w:r>
    </w:p>
    <w:p w14:paraId="62B6460A" w14:textId="77777777" w:rsidR="00C93E4C" w:rsidRPr="00C93E4C" w:rsidRDefault="00C93E4C" w:rsidP="00B338CD">
      <w:pPr>
        <w:pStyle w:val="Heading3"/>
        <w:rPr>
          <w:lang w:eastAsia="en-GB"/>
        </w:rPr>
      </w:pPr>
      <w:r w:rsidRPr="00C93E4C">
        <w:rPr>
          <w:lang w:eastAsia="en-GB"/>
        </w:rPr>
        <w:t xml:space="preserve">An aim of the WSA is for multi-agencies to recognise and respond to the distinct needs of women, so that women have confidence that the professionals who support them understand gender-specific needs and the importance of emotional safety, whilst being treated as an individual, without judgement. </w:t>
      </w:r>
    </w:p>
    <w:p w14:paraId="05A9E8E5" w14:textId="77777777" w:rsidR="00C93E4C" w:rsidRPr="00C93E4C" w:rsidRDefault="00C93E4C" w:rsidP="00B338CD">
      <w:pPr>
        <w:pStyle w:val="Heading3"/>
        <w:rPr>
          <w:lang w:eastAsia="en-GB"/>
        </w:rPr>
      </w:pPr>
      <w:r w:rsidRPr="00C93E4C">
        <w:rPr>
          <w:lang w:eastAsia="en-GB"/>
        </w:rPr>
        <w:t>In York and North Yorkshire, the WSA involves a network of local partners working together to support women to create a gender-specific, trauma-informed offer of end-to-end support for women, to help achieve improved outcomes and improve feelings of safety for women.</w:t>
      </w:r>
    </w:p>
    <w:p w14:paraId="625844F3" w14:textId="77777777" w:rsidR="00C93E4C" w:rsidRPr="00C93E4C" w:rsidRDefault="00C93E4C" w:rsidP="00B338CD">
      <w:pPr>
        <w:pStyle w:val="Heading3"/>
        <w:rPr>
          <w:b/>
          <w:bCs/>
          <w:lang w:eastAsia="en-GB"/>
        </w:rPr>
      </w:pPr>
      <w:r w:rsidRPr="00C93E4C">
        <w:rPr>
          <w:lang w:eastAsia="en-GB"/>
        </w:rPr>
        <w:t>Another aim of the WSA is to identify any duplication and gaps in provision across the system, so that resources and support can be targeted more effectively. The WSA network undertook this work and set the following priorities for 25/26:</w:t>
      </w:r>
    </w:p>
    <w:p w14:paraId="6F59FB1C" w14:textId="77777777" w:rsidR="00C93E4C" w:rsidRPr="00C93E4C" w:rsidRDefault="00C93E4C" w:rsidP="00C57D7C">
      <w:pPr>
        <w:numPr>
          <w:ilvl w:val="2"/>
          <w:numId w:val="95"/>
        </w:numPr>
        <w:spacing w:before="0" w:after="120" w:line="276" w:lineRule="auto"/>
        <w:jc w:val="both"/>
        <w:rPr>
          <w:rFonts w:eastAsia="Times New Roman" w:cs="Arial"/>
          <w:b/>
          <w:bCs/>
          <w:kern w:val="0"/>
          <w:szCs w:val="24"/>
          <w:lang w:eastAsia="en-GB"/>
          <w14:ligatures w14:val="none"/>
        </w:rPr>
      </w:pPr>
      <w:r w:rsidRPr="00C93E4C">
        <w:rPr>
          <w:rFonts w:eastAsia="Times New Roman" w:cs="Arial"/>
          <w:b/>
          <w:bCs/>
          <w:kern w:val="0"/>
          <w:szCs w:val="24"/>
          <w:lang w:eastAsia="en-GB"/>
          <w14:ligatures w14:val="none"/>
        </w:rPr>
        <w:t>Gender-specific community provision</w:t>
      </w:r>
    </w:p>
    <w:p w14:paraId="6A036365" w14:textId="77777777" w:rsidR="00C93E4C" w:rsidRPr="00C93E4C" w:rsidRDefault="00C93E4C" w:rsidP="00C57D7C">
      <w:pPr>
        <w:numPr>
          <w:ilvl w:val="2"/>
          <w:numId w:val="95"/>
        </w:numPr>
        <w:spacing w:before="0" w:after="120" w:line="276" w:lineRule="auto"/>
        <w:jc w:val="both"/>
        <w:rPr>
          <w:rFonts w:eastAsia="Times New Roman" w:cs="Arial"/>
          <w:b/>
          <w:bCs/>
          <w:kern w:val="0"/>
          <w:szCs w:val="24"/>
          <w:lang w:eastAsia="en-GB"/>
          <w14:ligatures w14:val="none"/>
        </w:rPr>
      </w:pPr>
      <w:r w:rsidRPr="00C93E4C">
        <w:rPr>
          <w:rFonts w:eastAsia="Times New Roman" w:cs="Arial"/>
          <w:b/>
          <w:bCs/>
          <w:kern w:val="0"/>
          <w:szCs w:val="24"/>
          <w:lang w:eastAsia="en-GB"/>
          <w14:ligatures w14:val="none"/>
        </w:rPr>
        <w:t>Criminogenic support</w:t>
      </w:r>
    </w:p>
    <w:p w14:paraId="1F090E35" w14:textId="77777777" w:rsidR="00C93E4C" w:rsidRPr="00C93E4C" w:rsidRDefault="00C93E4C" w:rsidP="00C57D7C">
      <w:pPr>
        <w:numPr>
          <w:ilvl w:val="2"/>
          <w:numId w:val="95"/>
        </w:numPr>
        <w:spacing w:before="0" w:after="120" w:line="276" w:lineRule="auto"/>
        <w:jc w:val="both"/>
        <w:rPr>
          <w:rFonts w:eastAsia="Times New Roman" w:cs="Arial"/>
          <w:b/>
          <w:bCs/>
          <w:kern w:val="0"/>
          <w:szCs w:val="24"/>
          <w:lang w:eastAsia="en-GB"/>
          <w14:ligatures w14:val="none"/>
        </w:rPr>
      </w:pPr>
      <w:r w:rsidRPr="00C93E4C">
        <w:rPr>
          <w:rFonts w:eastAsia="Times New Roman" w:cs="Arial"/>
          <w:b/>
          <w:bCs/>
          <w:kern w:val="0"/>
          <w:szCs w:val="24"/>
          <w:lang w:eastAsia="en-GB"/>
          <w14:ligatures w14:val="none"/>
        </w:rPr>
        <w:t>Gender-specific substance use pathway</w:t>
      </w:r>
    </w:p>
    <w:p w14:paraId="3972CC0A" w14:textId="77777777" w:rsidR="00C93E4C" w:rsidRPr="00C93E4C" w:rsidRDefault="00C93E4C" w:rsidP="00C57D7C">
      <w:pPr>
        <w:numPr>
          <w:ilvl w:val="2"/>
          <w:numId w:val="95"/>
        </w:numPr>
        <w:spacing w:before="0" w:after="120" w:line="276" w:lineRule="auto"/>
        <w:jc w:val="both"/>
        <w:rPr>
          <w:rFonts w:eastAsia="Times New Roman" w:cs="Arial"/>
          <w:b/>
          <w:bCs/>
          <w:kern w:val="0"/>
          <w:szCs w:val="24"/>
          <w:lang w:eastAsia="en-GB"/>
          <w14:ligatures w14:val="none"/>
        </w:rPr>
      </w:pPr>
      <w:r w:rsidRPr="00C93E4C">
        <w:rPr>
          <w:rFonts w:eastAsia="Times New Roman" w:cs="Arial"/>
          <w:b/>
          <w:bCs/>
          <w:kern w:val="0"/>
          <w:szCs w:val="24"/>
          <w:lang w:eastAsia="en-GB"/>
          <w14:ligatures w14:val="none"/>
        </w:rPr>
        <w:t>Trauma-informed and responsive York &amp; North Yorkshire</w:t>
      </w:r>
    </w:p>
    <w:p w14:paraId="040A6BBC" w14:textId="77777777" w:rsidR="00C93E4C" w:rsidRPr="00C93E4C" w:rsidRDefault="00C93E4C" w:rsidP="00C57D7C">
      <w:pPr>
        <w:numPr>
          <w:ilvl w:val="2"/>
          <w:numId w:val="95"/>
        </w:numPr>
        <w:spacing w:before="0" w:after="120" w:line="276" w:lineRule="auto"/>
        <w:jc w:val="both"/>
        <w:rPr>
          <w:rFonts w:eastAsia="Times New Roman" w:cs="Arial"/>
          <w:b/>
          <w:bCs/>
          <w:kern w:val="0"/>
          <w:szCs w:val="24"/>
          <w:lang w:eastAsia="en-GB"/>
          <w14:ligatures w14:val="none"/>
        </w:rPr>
      </w:pPr>
      <w:r w:rsidRPr="00C93E4C">
        <w:rPr>
          <w:rFonts w:eastAsia="Times New Roman" w:cs="Arial"/>
          <w:b/>
          <w:bCs/>
          <w:kern w:val="0"/>
          <w:szCs w:val="24"/>
          <w:lang w:eastAsia="en-GB"/>
          <w14:ligatures w14:val="none"/>
        </w:rPr>
        <w:t>Gender-specific, safer accommodation</w:t>
      </w:r>
    </w:p>
    <w:p w14:paraId="1ED3C572" w14:textId="77777777" w:rsidR="00C93E4C" w:rsidRPr="00C93E4C" w:rsidRDefault="00C93E4C" w:rsidP="00E53ACC">
      <w:pPr>
        <w:pStyle w:val="Heading2"/>
      </w:pPr>
      <w:r w:rsidRPr="00C93E4C">
        <w:t>These priorities will be reviewed annually by the WSA network</w:t>
      </w:r>
    </w:p>
    <w:p w14:paraId="3D4A5818" w14:textId="77777777" w:rsidR="00C93E4C" w:rsidRPr="00C93E4C" w:rsidRDefault="00C93E4C" w:rsidP="00E53ACC">
      <w:pPr>
        <w:pStyle w:val="Heading2"/>
      </w:pPr>
      <w:r w:rsidRPr="00C93E4C">
        <w:t>Specific KPIs for the WSA</w:t>
      </w:r>
    </w:p>
    <w:p w14:paraId="6822549A" w14:textId="77777777" w:rsidR="00C93E4C" w:rsidRPr="00C93E4C" w:rsidRDefault="00C93E4C" w:rsidP="00C57D7C">
      <w:pPr>
        <w:numPr>
          <w:ilvl w:val="2"/>
          <w:numId w:val="95"/>
        </w:numPr>
        <w:spacing w:before="0" w:after="120" w:line="276" w:lineRule="auto"/>
        <w:jc w:val="both"/>
        <w:rPr>
          <w:rFonts w:eastAsia="Times New Roman" w:cs="Arial"/>
          <w:b/>
          <w:bCs/>
          <w:kern w:val="0"/>
          <w:szCs w:val="24"/>
          <w:lang w:eastAsia="en-GB"/>
          <w14:ligatures w14:val="none"/>
        </w:rPr>
      </w:pPr>
      <w:r w:rsidRPr="00C93E4C">
        <w:rPr>
          <w:rFonts w:eastAsia="Times New Roman" w:cs="Arial"/>
          <w:b/>
          <w:bCs/>
          <w:kern w:val="0"/>
          <w:szCs w:val="24"/>
          <w:lang w:eastAsia="en-GB"/>
          <w14:ligatures w14:val="none"/>
        </w:rPr>
        <w:t xml:space="preserve">KPI 20 – </w:t>
      </w:r>
      <w:r w:rsidRPr="00C93E4C">
        <w:rPr>
          <w:rFonts w:eastAsia="Times New Roman" w:cs="Arial"/>
          <w:kern w:val="0"/>
          <w:szCs w:val="24"/>
          <w:lang w:eastAsia="en-GB"/>
          <w14:ligatures w14:val="none"/>
        </w:rPr>
        <w:t>Evidence that agencies in York and North Yorkshire are working towards providing a distinct and appropriate response to women</w:t>
      </w:r>
    </w:p>
    <w:p w14:paraId="08148784" w14:textId="77777777" w:rsidR="00C93E4C" w:rsidRPr="00C93E4C" w:rsidRDefault="00C93E4C" w:rsidP="00C57D7C">
      <w:pPr>
        <w:numPr>
          <w:ilvl w:val="2"/>
          <w:numId w:val="95"/>
        </w:numPr>
        <w:spacing w:before="0" w:after="120" w:line="276" w:lineRule="auto"/>
        <w:jc w:val="both"/>
        <w:rPr>
          <w:rFonts w:eastAsia="Times New Roman" w:cs="Arial"/>
          <w:b/>
          <w:bCs/>
          <w:kern w:val="0"/>
          <w:szCs w:val="24"/>
          <w:lang w:eastAsia="en-GB"/>
          <w14:ligatures w14:val="none"/>
        </w:rPr>
      </w:pPr>
      <w:r w:rsidRPr="00C93E4C">
        <w:rPr>
          <w:rFonts w:eastAsia="Times New Roman" w:cs="Arial"/>
          <w:b/>
          <w:bCs/>
          <w:kern w:val="0"/>
          <w:szCs w:val="24"/>
          <w:lang w:eastAsia="en-GB"/>
          <w14:ligatures w14:val="none"/>
        </w:rPr>
        <w:t xml:space="preserve">KPI 21 – </w:t>
      </w:r>
      <w:r w:rsidRPr="00C93E4C">
        <w:rPr>
          <w:rFonts w:eastAsia="Times New Roman" w:cs="Arial"/>
          <w:kern w:val="0"/>
          <w:szCs w:val="24"/>
          <w:lang w:eastAsia="en-GB"/>
          <w14:ligatures w14:val="none"/>
        </w:rPr>
        <w:t>Identify annual priorities which the WSA network should focus on, and evidence work delivered to achieve the priorities</w:t>
      </w:r>
    </w:p>
    <w:p w14:paraId="169F9831" w14:textId="77777777" w:rsidR="00C93E4C" w:rsidRPr="00C93E4C" w:rsidRDefault="00C93E4C" w:rsidP="00C93E4C">
      <w:pPr>
        <w:spacing w:after="120" w:line="276" w:lineRule="auto"/>
        <w:ind w:left="792" w:hanging="432"/>
        <w:jc w:val="both"/>
        <w:rPr>
          <w:rFonts w:ascii="Calibri" w:eastAsia="Times New Roman" w:hAnsi="Calibri" w:cs="Times New Roman"/>
          <w:b/>
          <w:bCs/>
          <w:kern w:val="0"/>
          <w:szCs w:val="24"/>
          <w:lang w:eastAsia="en-GB"/>
          <w14:ligatures w14:val="none"/>
        </w:rPr>
      </w:pPr>
    </w:p>
    <w:p w14:paraId="039E3CFD" w14:textId="77777777" w:rsidR="00C93E4C" w:rsidRPr="00C93E4C" w:rsidRDefault="00C93E4C" w:rsidP="00E53ACC">
      <w:pPr>
        <w:pStyle w:val="Heading2"/>
      </w:pPr>
      <w:r w:rsidRPr="00C93E4C">
        <w:lastRenderedPageBreak/>
        <w:t>Outreach</w:t>
      </w:r>
    </w:p>
    <w:p w14:paraId="68965753" w14:textId="7C73D3A2" w:rsidR="00C93E4C" w:rsidRPr="00C93E4C" w:rsidRDefault="00C93E4C" w:rsidP="00E53ACC">
      <w:pPr>
        <w:pStyle w:val="Heading2"/>
        <w:rPr>
          <w:b/>
          <w:bCs/>
          <w:szCs w:val="24"/>
        </w:rPr>
      </w:pPr>
      <w:r w:rsidRPr="00C93E4C">
        <w:t xml:space="preserve">The provider will be required to generate referrals </w:t>
      </w:r>
      <w:r w:rsidR="004A6EA6">
        <w:t>the</w:t>
      </w:r>
      <w:r w:rsidRPr="00C93E4C">
        <w:t xml:space="preserve"> into service by proactively reaching out to women and girls who may require support. </w:t>
      </w:r>
    </w:p>
    <w:p w14:paraId="6AA10BCD" w14:textId="5E42A612" w:rsidR="00C93E4C" w:rsidRPr="00C93E4C" w:rsidRDefault="00C93E4C" w:rsidP="00E53ACC">
      <w:pPr>
        <w:pStyle w:val="Heading2"/>
        <w:rPr>
          <w:b/>
          <w:bCs/>
          <w:szCs w:val="24"/>
        </w:rPr>
      </w:pPr>
      <w:r w:rsidRPr="00C93E4C">
        <w:t>Since 2023, a mobile provision has been funded to ensure that women in Ryedale, a rural area of North Yorkshire</w:t>
      </w:r>
      <w:r w:rsidR="004A6EA6">
        <w:t>,</w:t>
      </w:r>
      <w:r w:rsidRPr="00C93E4C">
        <w:t xml:space="preserve"> are able to access support, advice and guidance and in the Spring of 2025 this provision expanded to Craven. Approximately 370 women have accessed the service so far. </w:t>
      </w:r>
    </w:p>
    <w:p w14:paraId="3F4EB2F4" w14:textId="23F58DE8" w:rsidR="00C93E4C" w:rsidRPr="00C93E4C" w:rsidRDefault="00C93E4C" w:rsidP="00E53ACC">
      <w:pPr>
        <w:pStyle w:val="Heading2"/>
        <w:rPr>
          <w:b/>
          <w:bCs/>
          <w:szCs w:val="24"/>
        </w:rPr>
      </w:pPr>
      <w:r w:rsidRPr="00C93E4C">
        <w:t xml:space="preserve">Women in rural communities often face unique challenges, including geographic isolation, limited </w:t>
      </w:r>
      <w:r w:rsidR="004A6EA6">
        <w:t>public transport options,</w:t>
      </w:r>
      <w:r w:rsidRPr="00C93E4C">
        <w:t xml:space="preserve"> limited access to specialist services, and significant barriers to engagement with mainstream resources. These factors can not only increase their vulnerability but also make it harder to seek help. </w:t>
      </w:r>
    </w:p>
    <w:p w14:paraId="493421AB" w14:textId="4375E432" w:rsidR="00C93E4C" w:rsidRPr="00C93E4C" w:rsidRDefault="00C93E4C" w:rsidP="00E53ACC">
      <w:pPr>
        <w:pStyle w:val="Heading2"/>
        <w:rPr>
          <w:b/>
          <w:bCs/>
          <w:szCs w:val="24"/>
        </w:rPr>
      </w:pPr>
      <w:r w:rsidRPr="00C93E4C">
        <w:t xml:space="preserve">The proposed service will continue this provision and expand outreach work to other rural and isolated areas of the County, to bridge the gap between rural communities and support services. This may include establishing women-only safe spaces in areas of York and North Yorkshire, or community-based interventions such as </w:t>
      </w:r>
      <w:r w:rsidR="004A6EA6">
        <w:t>‘</w:t>
      </w:r>
      <w:r w:rsidRPr="00C93E4C">
        <w:t>walk and talk</w:t>
      </w:r>
      <w:r w:rsidR="004A6EA6">
        <w:t>’ sessions</w:t>
      </w:r>
      <w:r w:rsidRPr="00C93E4C">
        <w:t xml:space="preserve">. </w:t>
      </w:r>
    </w:p>
    <w:p w14:paraId="6FFC6D97" w14:textId="77777777" w:rsidR="00C93E4C" w:rsidRPr="00C93E4C" w:rsidRDefault="00C93E4C" w:rsidP="00E53ACC">
      <w:pPr>
        <w:pStyle w:val="Heading2"/>
        <w:rPr>
          <w:b/>
          <w:bCs/>
          <w:szCs w:val="24"/>
        </w:rPr>
      </w:pPr>
      <w:r w:rsidRPr="00C93E4C">
        <w:t xml:space="preserve">The YNYCA have also previously funded a trauma-informed, assertive outreach provision for girls and young women aged 10-25. This provision was available in Scarborough and aimed to reduce the risk of exploitation, violence, anti-social </w:t>
      </w:r>
      <w:proofErr w:type="spellStart"/>
      <w:r w:rsidRPr="00C93E4C">
        <w:t>behaviour</w:t>
      </w:r>
      <w:proofErr w:type="spellEnd"/>
      <w:r w:rsidRPr="00C93E4C">
        <w:t xml:space="preserve"> and support with unsafe relationships and peer dynamics.</w:t>
      </w:r>
    </w:p>
    <w:p w14:paraId="42053D34" w14:textId="77777777" w:rsidR="00C93E4C" w:rsidRPr="00C93E4C" w:rsidRDefault="00C93E4C" w:rsidP="00E53ACC">
      <w:pPr>
        <w:pStyle w:val="Heading2"/>
      </w:pPr>
      <w:r w:rsidRPr="00C93E4C">
        <w:t>Engagement with the girls and young women occurred via direct outreach work, which was targeted using hotspot data, allowing us to respond to local trends such as an increased presence of girls in public spaces without trusted adult support, whilst also identifying any hidden harms.</w:t>
      </w:r>
    </w:p>
    <w:p w14:paraId="5E09DDC3" w14:textId="2331417A" w:rsidR="00C93E4C" w:rsidRPr="00C93E4C" w:rsidRDefault="00C93E4C" w:rsidP="00E53ACC">
      <w:pPr>
        <w:pStyle w:val="Heading2"/>
      </w:pPr>
      <w:r w:rsidRPr="00C93E4C">
        <w:t>The service will be required to conduct outreach engagement work with girls and young women, across York and North Yorkshire. The YNYCA will work with p</w:t>
      </w:r>
      <w:r w:rsidR="00171D64">
        <w:t>artners such as NYP</w:t>
      </w:r>
      <w:r w:rsidRPr="00C93E4C">
        <w:t xml:space="preserve"> to use hotspot data to direct this work.</w:t>
      </w:r>
      <w:r w:rsidR="00E53ACC">
        <w:t xml:space="preserve"> </w:t>
      </w:r>
      <w:r w:rsidR="00E53ACC">
        <w:rPr>
          <w:b/>
          <w:bCs/>
        </w:rPr>
        <w:t>Please note that at the time of publication, funding has only been secured for this element of the service for Year One.</w:t>
      </w:r>
    </w:p>
    <w:p w14:paraId="3B8D74EE" w14:textId="77777777" w:rsidR="00C93E4C" w:rsidRPr="00C93E4C" w:rsidRDefault="00C93E4C" w:rsidP="00E53ACC">
      <w:pPr>
        <w:pStyle w:val="Heading2"/>
      </w:pPr>
      <w:r w:rsidRPr="00C93E4C">
        <w:t>Outreach should also be considered for women and girls from underrepresented communities such as:</w:t>
      </w:r>
    </w:p>
    <w:p w14:paraId="3CCBA84D" w14:textId="77777777" w:rsidR="00C93E4C" w:rsidRPr="00C93E4C" w:rsidRDefault="00C93E4C" w:rsidP="00C57D7C">
      <w:pPr>
        <w:numPr>
          <w:ilvl w:val="2"/>
          <w:numId w:val="95"/>
        </w:numPr>
        <w:spacing w:before="0" w:after="120" w:line="276" w:lineRule="auto"/>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Ethnic Minority communities</w:t>
      </w:r>
    </w:p>
    <w:p w14:paraId="6C0463A4" w14:textId="77777777" w:rsidR="00C93E4C" w:rsidRPr="00C93E4C" w:rsidRDefault="00C93E4C" w:rsidP="00C57D7C">
      <w:pPr>
        <w:numPr>
          <w:ilvl w:val="2"/>
          <w:numId w:val="95"/>
        </w:numPr>
        <w:spacing w:before="0" w:after="120" w:line="276" w:lineRule="auto"/>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Care Leavers</w:t>
      </w:r>
    </w:p>
    <w:p w14:paraId="7F6F8A54" w14:textId="77777777" w:rsidR="00C93E4C" w:rsidRPr="00C93E4C" w:rsidRDefault="00C93E4C" w:rsidP="00C57D7C">
      <w:pPr>
        <w:numPr>
          <w:ilvl w:val="2"/>
          <w:numId w:val="95"/>
        </w:numPr>
        <w:spacing w:before="0" w:after="120" w:line="276" w:lineRule="auto"/>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Street Homeless</w:t>
      </w:r>
    </w:p>
    <w:p w14:paraId="751AAD2D" w14:textId="77777777" w:rsidR="00C93E4C" w:rsidRPr="00C93E4C" w:rsidRDefault="00C93E4C" w:rsidP="00C57D7C">
      <w:pPr>
        <w:numPr>
          <w:ilvl w:val="2"/>
          <w:numId w:val="95"/>
        </w:numPr>
        <w:spacing w:before="0" w:after="120" w:line="276" w:lineRule="auto"/>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 xml:space="preserve">Gyspy, Roma and Traveller communities </w:t>
      </w:r>
    </w:p>
    <w:p w14:paraId="1B729082" w14:textId="77777777" w:rsidR="00C93E4C" w:rsidRPr="00C93E4C" w:rsidRDefault="00C93E4C" w:rsidP="00C57D7C">
      <w:pPr>
        <w:numPr>
          <w:ilvl w:val="2"/>
          <w:numId w:val="95"/>
        </w:numPr>
        <w:spacing w:before="0" w:after="120" w:line="276" w:lineRule="auto"/>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LGBTQ+</w:t>
      </w:r>
    </w:p>
    <w:p w14:paraId="151E9A21" w14:textId="77777777" w:rsidR="00C93E4C" w:rsidRPr="00C93E4C" w:rsidRDefault="00C93E4C" w:rsidP="00C57D7C">
      <w:pPr>
        <w:numPr>
          <w:ilvl w:val="2"/>
          <w:numId w:val="95"/>
        </w:numPr>
        <w:spacing w:before="0" w:after="120" w:line="276" w:lineRule="auto"/>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 xml:space="preserve">Military </w:t>
      </w:r>
    </w:p>
    <w:p w14:paraId="520BA1BA" w14:textId="77777777" w:rsidR="00C93E4C" w:rsidRPr="00C93E4C" w:rsidRDefault="00C93E4C" w:rsidP="00C57D7C">
      <w:pPr>
        <w:numPr>
          <w:ilvl w:val="2"/>
          <w:numId w:val="95"/>
        </w:numPr>
        <w:spacing w:before="0" w:after="120" w:line="276" w:lineRule="auto"/>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Sex workers</w:t>
      </w:r>
    </w:p>
    <w:p w14:paraId="23485030" w14:textId="77777777" w:rsidR="00C93E4C" w:rsidRPr="00C93E4C" w:rsidRDefault="00C93E4C" w:rsidP="00C57D7C">
      <w:pPr>
        <w:numPr>
          <w:ilvl w:val="2"/>
          <w:numId w:val="95"/>
        </w:numPr>
        <w:spacing w:before="0" w:after="120" w:line="276" w:lineRule="auto"/>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Students</w:t>
      </w:r>
    </w:p>
    <w:p w14:paraId="2838FF54" w14:textId="77777777" w:rsidR="00C93E4C" w:rsidRPr="00C93E4C" w:rsidRDefault="00C93E4C" w:rsidP="00C57D7C">
      <w:pPr>
        <w:numPr>
          <w:ilvl w:val="2"/>
          <w:numId w:val="95"/>
        </w:numPr>
        <w:spacing w:before="0" w:after="120" w:line="276" w:lineRule="auto"/>
        <w:jc w:val="both"/>
        <w:rPr>
          <w:rFonts w:eastAsia="Times New Roman" w:cs="Arial"/>
          <w:kern w:val="0"/>
          <w:szCs w:val="24"/>
          <w:lang w:eastAsia="en-GB"/>
          <w14:ligatures w14:val="none"/>
        </w:rPr>
      </w:pPr>
      <w:r w:rsidRPr="00C93E4C">
        <w:rPr>
          <w:rFonts w:eastAsia="Times New Roman" w:cs="Arial"/>
          <w:kern w:val="0"/>
          <w:szCs w:val="24"/>
          <w:lang w:eastAsia="en-GB"/>
          <w14:ligatures w14:val="none"/>
        </w:rPr>
        <w:t>Those with disabilities including hidden disabilities and neurodiversity</w:t>
      </w:r>
    </w:p>
    <w:p w14:paraId="2DA814B4" w14:textId="682B07AB" w:rsidR="00C93E4C" w:rsidRPr="00C93E4C" w:rsidRDefault="00C93E4C" w:rsidP="00E53ACC">
      <w:pPr>
        <w:pStyle w:val="Heading2"/>
      </w:pPr>
      <w:r w:rsidRPr="00C93E4C">
        <w:lastRenderedPageBreak/>
        <w:t xml:space="preserve">The provider will need to be innovative in the types of engagement methods used and ensure that interventions are </w:t>
      </w:r>
      <w:r w:rsidR="00171D64">
        <w:t>tailored</w:t>
      </w:r>
      <w:r w:rsidRPr="00C93E4C">
        <w:t xml:space="preserve"> and sensitive where required. </w:t>
      </w:r>
    </w:p>
    <w:p w14:paraId="242F1968" w14:textId="153B7779" w:rsidR="00C93E4C" w:rsidRPr="00C93E4C" w:rsidRDefault="00C93E4C" w:rsidP="00E53ACC">
      <w:pPr>
        <w:pStyle w:val="Heading2"/>
        <w:rPr>
          <w:b/>
          <w:bCs/>
          <w:szCs w:val="24"/>
        </w:rPr>
      </w:pPr>
      <w:r w:rsidRPr="00C93E4C">
        <w:t>The current provider of the York Women’s Centre hosts a monthly Exploitation Risk Assessment Conference (ERAC) for women who may be involved with, or at risk of sexual or criminal exploitation. This</w:t>
      </w:r>
      <w:r w:rsidR="00171D64">
        <w:t xml:space="preserve"> is</w:t>
      </w:r>
      <w:r w:rsidRPr="00C93E4C">
        <w:t xml:space="preserve"> a multi-agency partnership meeting where safeguarding concerns are discussed and where it is agreed who is the best placed agency to offer support.</w:t>
      </w:r>
      <w:r w:rsidR="00171D64">
        <w:t xml:space="preserve"> This will often involve outreach support.</w:t>
      </w:r>
    </w:p>
    <w:p w14:paraId="3DEE605B" w14:textId="77777777" w:rsidR="00C93E4C" w:rsidRPr="00C93E4C" w:rsidRDefault="00C93E4C" w:rsidP="00E53ACC">
      <w:pPr>
        <w:pStyle w:val="Heading2"/>
      </w:pPr>
      <w:r w:rsidRPr="00C93E4C">
        <w:t>The proposed service will continue to facilitate ERAC and expand this provision for the whole of York and North Yorkshire.</w:t>
      </w:r>
    </w:p>
    <w:p w14:paraId="7CF35806" w14:textId="77777777" w:rsidR="00C93E4C" w:rsidRPr="00C93E4C" w:rsidRDefault="00C93E4C" w:rsidP="00E53ACC">
      <w:pPr>
        <w:pStyle w:val="Heading2"/>
        <w:rPr>
          <w:rFonts w:cs="Arial"/>
        </w:rPr>
      </w:pPr>
      <w:r w:rsidRPr="00C93E4C">
        <w:t xml:space="preserve">The </w:t>
      </w:r>
      <w:proofErr w:type="gramStart"/>
      <w:r w:rsidRPr="00C93E4C">
        <w:t>provider</w:t>
      </w:r>
      <w:proofErr w:type="gramEnd"/>
      <w:r w:rsidRPr="00C93E4C">
        <w:t xml:space="preserve"> must be </w:t>
      </w:r>
      <w:proofErr w:type="spellStart"/>
      <w:r w:rsidRPr="00C93E4C">
        <w:t>cognisant</w:t>
      </w:r>
      <w:proofErr w:type="spellEnd"/>
      <w:r w:rsidRPr="00C93E4C">
        <w:t xml:space="preserve"> of the travel that may be required to ensure that outreach support is available throughout York and North Yorkshire.</w:t>
      </w:r>
    </w:p>
    <w:p w14:paraId="1E84DDA3" w14:textId="77777777" w:rsidR="00C93E4C" w:rsidRPr="00C93E4C" w:rsidRDefault="00C93E4C" w:rsidP="00E53ACC">
      <w:pPr>
        <w:pStyle w:val="Heading2"/>
        <w:rPr>
          <w:rFonts w:cs="Arial"/>
          <w:szCs w:val="24"/>
        </w:rPr>
      </w:pPr>
      <w:r w:rsidRPr="00C93E4C">
        <w:t>Specific Outreach</w:t>
      </w:r>
      <w:r w:rsidRPr="00C93E4C">
        <w:rPr>
          <w:rFonts w:cs="Arial"/>
          <w:szCs w:val="24"/>
        </w:rPr>
        <w:t xml:space="preserve"> KPIs</w:t>
      </w:r>
    </w:p>
    <w:p w14:paraId="6A3768A4" w14:textId="77777777" w:rsidR="00C93E4C" w:rsidRPr="00C93E4C" w:rsidRDefault="00C93E4C" w:rsidP="00C57D7C">
      <w:pPr>
        <w:numPr>
          <w:ilvl w:val="2"/>
          <w:numId w:val="95"/>
        </w:numPr>
        <w:spacing w:before="0" w:after="120" w:line="276" w:lineRule="auto"/>
        <w:jc w:val="both"/>
        <w:rPr>
          <w:rFonts w:eastAsia="Times New Roman" w:cs="Arial"/>
          <w:b/>
          <w:kern w:val="0"/>
          <w:szCs w:val="24"/>
          <w:lang w:eastAsia="en-GB"/>
          <w14:ligatures w14:val="none"/>
        </w:rPr>
      </w:pPr>
      <w:r w:rsidRPr="00C93E4C">
        <w:rPr>
          <w:rFonts w:eastAsia="Times New Roman" w:cs="Arial"/>
          <w:b/>
          <w:kern w:val="0"/>
          <w:szCs w:val="24"/>
          <w:lang w:eastAsia="en-GB"/>
          <w14:ligatures w14:val="none"/>
        </w:rPr>
        <w:t xml:space="preserve">KPI 22 – </w:t>
      </w:r>
      <w:r w:rsidRPr="00C93E4C">
        <w:rPr>
          <w:rFonts w:eastAsia="Times New Roman" w:cs="Arial"/>
          <w:bCs/>
          <w:kern w:val="0"/>
          <w:szCs w:val="24"/>
          <w:lang w:eastAsia="en-GB"/>
          <w14:ligatures w14:val="none"/>
        </w:rPr>
        <w:t>To undertake outreach work a minimum of three days per week</w:t>
      </w:r>
    </w:p>
    <w:p w14:paraId="6AB63EC8" w14:textId="77777777" w:rsidR="00C93E4C" w:rsidRPr="00C93E4C" w:rsidRDefault="00C93E4C" w:rsidP="00C57D7C">
      <w:pPr>
        <w:numPr>
          <w:ilvl w:val="2"/>
          <w:numId w:val="95"/>
        </w:numPr>
        <w:spacing w:before="0" w:after="120" w:line="276" w:lineRule="auto"/>
        <w:jc w:val="both"/>
        <w:rPr>
          <w:rFonts w:eastAsia="Times New Roman" w:cs="Arial"/>
          <w:b/>
          <w:kern w:val="0"/>
          <w:szCs w:val="24"/>
          <w:lang w:eastAsia="en-GB"/>
          <w14:ligatures w14:val="none"/>
        </w:rPr>
      </w:pPr>
      <w:r w:rsidRPr="00C93E4C">
        <w:rPr>
          <w:rFonts w:eastAsia="Times New Roman" w:cs="Arial"/>
          <w:b/>
          <w:kern w:val="0"/>
          <w:szCs w:val="24"/>
          <w:lang w:eastAsia="en-GB"/>
          <w14:ligatures w14:val="none"/>
        </w:rPr>
        <w:t xml:space="preserve">KPI 23 – </w:t>
      </w:r>
      <w:r w:rsidRPr="00C93E4C">
        <w:rPr>
          <w:rFonts w:eastAsia="Arial" w:cs="Arial"/>
          <w:kern w:val="0"/>
          <w:lang w:eastAsia="en-GB"/>
          <w14:ligatures w14:val="none"/>
        </w:rPr>
        <w:t>100% of outreach contacts, interactions and interventions are recorded on the CMS</w:t>
      </w:r>
      <w:r w:rsidRPr="00C93E4C">
        <w:rPr>
          <w:rFonts w:eastAsia="Times New Roman" w:cs="Arial"/>
          <w:b/>
          <w:kern w:val="0"/>
          <w:szCs w:val="24"/>
          <w:lang w:eastAsia="en-GB"/>
          <w14:ligatures w14:val="none"/>
        </w:rPr>
        <w:t xml:space="preserve"> </w:t>
      </w:r>
    </w:p>
    <w:p w14:paraId="6C936B60" w14:textId="77777777" w:rsidR="00C93E4C" w:rsidRPr="00C93E4C" w:rsidRDefault="00C93E4C" w:rsidP="00C57D7C">
      <w:pPr>
        <w:numPr>
          <w:ilvl w:val="2"/>
          <w:numId w:val="95"/>
        </w:numPr>
        <w:suppressAutoHyphens/>
        <w:spacing w:before="0" w:after="120" w:line="276" w:lineRule="auto"/>
        <w:jc w:val="both"/>
        <w:rPr>
          <w:rFonts w:eastAsia="Times New Roman" w:cs="Arial"/>
          <w:kern w:val="0"/>
          <w14:ligatures w14:val="none"/>
        </w:rPr>
      </w:pPr>
      <w:r w:rsidRPr="00C93E4C">
        <w:rPr>
          <w:rFonts w:eastAsia="Times New Roman" w:cs="Arial"/>
          <w:b/>
          <w:bCs/>
          <w:kern w:val="0"/>
          <w14:ligatures w14:val="none"/>
        </w:rPr>
        <w:t>KPI 24</w:t>
      </w:r>
      <w:r w:rsidRPr="00C93E4C">
        <w:rPr>
          <w:rFonts w:eastAsia="Times New Roman" w:cs="Arial"/>
          <w:kern w:val="0"/>
          <w14:ligatures w14:val="none"/>
        </w:rPr>
        <w:t xml:space="preserve"> - </w:t>
      </w:r>
      <w:r w:rsidRPr="00C93E4C">
        <w:rPr>
          <w:rFonts w:eastAsia="Times New Roman" w:cs="Arial"/>
          <w:kern w:val="0"/>
          <w:lang w:eastAsia="en-GB"/>
          <w14:ligatures w14:val="none"/>
        </w:rPr>
        <w:t>90% of those who receive Brief Intervention only, feel that their needs have been met by the service</w:t>
      </w:r>
    </w:p>
    <w:p w14:paraId="52A8571E" w14:textId="77777777" w:rsidR="00B42EFF" w:rsidRDefault="00B42EFF">
      <w:pPr>
        <w:spacing w:before="0" w:line="259" w:lineRule="auto"/>
        <w:rPr>
          <w:rFonts w:asciiTheme="majorHAnsi" w:eastAsiaTheme="majorEastAsia" w:hAnsiTheme="majorHAnsi" w:cstheme="majorBidi"/>
          <w:color w:val="002060"/>
          <w:sz w:val="40"/>
          <w:szCs w:val="40"/>
        </w:rPr>
      </w:pPr>
      <w:r>
        <w:rPr>
          <w:color w:val="002060"/>
        </w:rPr>
        <w:br w:type="page"/>
      </w:r>
    </w:p>
    <w:p w14:paraId="07A5F294" w14:textId="5DD86BB1" w:rsidR="00042CD9" w:rsidRPr="00377F38" w:rsidRDefault="00F5403C" w:rsidP="00063554">
      <w:pPr>
        <w:pStyle w:val="Heading1"/>
        <w:rPr>
          <w:color w:val="002060"/>
        </w:rPr>
      </w:pPr>
      <w:bookmarkStart w:id="116" w:name="_Toc215577714"/>
      <w:r w:rsidRPr="00377F38">
        <w:rPr>
          <w:color w:val="002060"/>
        </w:rPr>
        <w:lastRenderedPageBreak/>
        <w:t>Social Value</w:t>
      </w:r>
      <w:bookmarkEnd w:id="116"/>
      <w:r w:rsidRPr="00377F38">
        <w:rPr>
          <w:color w:val="002060"/>
        </w:rPr>
        <w:t xml:space="preserve"> </w:t>
      </w:r>
      <w:r w:rsidR="00742326" w:rsidRPr="00377F38">
        <w:rPr>
          <w:color w:val="002060"/>
        </w:rPr>
        <w:t xml:space="preserve"> </w:t>
      </w:r>
    </w:p>
    <w:p w14:paraId="62A66A10" w14:textId="067E610A" w:rsidR="00FC67AC" w:rsidRPr="00BD47D2" w:rsidRDefault="0039316A" w:rsidP="00E53ACC">
      <w:pPr>
        <w:pStyle w:val="Heading2"/>
      </w:pPr>
      <w:r>
        <w:t>The contracting authority</w:t>
      </w:r>
      <w:r w:rsidRPr="005E0DCA">
        <w:t xml:space="preserve"> </w:t>
      </w:r>
      <w:r w:rsidR="000557E4">
        <w:t xml:space="preserve">will consider </w:t>
      </w:r>
      <w:r w:rsidR="009D3145" w:rsidRPr="005E0DCA">
        <w:t xml:space="preserve">how economic, social, and environmental well-being may be improved through the goods, works and </w:t>
      </w:r>
      <w:r w:rsidR="009D3145" w:rsidRPr="003F44B0">
        <w:t>services we procure, and how procurement may secure those improvements, under the provisions of: the National Procurement Policy Statement and Wales Procurement Policy Statement (Procurement Act s.13-14), the Public Services (Social Value) Act 2012 and the Well-being of Future Generations (Wales) Act 2015.</w:t>
      </w:r>
    </w:p>
    <w:p w14:paraId="6DF38049" w14:textId="20F4E99A" w:rsidR="0039316A" w:rsidRDefault="0039316A" w:rsidP="00E53ACC">
      <w:pPr>
        <w:pStyle w:val="Heading2"/>
      </w:pPr>
      <w:r w:rsidRPr="005E0DCA">
        <w:t xml:space="preserve">We want to use the opportunity the Act presents to </w:t>
      </w:r>
      <w:r w:rsidRPr="009D6346">
        <w:t>support delivery of the Government’s missions</w:t>
      </w:r>
      <w:r>
        <w:t xml:space="preserve"> as detailed within the </w:t>
      </w:r>
      <w:hyperlink r:id="rId42" w:history="1">
        <w:r w:rsidRPr="00AB2210">
          <w:rPr>
            <w:rStyle w:val="Hyperlink"/>
          </w:rPr>
          <w:t>National Procurement Policy Statement</w:t>
        </w:r>
      </w:hyperlink>
      <w:r>
        <w:t xml:space="preserve"> :</w:t>
      </w:r>
    </w:p>
    <w:p w14:paraId="318D66D5" w14:textId="77777777" w:rsidR="0039316A" w:rsidRPr="008A73F0" w:rsidRDefault="0039316A" w:rsidP="00C57D7C">
      <w:pPr>
        <w:pStyle w:val="ListParagraph"/>
        <w:keepNext/>
        <w:keepLines/>
        <w:numPr>
          <w:ilvl w:val="0"/>
          <w:numId w:val="13"/>
        </w:numPr>
        <w:rPr>
          <w:lang w:val="en-US"/>
        </w:rPr>
      </w:pPr>
      <w:r w:rsidRPr="008A73F0">
        <w:rPr>
          <w:lang w:val="en-US"/>
        </w:rPr>
        <w:t>Kickstart economic growth</w:t>
      </w:r>
    </w:p>
    <w:p w14:paraId="18AECC07" w14:textId="77777777" w:rsidR="0039316A" w:rsidRPr="008A73F0" w:rsidRDefault="0039316A" w:rsidP="00C57D7C">
      <w:pPr>
        <w:pStyle w:val="ListParagraph"/>
        <w:keepNext/>
        <w:keepLines/>
        <w:numPr>
          <w:ilvl w:val="0"/>
          <w:numId w:val="13"/>
        </w:numPr>
        <w:rPr>
          <w:lang w:val="en-US"/>
        </w:rPr>
      </w:pPr>
      <w:r w:rsidRPr="008A73F0">
        <w:rPr>
          <w:lang w:val="en-US"/>
        </w:rPr>
        <w:t>Make Britain a clean energy superpower</w:t>
      </w:r>
    </w:p>
    <w:p w14:paraId="04D5E96F" w14:textId="77777777" w:rsidR="0039316A" w:rsidRPr="008A73F0" w:rsidRDefault="0039316A" w:rsidP="00C57D7C">
      <w:pPr>
        <w:pStyle w:val="ListParagraph"/>
        <w:keepNext/>
        <w:keepLines/>
        <w:numPr>
          <w:ilvl w:val="0"/>
          <w:numId w:val="13"/>
        </w:numPr>
        <w:rPr>
          <w:lang w:val="en-US"/>
        </w:rPr>
      </w:pPr>
      <w:r w:rsidRPr="008A73F0">
        <w:rPr>
          <w:lang w:val="en-US"/>
        </w:rPr>
        <w:t>Take back our streets</w:t>
      </w:r>
    </w:p>
    <w:p w14:paraId="1D690657" w14:textId="77777777" w:rsidR="0039316A" w:rsidRPr="008A73F0" w:rsidRDefault="0039316A" w:rsidP="00C57D7C">
      <w:pPr>
        <w:pStyle w:val="ListParagraph"/>
        <w:keepNext/>
        <w:keepLines/>
        <w:numPr>
          <w:ilvl w:val="0"/>
          <w:numId w:val="13"/>
        </w:numPr>
        <w:rPr>
          <w:lang w:val="en-US"/>
        </w:rPr>
      </w:pPr>
      <w:r w:rsidRPr="008A73F0">
        <w:rPr>
          <w:lang w:val="en-US"/>
        </w:rPr>
        <w:t>Break down barriers to opportunity</w:t>
      </w:r>
    </w:p>
    <w:p w14:paraId="6125083A" w14:textId="77777777" w:rsidR="0039316A" w:rsidRPr="008A73F0" w:rsidRDefault="0039316A" w:rsidP="00C57D7C">
      <w:pPr>
        <w:pStyle w:val="ListParagraph"/>
        <w:keepNext/>
        <w:keepLines/>
        <w:numPr>
          <w:ilvl w:val="0"/>
          <w:numId w:val="13"/>
        </w:numPr>
        <w:rPr>
          <w:lang w:val="en-US"/>
        </w:rPr>
      </w:pPr>
      <w:r w:rsidRPr="008A73F0">
        <w:rPr>
          <w:lang w:val="en-US"/>
        </w:rPr>
        <w:t>Build a National Health Service fit for the future</w:t>
      </w:r>
    </w:p>
    <w:p w14:paraId="1FAAE8EA" w14:textId="64B983FE" w:rsidR="00055D3C" w:rsidRDefault="0B4B1AAF" w:rsidP="00E53ACC">
      <w:pPr>
        <w:pStyle w:val="Heading2"/>
      </w:pPr>
      <w:r w:rsidRPr="538DDC9B">
        <w:rPr>
          <w:szCs w:val="24"/>
        </w:rPr>
        <w:t xml:space="preserve"> We know </w:t>
      </w:r>
      <w:r w:rsidR="44906074" w:rsidRPr="538DDC9B">
        <w:rPr>
          <w:szCs w:val="24"/>
        </w:rPr>
        <w:t>that by incorporating economic, social, and environment</w:t>
      </w:r>
      <w:r w:rsidR="44906074">
        <w:t>al considerations within our procurement process that over time we will reduce demand on the police and other public services</w:t>
      </w:r>
      <w:r w:rsidR="199ADF3E">
        <w:t>.</w:t>
      </w:r>
    </w:p>
    <w:p w14:paraId="7BD4D65A" w14:textId="06730468" w:rsidR="00256CA8" w:rsidRDefault="00256CA8" w:rsidP="00256CA8">
      <w:pPr>
        <w:pStyle w:val="Heading2"/>
      </w:pPr>
      <w:r>
        <w:t xml:space="preserve">For this procurement, the contracting authority has identified the following Social Value priorities that need to be met through the delivery of this Contract. </w:t>
      </w:r>
    </w:p>
    <w:p w14:paraId="4329AFEC" w14:textId="0A43EB8F" w:rsidR="000030D9" w:rsidRDefault="000030D9" w:rsidP="00275338">
      <w:pPr>
        <w:pStyle w:val="Heading2"/>
        <w:numPr>
          <w:ilvl w:val="0"/>
          <w:numId w:val="117"/>
        </w:numPr>
      </w:pPr>
      <w:r w:rsidRPr="000030D9">
        <w:t xml:space="preserve">Employees on the contract should be </w:t>
      </w:r>
      <w:proofErr w:type="gramStart"/>
      <w:r w:rsidRPr="000030D9">
        <w:t>provided</w:t>
      </w:r>
      <w:proofErr w:type="gramEnd"/>
      <w:r w:rsidRPr="000030D9">
        <w:t xml:space="preserve"> access to comprehensive and multidimensional wellbeing </w:t>
      </w:r>
      <w:proofErr w:type="spellStart"/>
      <w:r w:rsidRPr="000030D9">
        <w:t>programmes</w:t>
      </w:r>
      <w:proofErr w:type="spellEnd"/>
      <w:r w:rsidRPr="000030D9">
        <w:t xml:space="preserve"> for at least 12 months</w:t>
      </w:r>
      <w:r w:rsidR="003A35E3">
        <w:t>.</w:t>
      </w:r>
    </w:p>
    <w:p w14:paraId="6EF36B7E" w14:textId="66421A65" w:rsidR="00256CA8" w:rsidRDefault="003A35E3" w:rsidP="00275338">
      <w:pPr>
        <w:pStyle w:val="Heading2"/>
        <w:numPr>
          <w:ilvl w:val="0"/>
          <w:numId w:val="117"/>
        </w:numPr>
      </w:pPr>
      <w:r w:rsidRPr="003A35E3">
        <w:t>Employees on the contract should be paid at least the relevant Real Living wage as specified by Living Wage foundation</w:t>
      </w:r>
      <w:r>
        <w:t>.</w:t>
      </w:r>
      <w:r w:rsidR="00256CA8">
        <w:t xml:space="preserve"> </w:t>
      </w:r>
    </w:p>
    <w:p w14:paraId="69D8070E" w14:textId="11CEC4AB" w:rsidR="00086E0E" w:rsidRDefault="00DE4E4B" w:rsidP="00275338">
      <w:pPr>
        <w:pStyle w:val="Heading2"/>
        <w:numPr>
          <w:ilvl w:val="0"/>
          <w:numId w:val="117"/>
        </w:numPr>
      </w:pPr>
      <w:r w:rsidRPr="00DE4E4B">
        <w:t xml:space="preserve">Policies and </w:t>
      </w:r>
      <w:proofErr w:type="spellStart"/>
      <w:r w:rsidRPr="00DE4E4B">
        <w:t>programmes</w:t>
      </w:r>
      <w:proofErr w:type="spellEnd"/>
      <w:r w:rsidRPr="00DE4E4B">
        <w:t xml:space="preserve"> in place to achieve net zero carbon, including monitoring plan with specific milestones.</w:t>
      </w:r>
    </w:p>
    <w:p w14:paraId="05DB30DA" w14:textId="2FC73A3F" w:rsidR="00DE4E4B" w:rsidRPr="00DE4E4B" w:rsidRDefault="0034342D" w:rsidP="00DE4E4B">
      <w:pPr>
        <w:pStyle w:val="ListParagraph"/>
        <w:numPr>
          <w:ilvl w:val="0"/>
          <w:numId w:val="117"/>
        </w:numPr>
        <w:rPr>
          <w:lang w:val="en-US" w:eastAsia="en-GB"/>
        </w:rPr>
      </w:pPr>
      <w:r w:rsidRPr="0034342D">
        <w:rPr>
          <w:lang w:val="en-US" w:eastAsia="en-GB"/>
        </w:rPr>
        <w:t xml:space="preserve">Innovative measures to enable healthier, safer and more resilient communities to be delivered on the contract - these could be e.g. co-designed with stakeholders or communities, or aiming at delivering benefits while </w:t>
      </w:r>
      <w:proofErr w:type="spellStart"/>
      <w:r w:rsidRPr="0034342D">
        <w:rPr>
          <w:lang w:val="en-US" w:eastAsia="en-GB"/>
        </w:rPr>
        <w:t>minimising</w:t>
      </w:r>
      <w:proofErr w:type="spellEnd"/>
      <w:r w:rsidRPr="0034342D">
        <w:rPr>
          <w:lang w:val="en-US" w:eastAsia="en-GB"/>
        </w:rPr>
        <w:t xml:space="preserve"> carbon footprint from initiatives, etc.</w:t>
      </w:r>
    </w:p>
    <w:p w14:paraId="77129286" w14:textId="5E4E95F0" w:rsidR="00740EED" w:rsidRPr="00BD47D2" w:rsidRDefault="00E90600" w:rsidP="00E53ACC">
      <w:pPr>
        <w:pStyle w:val="Heading2"/>
      </w:pPr>
      <w:r>
        <w:t xml:space="preserve">Where </w:t>
      </w:r>
      <w:r w:rsidR="00680771">
        <w:t xml:space="preserve">appropriate, we ask that </w:t>
      </w:r>
      <w:r w:rsidR="5CEEF523">
        <w:t>b</w:t>
      </w:r>
      <w:r w:rsidR="3526BC16">
        <w:t>idder</w:t>
      </w:r>
      <w:r w:rsidR="00680771">
        <w:t>s build into their proposals these considerations and identify outcomes and measures that they can deliver when providing the Goods and /or Services and Works.</w:t>
      </w:r>
    </w:p>
    <w:p w14:paraId="59A449F6" w14:textId="39C38477" w:rsidR="00F01F25" w:rsidRPr="00796AAE" w:rsidRDefault="0D5C2781" w:rsidP="00E53ACC">
      <w:pPr>
        <w:pStyle w:val="Heading2"/>
      </w:pPr>
      <w:r>
        <w:t xml:space="preserve">To </w:t>
      </w:r>
      <w:r w:rsidR="539D8DE5">
        <w:t xml:space="preserve">support </w:t>
      </w:r>
      <w:proofErr w:type="spellStart"/>
      <w:r w:rsidR="539D8DE5">
        <w:t>organisations</w:t>
      </w:r>
      <w:proofErr w:type="spellEnd"/>
      <w:r w:rsidR="539D8DE5">
        <w:t xml:space="preserve"> with the delivery of Social Value, </w:t>
      </w:r>
      <w:r w:rsidR="0039316A">
        <w:t xml:space="preserve">the </w:t>
      </w:r>
      <w:r w:rsidR="0039316A" w:rsidRPr="0039316A">
        <w:t>c</w:t>
      </w:r>
      <w:r w:rsidR="4B10EFEC" w:rsidRPr="0039316A">
        <w:t>ontracting authority</w:t>
      </w:r>
      <w:r w:rsidR="75B2B8AD">
        <w:t xml:space="preserve"> </w:t>
      </w:r>
      <w:proofErr w:type="gramStart"/>
      <w:r w:rsidR="539D8DE5">
        <w:t>have</w:t>
      </w:r>
      <w:proofErr w:type="gramEnd"/>
      <w:r w:rsidR="539D8DE5">
        <w:t xml:space="preserve"> developed a free of charge Social Value Action Planning Tool online solution that enables </w:t>
      </w:r>
      <w:proofErr w:type="spellStart"/>
      <w:r w:rsidR="539D8DE5">
        <w:t>organisations</w:t>
      </w:r>
      <w:proofErr w:type="spellEnd"/>
      <w:r w:rsidR="539D8DE5">
        <w:t xml:space="preserve"> to develop </w:t>
      </w:r>
      <w:proofErr w:type="spellStart"/>
      <w:r w:rsidR="539D8DE5">
        <w:t>customised</w:t>
      </w:r>
      <w:proofErr w:type="spellEnd"/>
      <w:r w:rsidR="539D8DE5">
        <w:t xml:space="preserve"> Social Value Action Plans. Detail of this tool can be found on </w:t>
      </w:r>
      <w:hyperlink r:id="rId43">
        <w:r w:rsidR="1D097EA3" w:rsidRPr="6522E8A4">
          <w:rPr>
            <w:rStyle w:val="Hyperlink"/>
          </w:rPr>
          <w:t>Social Value Action Planning Tool (bluelightcommercial.police.uk)</w:t>
        </w:r>
      </w:hyperlink>
      <w:r w:rsidR="1D097EA3">
        <w:t xml:space="preserve">. </w:t>
      </w:r>
    </w:p>
    <w:p w14:paraId="0ED6BD17" w14:textId="1300471F" w:rsidR="00E32541" w:rsidRDefault="00E32541" w:rsidP="00E53ACC">
      <w:pPr>
        <w:pStyle w:val="Heading2"/>
        <w:numPr>
          <w:ilvl w:val="0"/>
          <w:numId w:val="0"/>
        </w:numPr>
      </w:pPr>
    </w:p>
    <w:p w14:paraId="71232C33" w14:textId="77777777" w:rsidR="00796AAE" w:rsidRDefault="00796AAE">
      <w:pPr>
        <w:spacing w:before="0" w:line="259" w:lineRule="auto"/>
        <w:rPr>
          <w:rFonts w:asciiTheme="majorHAnsi" w:eastAsiaTheme="majorEastAsia" w:hAnsiTheme="majorHAnsi" w:cstheme="majorBidi"/>
          <w:color w:val="002060"/>
          <w:sz w:val="40"/>
          <w:szCs w:val="40"/>
        </w:rPr>
      </w:pPr>
      <w:r>
        <w:rPr>
          <w:color w:val="002060"/>
        </w:rPr>
        <w:br w:type="page"/>
      </w:r>
    </w:p>
    <w:p w14:paraId="45751D82" w14:textId="6BB3F0A0" w:rsidR="00F01F25" w:rsidRPr="00F01F25" w:rsidRDefault="00F01F25" w:rsidP="00F01F25">
      <w:pPr>
        <w:pStyle w:val="Heading1"/>
        <w:rPr>
          <w:color w:val="002060"/>
        </w:rPr>
      </w:pPr>
      <w:bookmarkStart w:id="117" w:name="_Toc215577715"/>
      <w:r>
        <w:rPr>
          <w:color w:val="002060"/>
        </w:rPr>
        <w:lastRenderedPageBreak/>
        <w:t>Additional Information</w:t>
      </w:r>
      <w:bookmarkEnd w:id="117"/>
    </w:p>
    <w:p w14:paraId="21CE59D0" w14:textId="53CB76CB" w:rsidR="004113FC" w:rsidRPr="005E0DCA" w:rsidRDefault="004113FC" w:rsidP="00E53ACC">
      <w:pPr>
        <w:pStyle w:val="Heading2"/>
      </w:pPr>
      <w:r w:rsidRPr="005E0DCA">
        <w:t xml:space="preserve">In the event the </w:t>
      </w:r>
      <w:r>
        <w:t>Highest Scoring Bidder(</w:t>
      </w:r>
      <w:proofErr w:type="gramStart"/>
      <w:r>
        <w:t>s)’</w:t>
      </w:r>
      <w:proofErr w:type="gramEnd"/>
      <w:r w:rsidRPr="005E0DCA">
        <w:t xml:space="preserve"> staff must attend Force sites </w:t>
      </w:r>
      <w:r>
        <w:t xml:space="preserve">or access force systems </w:t>
      </w:r>
      <w:r w:rsidRPr="005E0DCA">
        <w:t xml:space="preserve">they may need to undertake a full vetting process. Due to the information the supplier and their staff will be party to, there may be a requirement for vetting under this Contract this level will be determined at Call off. Any cost for undertaking staff vetting will be met by the </w:t>
      </w:r>
      <w:r>
        <w:t>Highest Scoring Bidder(s</w:t>
      </w:r>
      <w:proofErr w:type="gramStart"/>
      <w:r>
        <w:t>).</w:t>
      </w:r>
      <w:r w:rsidRPr="005E0DCA">
        <w:t>The</w:t>
      </w:r>
      <w:proofErr w:type="gramEnd"/>
      <w:r w:rsidRPr="005E0DCA">
        <w:t xml:space="preserve"> vetting must remain valid for each contracting authority throughout duration of Contract</w:t>
      </w:r>
    </w:p>
    <w:p w14:paraId="045844D3" w14:textId="75EDB966" w:rsidR="004113FC" w:rsidRPr="005E0DCA" w:rsidRDefault="004113FC" w:rsidP="00E53ACC">
      <w:pPr>
        <w:pStyle w:val="Heading2"/>
      </w:pPr>
      <w:r>
        <w:t xml:space="preserve">Please note </w:t>
      </w:r>
      <w:r w:rsidR="0AE9291B" w:rsidRPr="534BA9B7">
        <w:rPr>
          <w:rFonts w:eastAsia="Arial" w:cs="Arial"/>
          <w:color w:val="000000" w:themeColor="text1"/>
          <w:szCs w:val="24"/>
        </w:rPr>
        <w:t>the contracting authority</w:t>
      </w:r>
      <w:r>
        <w:t xml:space="preserve"> </w:t>
      </w:r>
      <w:proofErr w:type="gramStart"/>
      <w:r>
        <w:t>reserve</w:t>
      </w:r>
      <w:proofErr w:type="gramEnd"/>
      <w:r>
        <w:t xml:space="preserve"> the right at any time within the </w:t>
      </w:r>
      <w:r w:rsidR="00CE5208">
        <w:t>contract</w:t>
      </w:r>
      <w:r>
        <w:t xml:space="preserve"> to revise the vetting levels and costs.</w:t>
      </w:r>
    </w:p>
    <w:p w14:paraId="49551856" w14:textId="77777777" w:rsidR="004113FC" w:rsidRPr="005E0DCA" w:rsidRDefault="004113FC" w:rsidP="00E53ACC">
      <w:pPr>
        <w:pStyle w:val="Heading2"/>
      </w:pPr>
      <w:r w:rsidRPr="005E0DCA">
        <w:t xml:space="preserve">All </w:t>
      </w:r>
      <w:proofErr w:type="gramStart"/>
      <w:r w:rsidRPr="005E0DCA">
        <w:t>persons</w:t>
      </w:r>
      <w:proofErr w:type="gramEnd"/>
      <w:r w:rsidRPr="005E0DCA">
        <w:t xml:space="preserve"> (including sub-contracted employees) connected with the Bidder(s) and deemed to require vetting will be required to submit and pass the vetting process. </w:t>
      </w:r>
    </w:p>
    <w:p w14:paraId="6093723B" w14:textId="77777777" w:rsidR="004113FC" w:rsidRPr="005E0DCA" w:rsidRDefault="004113FC" w:rsidP="00E53ACC">
      <w:pPr>
        <w:pStyle w:val="Heading2"/>
      </w:pPr>
      <w:r w:rsidRPr="005E0DCA">
        <w:t xml:space="preserve">There is a fee attached to each vetting </w:t>
      </w:r>
      <w:proofErr w:type="gramStart"/>
      <w:r w:rsidRPr="005E0DCA">
        <w:t>application</w:t>
      </w:r>
      <w:proofErr w:type="gramEnd"/>
      <w:r w:rsidRPr="005E0DCA">
        <w:t xml:space="preserve"> an example is provided here:</w:t>
      </w:r>
    </w:p>
    <w:p w14:paraId="13923D38" w14:textId="77777777" w:rsidR="004113FC" w:rsidRPr="005E0DCA" w:rsidRDefault="004113FC" w:rsidP="00E53ACC">
      <w:pPr>
        <w:pStyle w:val="Heading2"/>
        <w:numPr>
          <w:ilvl w:val="0"/>
          <w:numId w:val="0"/>
        </w:numPr>
        <w:ind w:left="567"/>
      </w:pPr>
      <w:r>
        <w:tab/>
      </w:r>
      <w:hyperlink r:id="rId44" w:history="1">
        <w:r w:rsidRPr="009A18AC">
          <w:rPr>
            <w:rStyle w:val="Hyperlink"/>
          </w:rPr>
          <w:t>https://www.warwickshire.police.uk/police-forces/warwickshire-police/areas/warwickshire-police/about-us/about-us/police-national-vetting-service/useful-documents/</w:t>
        </w:r>
      </w:hyperlink>
    </w:p>
    <w:p w14:paraId="6C434384" w14:textId="77777777" w:rsidR="004113FC" w:rsidRDefault="004113FC" w:rsidP="00E53ACC">
      <w:pPr>
        <w:pStyle w:val="Heading2"/>
      </w:pPr>
      <w:r w:rsidRPr="005E0DCA">
        <w:t>Staff that are not vetted must not be used on the contract until such time as the vetting has been completed and you have been notified that all is in order.</w:t>
      </w:r>
    </w:p>
    <w:p w14:paraId="6B82054E" w14:textId="5AD5B119" w:rsidR="004113FC" w:rsidRPr="007D6928" w:rsidRDefault="004113FC" w:rsidP="001B0027">
      <w:pPr>
        <w:shd w:val="clear" w:color="auto" w:fill="FFFFFF" w:themeFill="background1"/>
        <w:tabs>
          <w:tab w:val="left" w:pos="709"/>
        </w:tabs>
        <w:rPr>
          <w:sz w:val="24"/>
          <w:szCs w:val="24"/>
          <w:lang w:val="en-US"/>
        </w:rPr>
      </w:pPr>
    </w:p>
    <w:p w14:paraId="0F21D389" w14:textId="77777777" w:rsidR="001B0027" w:rsidRDefault="001B0027">
      <w:pPr>
        <w:spacing w:before="0" w:line="259" w:lineRule="auto"/>
        <w:rPr>
          <w:rFonts w:asciiTheme="majorHAnsi" w:eastAsiaTheme="majorEastAsia" w:hAnsiTheme="majorHAnsi" w:cstheme="majorBidi"/>
          <w:color w:val="002060"/>
          <w:sz w:val="40"/>
          <w:szCs w:val="40"/>
        </w:rPr>
      </w:pPr>
      <w:r>
        <w:rPr>
          <w:color w:val="002060"/>
        </w:rPr>
        <w:br w:type="page"/>
      </w:r>
    </w:p>
    <w:p w14:paraId="67A7FD4D" w14:textId="52F7FFEC" w:rsidR="00573225" w:rsidRPr="00377F38" w:rsidRDefault="21D4148C" w:rsidP="0008024B">
      <w:pPr>
        <w:pStyle w:val="Heading1"/>
        <w:rPr>
          <w:color w:val="002060"/>
        </w:rPr>
      </w:pPr>
      <w:bookmarkStart w:id="118" w:name="_Toc215577716"/>
      <w:r w:rsidRPr="00377F38">
        <w:rPr>
          <w:color w:val="002060"/>
        </w:rPr>
        <w:lastRenderedPageBreak/>
        <w:t>Pricing</w:t>
      </w:r>
      <w:bookmarkEnd w:id="118"/>
      <w:r w:rsidRPr="00377F38">
        <w:rPr>
          <w:color w:val="002060"/>
        </w:rPr>
        <w:t xml:space="preserve"> </w:t>
      </w:r>
    </w:p>
    <w:p w14:paraId="479FAE76" w14:textId="46015BDE" w:rsidR="5656F9E2" w:rsidRDefault="3526BC16" w:rsidP="00E53ACC">
      <w:pPr>
        <w:pStyle w:val="Heading2"/>
      </w:pPr>
      <w:r w:rsidRPr="6522E8A4">
        <w:t>Bidder</w:t>
      </w:r>
      <w:r w:rsidR="5656F9E2" w:rsidRPr="6522E8A4">
        <w:t xml:space="preserve">s must complete the Pricing Schedule document within the tender pack. </w:t>
      </w:r>
    </w:p>
    <w:p w14:paraId="234897F5" w14:textId="6978C361" w:rsidR="00541AB2" w:rsidRPr="00110C2A" w:rsidRDefault="00110C2A" w:rsidP="00E53ACC">
      <w:pPr>
        <w:pStyle w:val="Heading2"/>
      </w:pPr>
      <w:r w:rsidRPr="00110C2A">
        <w:t>The YNYCA are inviting bids up to the maximum Contract Value of £</w:t>
      </w:r>
      <w:r w:rsidR="00765827" w:rsidRPr="00765827">
        <w:t xml:space="preserve">773,834 </w:t>
      </w:r>
      <w:r w:rsidRPr="00110C2A">
        <w:t xml:space="preserve">for the initial two (2) year period. Bids submitted that exceed the maximum Contract Value will be </w:t>
      </w:r>
      <w:proofErr w:type="gramStart"/>
      <w:r w:rsidRPr="00110C2A">
        <w:t>deemed as</w:t>
      </w:r>
      <w:proofErr w:type="gramEnd"/>
      <w:r w:rsidRPr="00110C2A">
        <w:t xml:space="preserve"> non-compliant and therefore will not be evaluated.</w:t>
      </w:r>
      <w:r w:rsidR="00541AB2">
        <w:br w:type="page"/>
      </w:r>
    </w:p>
    <w:p w14:paraId="6BC08B2E" w14:textId="5BE9615A" w:rsidR="0095732C" w:rsidRPr="00541831" w:rsidRDefault="00573225" w:rsidP="00F53ABD">
      <w:pPr>
        <w:pStyle w:val="Heading1"/>
      </w:pPr>
      <w:bookmarkStart w:id="119" w:name="_Toc215577717"/>
      <w:r w:rsidRPr="00377F38">
        <w:lastRenderedPageBreak/>
        <w:t>Contract Management</w:t>
      </w:r>
      <w:bookmarkEnd w:id="119"/>
    </w:p>
    <w:p w14:paraId="48AF43B0" w14:textId="23CE4B49" w:rsidR="00731181" w:rsidRPr="00BD47D2" w:rsidRDefault="0290DF15" w:rsidP="00E53ACC">
      <w:pPr>
        <w:pStyle w:val="Heading2"/>
        <w:rPr>
          <w:shd w:val="clear" w:color="auto" w:fill="D9F2D0" w:themeFill="accent6" w:themeFillTint="33"/>
        </w:rPr>
      </w:pPr>
      <w:r w:rsidRPr="6522E8A4">
        <w:t xml:space="preserve">As part of the submission, </w:t>
      </w:r>
      <w:r w:rsidR="275505C9" w:rsidRPr="6522E8A4">
        <w:t xml:space="preserve">the successful </w:t>
      </w:r>
      <w:r w:rsidR="204BD8E4" w:rsidRPr="6522E8A4">
        <w:t>b</w:t>
      </w:r>
      <w:r w:rsidR="3526BC16" w:rsidRPr="6522E8A4">
        <w:t>idder</w:t>
      </w:r>
      <w:r w:rsidR="275505C9" w:rsidRPr="6522E8A4">
        <w:t xml:space="preserve"> is to provide a point of contact representative who will be responsible for performance delivery of the Agreement</w:t>
      </w:r>
      <w:r w:rsidR="6E44A380" w:rsidRPr="6522E8A4">
        <w:t>.</w:t>
      </w:r>
    </w:p>
    <w:p w14:paraId="7885E8E9" w14:textId="159291CD" w:rsidR="00731181" w:rsidRPr="00BD47D2" w:rsidRDefault="275505C9" w:rsidP="00E53ACC">
      <w:pPr>
        <w:pStyle w:val="Heading2"/>
        <w:rPr>
          <w:shd w:val="clear" w:color="auto" w:fill="D9F2D0" w:themeFill="accent6" w:themeFillTint="33"/>
        </w:rPr>
      </w:pPr>
      <w:r w:rsidRPr="6522E8A4">
        <w:t xml:space="preserve">It should </w:t>
      </w:r>
      <w:r w:rsidR="70CA0505" w:rsidRPr="6522E8A4">
        <w:t xml:space="preserve">be noted that </w:t>
      </w:r>
      <w:r w:rsidR="3207E3B7" w:rsidRPr="6522E8A4">
        <w:t xml:space="preserve">the </w:t>
      </w:r>
      <w:r w:rsidR="4B10EFEC" w:rsidRPr="6522E8A4">
        <w:t>contracting authority</w:t>
      </w:r>
      <w:r w:rsidR="70CA0505" w:rsidRPr="6522E8A4">
        <w:t xml:space="preserve"> must be able to contact the successful </w:t>
      </w:r>
      <w:r w:rsidR="04376F2E" w:rsidRPr="6522E8A4">
        <w:t>b</w:t>
      </w:r>
      <w:r w:rsidR="0B23FE5E" w:rsidRPr="6522E8A4">
        <w:t>idder(s)</w:t>
      </w:r>
      <w:r w:rsidR="70CA0505" w:rsidRPr="6522E8A4">
        <w:t xml:space="preserve"> representatives</w:t>
      </w:r>
      <w:r w:rsidR="659D0103">
        <w:t xml:space="preserve"> </w:t>
      </w:r>
      <w:r w:rsidR="659D0103" w:rsidRPr="538DDC9B">
        <w:t xml:space="preserve">within business </w:t>
      </w:r>
      <w:proofErr w:type="gramStart"/>
      <w:r w:rsidR="659D0103" w:rsidRPr="538DDC9B">
        <w:t>hours</w:t>
      </w:r>
      <w:proofErr w:type="gramEnd"/>
      <w:r w:rsidR="659D0103" w:rsidRPr="538DDC9B">
        <w:t xml:space="preserve"> and initial response </w:t>
      </w:r>
      <w:r w:rsidR="75A55672" w:rsidRPr="538DDC9B">
        <w:t>must</w:t>
      </w:r>
      <w:r w:rsidR="659D0103" w:rsidRPr="538DDC9B">
        <w:t xml:space="preserve"> be no longer than 24 hours</w:t>
      </w:r>
      <w:r w:rsidR="04B32CF3" w:rsidRPr="538DDC9B">
        <w:t xml:space="preserve"> of issue report</w:t>
      </w:r>
      <w:r w:rsidR="001E791F">
        <w:t>.</w:t>
      </w:r>
    </w:p>
    <w:p w14:paraId="47E3F9CC" w14:textId="653F29C2" w:rsidR="00CC1522" w:rsidRPr="00F85F3F" w:rsidRDefault="0A0DCB6B" w:rsidP="00E53ACC">
      <w:pPr>
        <w:pStyle w:val="Heading2"/>
      </w:pPr>
      <w:r w:rsidRPr="6522E8A4">
        <w:t xml:space="preserve">The </w:t>
      </w:r>
      <w:r w:rsidR="1D48B9C5" w:rsidRPr="6522E8A4">
        <w:t>b</w:t>
      </w:r>
      <w:r w:rsidR="0B23FE5E" w:rsidRPr="6522E8A4">
        <w:t>idder(s)</w:t>
      </w:r>
      <w:r w:rsidRPr="6522E8A4">
        <w:t xml:space="preserve"> </w:t>
      </w:r>
      <w:r w:rsidR="47F19059" w:rsidRPr="6522E8A4">
        <w:t xml:space="preserve">will provide a process map with contact information to illustrate timeframes and how queries will be </w:t>
      </w:r>
      <w:r w:rsidR="47F19059" w:rsidRPr="00F85F3F">
        <w:t>logged, priorities and resolved as part of their submission.</w:t>
      </w:r>
    </w:p>
    <w:p w14:paraId="69C79BA1" w14:textId="77777777" w:rsidR="0098195A" w:rsidRPr="00F85F3F" w:rsidRDefault="0098195A" w:rsidP="0098195A">
      <w:pPr>
        <w:rPr>
          <w:lang w:val="en-US" w:eastAsia="en-GB"/>
        </w:rPr>
      </w:pPr>
    </w:p>
    <w:p w14:paraId="6263568C" w14:textId="7D7CF3F5" w:rsidR="001852E0" w:rsidRPr="00F85F3F" w:rsidRDefault="001852E0" w:rsidP="00E53ACC">
      <w:pPr>
        <w:pStyle w:val="Heading2"/>
      </w:pPr>
      <w:r w:rsidRPr="00F85F3F">
        <w:t>Contract Management</w:t>
      </w:r>
    </w:p>
    <w:p w14:paraId="17FC2D73" w14:textId="711240DC" w:rsidR="001852E0" w:rsidRPr="00F85F3F" w:rsidRDefault="001852E0" w:rsidP="00424022">
      <w:pPr>
        <w:pStyle w:val="Heading3"/>
        <w:numPr>
          <w:ilvl w:val="0"/>
          <w:numId w:val="0"/>
        </w:numPr>
        <w:ind w:left="568"/>
        <w:rPr>
          <w:szCs w:val="22"/>
        </w:rPr>
      </w:pPr>
      <w:r w:rsidRPr="00F85F3F">
        <w:rPr>
          <w:szCs w:val="22"/>
        </w:rPr>
        <w:t xml:space="preserve">Over the lifetime of the contract, Bidders will be expected to meet the Key Performance Indicators (KPIs) detailed </w:t>
      </w:r>
      <w:r w:rsidR="005C5860">
        <w:rPr>
          <w:szCs w:val="22"/>
        </w:rPr>
        <w:t>within</w:t>
      </w:r>
      <w:r w:rsidRPr="00F85F3F">
        <w:rPr>
          <w:szCs w:val="22"/>
        </w:rPr>
        <w:t xml:space="preserve"> </w:t>
      </w:r>
      <w:r w:rsidR="000C4A3A">
        <w:rPr>
          <w:szCs w:val="22"/>
        </w:rPr>
        <w:t xml:space="preserve">Annex 2 of </w:t>
      </w:r>
      <w:r w:rsidRPr="00F85F3F">
        <w:rPr>
          <w:szCs w:val="22"/>
        </w:rPr>
        <w:t>this document.</w:t>
      </w:r>
    </w:p>
    <w:p w14:paraId="7F4C0D61" w14:textId="77777777" w:rsidR="001852E0" w:rsidRPr="0064360F" w:rsidRDefault="001852E0" w:rsidP="00E53ACC">
      <w:pPr>
        <w:pStyle w:val="Heading2"/>
      </w:pPr>
      <w:r w:rsidRPr="0064360F">
        <w:t xml:space="preserve">Poor Performance and Breach of Contract. </w:t>
      </w:r>
    </w:p>
    <w:p w14:paraId="3BDB2D3D" w14:textId="18B46D88" w:rsidR="001852E0" w:rsidRPr="000E3AC9" w:rsidRDefault="001852E0" w:rsidP="00E53ACC">
      <w:pPr>
        <w:pStyle w:val="Heading2"/>
        <w:numPr>
          <w:ilvl w:val="0"/>
          <w:numId w:val="0"/>
        </w:numPr>
        <w:ind w:left="709"/>
        <w:rPr>
          <w:szCs w:val="24"/>
        </w:rPr>
      </w:pPr>
      <w:r w:rsidRPr="00D24746">
        <w:t xml:space="preserve">Where the bidder is in breach of the contract or is failing to deliver the contract to satisfactory level of performance, the contracting authority may take steps to address this </w:t>
      </w:r>
      <w:r w:rsidRPr="001A7509">
        <w:rPr>
          <w:szCs w:val="24"/>
        </w:rPr>
        <w:t xml:space="preserve">in accordance with section 71 of the Act, which may lead to publishing a </w:t>
      </w:r>
      <w:r>
        <w:rPr>
          <w:szCs w:val="24"/>
        </w:rPr>
        <w:t>C</w:t>
      </w:r>
      <w:r w:rsidRPr="001A7509">
        <w:rPr>
          <w:szCs w:val="24"/>
        </w:rPr>
        <w:t xml:space="preserve">ontract </w:t>
      </w:r>
      <w:r>
        <w:rPr>
          <w:szCs w:val="24"/>
        </w:rPr>
        <w:t>P</w:t>
      </w:r>
      <w:r w:rsidRPr="001A7509">
        <w:rPr>
          <w:szCs w:val="24"/>
        </w:rPr>
        <w:t xml:space="preserve">erformance </w:t>
      </w:r>
      <w:r>
        <w:rPr>
          <w:szCs w:val="24"/>
        </w:rPr>
        <w:t>N</w:t>
      </w:r>
      <w:r w:rsidRPr="001A7509">
        <w:rPr>
          <w:szCs w:val="24"/>
        </w:rPr>
        <w:t>otice (section 71(5)) that details the poor performance / breach of contract.</w:t>
      </w:r>
    </w:p>
    <w:p w14:paraId="69858343" w14:textId="07FACEC6" w:rsidR="0037017F" w:rsidRPr="0045213B" w:rsidRDefault="54E1948D" w:rsidP="00E53ACC">
      <w:pPr>
        <w:pStyle w:val="Heading2"/>
      </w:pPr>
      <w:r w:rsidRPr="0045213B">
        <w:t>Continuous Improvement</w:t>
      </w:r>
      <w:r w:rsidR="7CD931C5" w:rsidRPr="0045213B">
        <w:t xml:space="preserve"> </w:t>
      </w:r>
    </w:p>
    <w:p w14:paraId="4D544386" w14:textId="58EC4BC2" w:rsidR="00615E5F" w:rsidRPr="00FF6BA4" w:rsidRDefault="509E0B48" w:rsidP="00C57D7C">
      <w:pPr>
        <w:pStyle w:val="Heading3"/>
        <w:numPr>
          <w:ilvl w:val="2"/>
          <w:numId w:val="5"/>
        </w:numPr>
        <w:ind w:left="1276" w:hanging="708"/>
        <w:rPr>
          <w:szCs w:val="22"/>
        </w:rPr>
      </w:pPr>
      <w:r w:rsidRPr="0045213B">
        <w:rPr>
          <w:szCs w:val="22"/>
        </w:rPr>
        <w:t xml:space="preserve">As </w:t>
      </w:r>
      <w:r w:rsidR="40AE557D" w:rsidRPr="0045213B">
        <w:rPr>
          <w:szCs w:val="22"/>
        </w:rPr>
        <w:t xml:space="preserve">part of the contract management process the successful </w:t>
      </w:r>
      <w:r w:rsidR="29E835FB" w:rsidRPr="0045213B">
        <w:rPr>
          <w:szCs w:val="22"/>
        </w:rPr>
        <w:t>b</w:t>
      </w:r>
      <w:r w:rsidR="0B23FE5E" w:rsidRPr="0045213B">
        <w:rPr>
          <w:szCs w:val="22"/>
        </w:rPr>
        <w:t>idder(s)</w:t>
      </w:r>
      <w:r w:rsidR="40AE557D" w:rsidRPr="0045213B">
        <w:rPr>
          <w:szCs w:val="22"/>
        </w:rPr>
        <w:t xml:space="preserve"> and </w:t>
      </w:r>
      <w:r w:rsidR="0022286B" w:rsidRPr="0045213B">
        <w:rPr>
          <w:szCs w:val="22"/>
        </w:rPr>
        <w:t>the</w:t>
      </w:r>
      <w:r w:rsidR="008775AB" w:rsidRPr="00110C2A">
        <w:rPr>
          <w:szCs w:val="22"/>
        </w:rPr>
        <w:t xml:space="preserve"> </w:t>
      </w:r>
      <w:r w:rsidR="0022286B" w:rsidRPr="0045213B">
        <w:rPr>
          <w:szCs w:val="22"/>
        </w:rPr>
        <w:t>C</w:t>
      </w:r>
      <w:r w:rsidR="008775AB" w:rsidRPr="0045213B">
        <w:rPr>
          <w:szCs w:val="22"/>
        </w:rPr>
        <w:t xml:space="preserve">ontracting </w:t>
      </w:r>
      <w:r w:rsidR="0022286B" w:rsidRPr="0045213B">
        <w:rPr>
          <w:szCs w:val="22"/>
        </w:rPr>
        <w:t>A</w:t>
      </w:r>
      <w:r w:rsidR="008775AB" w:rsidRPr="0045213B">
        <w:rPr>
          <w:szCs w:val="22"/>
        </w:rPr>
        <w:t xml:space="preserve">uthority </w:t>
      </w:r>
      <w:r w:rsidR="40AE557D" w:rsidRPr="0045213B">
        <w:rPr>
          <w:szCs w:val="22"/>
        </w:rPr>
        <w:t xml:space="preserve">will attend </w:t>
      </w:r>
      <w:r w:rsidR="40AE557D" w:rsidRPr="00110C2A">
        <w:rPr>
          <w:szCs w:val="22"/>
        </w:rPr>
        <w:t>quarterly reviews</w:t>
      </w:r>
      <w:r w:rsidR="40AE557D" w:rsidRPr="0045213B">
        <w:rPr>
          <w:szCs w:val="22"/>
        </w:rPr>
        <w:t xml:space="preserve">. Within these reviews issues will be discussed as will the general running of the contract. It is expected that where required </w:t>
      </w:r>
      <w:r w:rsidR="40AE557D" w:rsidRPr="00FF6BA4">
        <w:rPr>
          <w:szCs w:val="22"/>
        </w:rPr>
        <w:t xml:space="preserve">the successful </w:t>
      </w:r>
      <w:r w:rsidR="25DB3AE3" w:rsidRPr="00FF6BA4">
        <w:rPr>
          <w:szCs w:val="22"/>
        </w:rPr>
        <w:t>b</w:t>
      </w:r>
      <w:r w:rsidR="0B23FE5E" w:rsidRPr="00FF6BA4">
        <w:rPr>
          <w:szCs w:val="22"/>
        </w:rPr>
        <w:t>idder(s)</w:t>
      </w:r>
      <w:r w:rsidR="40AE557D" w:rsidRPr="00FF6BA4">
        <w:rPr>
          <w:szCs w:val="22"/>
        </w:rPr>
        <w:t xml:space="preserve"> will provide resolution requirements and also provide innovation and suggestions to develop the contract further.</w:t>
      </w:r>
    </w:p>
    <w:p w14:paraId="7816D3C6" w14:textId="38F715F3" w:rsidR="008363C7" w:rsidRPr="00FF6BA4" w:rsidRDefault="460154EB" w:rsidP="001E791F">
      <w:pPr>
        <w:pStyle w:val="Heading3"/>
        <w:ind w:left="1276" w:hanging="708"/>
        <w:rPr>
          <w:szCs w:val="22"/>
        </w:rPr>
      </w:pPr>
      <w:r w:rsidRPr="00FF6BA4">
        <w:rPr>
          <w:szCs w:val="22"/>
        </w:rPr>
        <w:t xml:space="preserve">It is </w:t>
      </w:r>
      <w:r w:rsidR="378A01E2" w:rsidRPr="00FF6BA4">
        <w:rPr>
          <w:szCs w:val="22"/>
        </w:rPr>
        <w:t>the intention of this Service Level Agreement (SLA) to provide an effective system of performance indicators that will show that any Contract Agreement by the Customer is providing a reliable and timely service at an agreed price to an agreed quality standard.</w:t>
      </w:r>
    </w:p>
    <w:p w14:paraId="1EC74439" w14:textId="77777777" w:rsidR="008363C7" w:rsidRPr="00FF6BA4" w:rsidRDefault="378A01E2" w:rsidP="001E791F">
      <w:pPr>
        <w:pStyle w:val="Heading3"/>
        <w:ind w:left="1276" w:hanging="708"/>
        <w:rPr>
          <w:szCs w:val="22"/>
        </w:rPr>
      </w:pPr>
      <w:r w:rsidRPr="00FF6BA4">
        <w:rPr>
          <w:szCs w:val="22"/>
        </w:rPr>
        <w:t>The measures in place are expected to facilitate:</w:t>
      </w:r>
    </w:p>
    <w:p w14:paraId="5D910AC2" w14:textId="77777777" w:rsidR="008363C7" w:rsidRPr="00FF6BA4" w:rsidRDefault="378A01E2" w:rsidP="001D3116">
      <w:pPr>
        <w:pStyle w:val="ListParagraph"/>
        <w:numPr>
          <w:ilvl w:val="0"/>
          <w:numId w:val="1"/>
        </w:numPr>
        <w:ind w:left="1701"/>
        <w:rPr>
          <w:rFonts w:eastAsia="Arial" w:cs="Arial"/>
          <w:color w:val="000000" w:themeColor="text1"/>
        </w:rPr>
      </w:pPr>
      <w:r w:rsidRPr="00FF6BA4">
        <w:rPr>
          <w:rFonts w:eastAsia="Arial" w:cs="Arial"/>
          <w:color w:val="000000" w:themeColor="text1"/>
        </w:rPr>
        <w:t>Improvements in supply performance</w:t>
      </w:r>
    </w:p>
    <w:p w14:paraId="20569C54" w14:textId="77777777" w:rsidR="008363C7" w:rsidRPr="00FF6BA4" w:rsidRDefault="378A01E2" w:rsidP="001D3116">
      <w:pPr>
        <w:pStyle w:val="ListParagraph"/>
        <w:numPr>
          <w:ilvl w:val="0"/>
          <w:numId w:val="1"/>
        </w:numPr>
        <w:ind w:left="1701"/>
        <w:rPr>
          <w:rFonts w:eastAsia="Arial" w:cs="Arial"/>
          <w:color w:val="000000" w:themeColor="text1"/>
        </w:rPr>
      </w:pPr>
      <w:r w:rsidRPr="00FF6BA4">
        <w:rPr>
          <w:rFonts w:eastAsia="Arial" w:cs="Arial"/>
          <w:color w:val="000000" w:themeColor="text1"/>
        </w:rPr>
        <w:t>Appropriate improvements to the system</w:t>
      </w:r>
    </w:p>
    <w:p w14:paraId="39C0BD76" w14:textId="5EC1A4C8" w:rsidR="004C0ACB" w:rsidRPr="00FF6BA4" w:rsidRDefault="4B10EFEC" w:rsidP="001D3116">
      <w:pPr>
        <w:pStyle w:val="ListParagraph"/>
        <w:numPr>
          <w:ilvl w:val="0"/>
          <w:numId w:val="1"/>
        </w:numPr>
        <w:ind w:left="1701"/>
        <w:rPr>
          <w:rFonts w:eastAsia="Arial" w:cs="Arial"/>
          <w:color w:val="000000" w:themeColor="text1"/>
        </w:rPr>
      </w:pPr>
      <w:r w:rsidRPr="00FF6BA4">
        <w:rPr>
          <w:rFonts w:eastAsia="Arial" w:cs="Arial"/>
          <w:color w:val="000000" w:themeColor="text1"/>
        </w:rPr>
        <w:t>Contracting authority</w:t>
      </w:r>
      <w:r w:rsidR="222AFA5D" w:rsidRPr="00FF6BA4">
        <w:rPr>
          <w:rFonts w:eastAsia="Arial" w:cs="Arial"/>
          <w:color w:val="000000" w:themeColor="text1"/>
        </w:rPr>
        <w:t xml:space="preserve"> </w:t>
      </w:r>
      <w:r w:rsidR="378A01E2" w:rsidRPr="00FF6BA4">
        <w:rPr>
          <w:rFonts w:eastAsia="Arial" w:cs="Arial"/>
          <w:color w:val="000000" w:themeColor="text1"/>
        </w:rPr>
        <w:t>satisfaction</w:t>
      </w:r>
    </w:p>
    <w:p w14:paraId="6490A330" w14:textId="6F7EB897" w:rsidR="00F76C92" w:rsidRPr="00864D13" w:rsidRDefault="08AAA8BB" w:rsidP="00E53ACC">
      <w:pPr>
        <w:pStyle w:val="Heading2"/>
      </w:pPr>
      <w:r w:rsidRPr="00864D13">
        <w:t>Reports and Management Information</w:t>
      </w:r>
    </w:p>
    <w:p w14:paraId="7846A6A0" w14:textId="62D1A356" w:rsidR="00BC1B2A" w:rsidRPr="00864D13" w:rsidRDefault="00BC1B2A" w:rsidP="00FF6BA4">
      <w:pPr>
        <w:pStyle w:val="Heading3"/>
        <w:numPr>
          <w:ilvl w:val="2"/>
          <w:numId w:val="113"/>
        </w:numPr>
        <w:rPr>
          <w:szCs w:val="22"/>
        </w:rPr>
      </w:pPr>
      <w:r w:rsidRPr="00864D13">
        <w:rPr>
          <w:szCs w:val="22"/>
        </w:rPr>
        <w:t xml:space="preserve">Throughout the term of the contract the successful Bidder(s) must provide a suite of Management Information (MI) to the contracting authority. This </w:t>
      </w:r>
      <w:r w:rsidR="009F7687">
        <w:rPr>
          <w:szCs w:val="22"/>
        </w:rPr>
        <w:t xml:space="preserve">suite of </w:t>
      </w:r>
      <w:r w:rsidRPr="00864D13">
        <w:rPr>
          <w:szCs w:val="22"/>
        </w:rPr>
        <w:t>informat</w:t>
      </w:r>
      <w:r w:rsidR="009F7687">
        <w:rPr>
          <w:szCs w:val="22"/>
        </w:rPr>
        <w:t xml:space="preserve">ion is to be agreed with the Contracting Authority on award of contract in the format </w:t>
      </w:r>
      <w:r w:rsidRPr="00864D13">
        <w:rPr>
          <w:szCs w:val="22"/>
        </w:rPr>
        <w:t xml:space="preserve">set out in </w:t>
      </w:r>
      <w:r w:rsidRPr="009F7687">
        <w:rPr>
          <w:szCs w:val="22"/>
        </w:rPr>
        <w:t>Annex 1,</w:t>
      </w:r>
      <w:r w:rsidRPr="00864D13">
        <w:rPr>
          <w:b/>
          <w:bCs/>
          <w:szCs w:val="22"/>
        </w:rPr>
        <w:t xml:space="preserve"> </w:t>
      </w:r>
      <w:r w:rsidRPr="00864D13">
        <w:rPr>
          <w:szCs w:val="22"/>
        </w:rPr>
        <w:t xml:space="preserve">it is expected to include: </w:t>
      </w:r>
    </w:p>
    <w:p w14:paraId="49733406" w14:textId="77777777" w:rsidR="00BC1B2A" w:rsidRPr="00864D13" w:rsidRDefault="00BC1B2A" w:rsidP="00C57D7C">
      <w:pPr>
        <w:pStyle w:val="ListParagraph"/>
        <w:keepNext/>
        <w:keepLines/>
        <w:numPr>
          <w:ilvl w:val="0"/>
          <w:numId w:val="8"/>
        </w:numPr>
        <w:rPr>
          <w:b/>
          <w:bCs/>
        </w:rPr>
      </w:pPr>
      <w:r w:rsidRPr="00864D13">
        <w:rPr>
          <w:b/>
          <w:bCs/>
        </w:rPr>
        <w:t>Management Information Report</w:t>
      </w:r>
    </w:p>
    <w:p w14:paraId="639F933C" w14:textId="77777777" w:rsidR="00BC1B2A" w:rsidRPr="00864D13" w:rsidRDefault="00BC1B2A" w:rsidP="00BC1B2A">
      <w:pPr>
        <w:pStyle w:val="ListParagraph"/>
        <w:ind w:left="928"/>
        <w:rPr>
          <w:b/>
          <w:bCs/>
        </w:rPr>
      </w:pPr>
    </w:p>
    <w:p w14:paraId="7BE04274" w14:textId="78E183AB" w:rsidR="00BC1B2A" w:rsidRDefault="00BC1B2A" w:rsidP="00BC1B2A">
      <w:pPr>
        <w:pStyle w:val="ListParagraph"/>
        <w:ind w:left="928"/>
        <w:rPr>
          <w:rFonts w:cs="Arial"/>
        </w:rPr>
      </w:pPr>
      <w:r w:rsidRPr="00864D13">
        <w:rPr>
          <w:rFonts w:cs="Arial"/>
        </w:rPr>
        <w:t xml:space="preserve">Bidders are required to provide the information detailed in Annex 1 – Contract MI Reports on a </w:t>
      </w:r>
      <w:r w:rsidR="009F7687">
        <w:rPr>
          <w:rFonts w:cs="Arial"/>
        </w:rPr>
        <w:t>quarterly</w:t>
      </w:r>
      <w:r w:rsidRPr="00864D13">
        <w:rPr>
          <w:rFonts w:cs="Arial"/>
        </w:rPr>
        <w:t xml:space="preserve"> basis in accordance with </w:t>
      </w:r>
      <w:r w:rsidR="009F7687">
        <w:rPr>
          <w:rFonts w:cs="Arial"/>
        </w:rPr>
        <w:t xml:space="preserve">the </w:t>
      </w:r>
      <w:r w:rsidRPr="009F7687">
        <w:rPr>
          <w:rFonts w:cs="Arial"/>
        </w:rPr>
        <w:t>KPI</w:t>
      </w:r>
      <w:r w:rsidR="009F7687" w:rsidRPr="009F7687">
        <w:rPr>
          <w:rFonts w:cs="Arial"/>
        </w:rPr>
        <w:t>’s in Annex 2</w:t>
      </w:r>
      <w:r w:rsidRPr="00864D13">
        <w:rPr>
          <w:rFonts w:cs="Arial"/>
        </w:rPr>
        <w:t xml:space="preserve">. This information must be distributed within </w:t>
      </w:r>
      <w:r w:rsidRPr="00682BA3">
        <w:rPr>
          <w:rFonts w:cs="Arial"/>
        </w:rPr>
        <w:t>10 working days of the month end</w:t>
      </w:r>
      <w:r w:rsidRPr="00864D13">
        <w:rPr>
          <w:rFonts w:cs="Arial"/>
        </w:rPr>
        <w:t xml:space="preserve">. The report fields are </w:t>
      </w:r>
      <w:r w:rsidR="00682BA3">
        <w:rPr>
          <w:rFonts w:cs="Arial"/>
        </w:rPr>
        <w:t xml:space="preserve">to be agreed on award of </w:t>
      </w:r>
      <w:r w:rsidR="00682BA3">
        <w:rPr>
          <w:rFonts w:cs="Arial"/>
        </w:rPr>
        <w:lastRenderedPageBreak/>
        <w:t xml:space="preserve">contract, are </w:t>
      </w:r>
      <w:r w:rsidRPr="00864D13">
        <w:rPr>
          <w:rFonts w:cs="Arial"/>
        </w:rPr>
        <w:t>not exhaustive and are subject to amendment as part of any strategic supplier management and continuous improvement activities.</w:t>
      </w:r>
    </w:p>
    <w:p w14:paraId="5688C9D5" w14:textId="77777777" w:rsidR="00682BA3" w:rsidRPr="00864D13" w:rsidRDefault="00682BA3" w:rsidP="00BC1B2A">
      <w:pPr>
        <w:pStyle w:val="ListParagraph"/>
        <w:ind w:left="928"/>
        <w:rPr>
          <w:b/>
          <w:bCs/>
        </w:rPr>
      </w:pPr>
    </w:p>
    <w:p w14:paraId="5035DBC4" w14:textId="58038023" w:rsidR="000E3AC9" w:rsidRPr="00110C2A" w:rsidRDefault="00BC1B2A" w:rsidP="000711EE">
      <w:pPr>
        <w:pStyle w:val="ListParagraph"/>
        <w:keepNext/>
        <w:keepLines/>
        <w:numPr>
          <w:ilvl w:val="0"/>
          <w:numId w:val="8"/>
        </w:numPr>
        <w:rPr>
          <w:b/>
          <w:sz w:val="24"/>
          <w:szCs w:val="24"/>
        </w:rPr>
      </w:pPr>
      <w:r w:rsidRPr="00FE1521">
        <w:rPr>
          <w:b/>
          <w:bCs/>
          <w:sz w:val="24"/>
          <w:szCs w:val="24"/>
        </w:rPr>
        <w:t xml:space="preserve">Sustainability </w:t>
      </w:r>
      <w:r>
        <w:rPr>
          <w:b/>
          <w:bCs/>
          <w:sz w:val="24"/>
          <w:szCs w:val="24"/>
        </w:rPr>
        <w:t>Report</w:t>
      </w:r>
      <w:r w:rsidR="00682BA3">
        <w:rPr>
          <w:b/>
          <w:bCs/>
          <w:sz w:val="24"/>
          <w:szCs w:val="24"/>
        </w:rPr>
        <w:t>s – N/A</w:t>
      </w:r>
    </w:p>
    <w:p w14:paraId="7C19BA8B" w14:textId="77777777" w:rsidR="000711EE" w:rsidRDefault="000711EE" w:rsidP="000711EE"/>
    <w:p w14:paraId="1FD84030" w14:textId="46361B95" w:rsidR="000E3AC9" w:rsidRPr="0019315B" w:rsidRDefault="006C6547" w:rsidP="00E53ACC">
      <w:pPr>
        <w:pStyle w:val="Heading2"/>
      </w:pPr>
      <w:r w:rsidRPr="0019315B">
        <w:t xml:space="preserve">Key Performance Indicators </w:t>
      </w:r>
    </w:p>
    <w:p w14:paraId="234BB0D5" w14:textId="0B498B1D" w:rsidR="003C1953" w:rsidRPr="0019315B" w:rsidRDefault="003C1953" w:rsidP="000711EE">
      <w:pPr>
        <w:pStyle w:val="Heading3"/>
        <w:rPr>
          <w:szCs w:val="22"/>
        </w:rPr>
      </w:pPr>
      <w:r w:rsidRPr="0019315B">
        <w:rPr>
          <w:szCs w:val="22"/>
        </w:rPr>
        <w:t xml:space="preserve">Over the lifetime of the contract, </w:t>
      </w:r>
      <w:r w:rsidR="00C12566" w:rsidRPr="0019315B">
        <w:rPr>
          <w:szCs w:val="22"/>
        </w:rPr>
        <w:t xml:space="preserve">the successful Bidder(s) </w:t>
      </w:r>
      <w:r w:rsidRPr="0019315B">
        <w:rPr>
          <w:szCs w:val="22"/>
        </w:rPr>
        <w:t xml:space="preserve">will be expected to meet the Key Performance Indicators (KPIs) detailed </w:t>
      </w:r>
      <w:r w:rsidR="00C12566" w:rsidRPr="0019315B">
        <w:rPr>
          <w:szCs w:val="22"/>
        </w:rPr>
        <w:t>in</w:t>
      </w:r>
      <w:r w:rsidR="000711EE" w:rsidRPr="0019315B">
        <w:rPr>
          <w:szCs w:val="22"/>
        </w:rPr>
        <w:t xml:space="preserve"> </w:t>
      </w:r>
      <w:r w:rsidR="000C4A3A">
        <w:rPr>
          <w:szCs w:val="22"/>
        </w:rPr>
        <w:t>Annex 2</w:t>
      </w:r>
      <w:r w:rsidR="000711EE" w:rsidRPr="0019315B">
        <w:rPr>
          <w:szCs w:val="22"/>
        </w:rPr>
        <w:t xml:space="preserve"> of this document.</w:t>
      </w:r>
      <w:r w:rsidRPr="0019315B">
        <w:rPr>
          <w:szCs w:val="22"/>
        </w:rPr>
        <w:t xml:space="preserve"> </w:t>
      </w:r>
    </w:p>
    <w:p w14:paraId="29CB990C" w14:textId="3B9CD98D" w:rsidR="003C1953" w:rsidRPr="0019315B" w:rsidRDefault="003C1953" w:rsidP="000D5EA1">
      <w:pPr>
        <w:pStyle w:val="Heading3"/>
        <w:ind w:left="1276" w:hanging="709"/>
        <w:rPr>
          <w:rFonts w:eastAsia="Arial" w:cs="Arial"/>
          <w:szCs w:val="22"/>
        </w:rPr>
      </w:pPr>
      <w:r w:rsidRPr="0019315B">
        <w:rPr>
          <w:rFonts w:eastAsia="Arial" w:cs="Arial"/>
          <w:szCs w:val="22"/>
        </w:rPr>
        <w:t>Contracting authorities will set KPIs that are relevant and proportionate to the nature, value and risk of the contract, and the Bidder will be expected to come to an agreement on these with respect to th</w:t>
      </w:r>
      <w:r w:rsidR="000D5EA1" w:rsidRPr="0019315B">
        <w:rPr>
          <w:rFonts w:eastAsia="Arial" w:cs="Arial"/>
          <w:szCs w:val="22"/>
        </w:rPr>
        <w:t xml:space="preserve">e </w:t>
      </w:r>
      <w:r w:rsidRPr="0019315B">
        <w:rPr>
          <w:rFonts w:eastAsia="Arial" w:cs="Arial"/>
          <w:szCs w:val="22"/>
        </w:rPr>
        <w:t xml:space="preserve">contract with the contracting authority. </w:t>
      </w:r>
    </w:p>
    <w:p w14:paraId="0C934E7F" w14:textId="57CBE017" w:rsidR="000D5EA1" w:rsidRPr="0019315B" w:rsidRDefault="000D5EA1" w:rsidP="00C57D7C">
      <w:pPr>
        <w:pStyle w:val="Heading3"/>
        <w:numPr>
          <w:ilvl w:val="2"/>
          <w:numId w:val="7"/>
        </w:numPr>
        <w:ind w:left="1276" w:hanging="709"/>
        <w:rPr>
          <w:szCs w:val="22"/>
        </w:rPr>
      </w:pPr>
      <w:r w:rsidRPr="0019315B">
        <w:rPr>
          <w:szCs w:val="22"/>
        </w:rPr>
        <w:t xml:space="preserve">Successful Bidder(s) must provide KPI data every </w:t>
      </w:r>
      <w:r w:rsidRPr="00110C2A">
        <w:rPr>
          <w:szCs w:val="22"/>
        </w:rPr>
        <w:t>quarter</w:t>
      </w:r>
      <w:r w:rsidRPr="0019315B">
        <w:rPr>
          <w:szCs w:val="22"/>
        </w:rPr>
        <w:t xml:space="preserve"> to </w:t>
      </w:r>
      <w:r w:rsidR="00BC0FC3" w:rsidRPr="0019315B">
        <w:rPr>
          <w:szCs w:val="22"/>
        </w:rPr>
        <w:t>the contracting authority</w:t>
      </w:r>
      <w:r w:rsidRPr="0019315B">
        <w:rPr>
          <w:szCs w:val="22"/>
        </w:rPr>
        <w:t xml:space="preserve">. KPI data must be provided </w:t>
      </w:r>
      <w:r w:rsidRPr="00110C2A">
        <w:rPr>
          <w:szCs w:val="22"/>
        </w:rPr>
        <w:t>within 10 working days</w:t>
      </w:r>
      <w:r w:rsidRPr="0019315B">
        <w:rPr>
          <w:szCs w:val="22"/>
        </w:rPr>
        <w:t xml:space="preserve"> of the agreed due date(s). </w:t>
      </w:r>
    </w:p>
    <w:p w14:paraId="0A3720E7" w14:textId="5C4294C9" w:rsidR="000D5EA1" w:rsidRPr="0019315B" w:rsidRDefault="000D5EA1" w:rsidP="00C57D7C">
      <w:pPr>
        <w:pStyle w:val="Heading3"/>
        <w:numPr>
          <w:ilvl w:val="2"/>
          <w:numId w:val="7"/>
        </w:numPr>
        <w:ind w:left="1276" w:hanging="709"/>
        <w:rPr>
          <w:szCs w:val="22"/>
        </w:rPr>
      </w:pPr>
      <w:r w:rsidRPr="0019315B">
        <w:rPr>
          <w:szCs w:val="22"/>
        </w:rPr>
        <w:t>KPI data will be used to measure and track the successful Bidder(s)’ performance of the contact.</w:t>
      </w:r>
    </w:p>
    <w:p w14:paraId="62706303" w14:textId="77777777" w:rsidR="000D5EA1" w:rsidRPr="0019315B" w:rsidRDefault="000D5EA1" w:rsidP="000D5EA1"/>
    <w:p w14:paraId="7D61514D" w14:textId="77777777" w:rsidR="00BC7C10" w:rsidRPr="0019315B" w:rsidRDefault="00BC7C10" w:rsidP="00C57D7C">
      <w:pPr>
        <w:pStyle w:val="Heading3"/>
        <w:numPr>
          <w:ilvl w:val="2"/>
          <w:numId w:val="4"/>
        </w:numPr>
        <w:spacing w:before="0" w:line="259" w:lineRule="auto"/>
        <w:ind w:left="1418" w:hanging="709"/>
        <w:rPr>
          <w:szCs w:val="22"/>
        </w:rPr>
      </w:pPr>
      <w:r w:rsidRPr="0019315B">
        <w:rPr>
          <w:szCs w:val="22"/>
        </w:rPr>
        <w:t>To enable standardised and consistent tracking of Bidder performance across contracts and frameworks, KPIs will be aligned to the following scoring matrix. This is the standard matrix detailed in Regulation 39(5) of the Procurement Regulations 2024, which must be used when publishing a Contract Performance Notice as detailed above.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8610"/>
      </w:tblGrid>
      <w:tr w:rsidR="6522E8A4" w14:paraId="37DBDE8A" w14:textId="77777777" w:rsidTr="00377F38">
        <w:trPr>
          <w:trHeight w:val="570"/>
        </w:trPr>
        <w:tc>
          <w:tcPr>
            <w:tcW w:w="168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01A944F2" w14:textId="0D7728B3" w:rsidR="6522E8A4" w:rsidRPr="00377F38" w:rsidRDefault="6522E8A4" w:rsidP="00377F38">
            <w:pPr>
              <w:spacing w:after="0"/>
              <w:rPr>
                <w:rFonts w:eastAsiaTheme="minorEastAsia"/>
                <w:color w:val="FFFFFF" w:themeColor="background1"/>
              </w:rPr>
            </w:pPr>
            <w:r w:rsidRPr="00377F38">
              <w:rPr>
                <w:rFonts w:eastAsiaTheme="minorEastAsia"/>
                <w:color w:val="FFFFFF" w:themeColor="background1"/>
              </w:rPr>
              <w:t>Rating</w:t>
            </w:r>
          </w:p>
        </w:tc>
        <w:tc>
          <w:tcPr>
            <w:tcW w:w="861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1088B681" w14:textId="5A00B3F2" w:rsidR="6522E8A4" w:rsidRPr="00377F38" w:rsidRDefault="6522E8A4" w:rsidP="00377F38">
            <w:pPr>
              <w:spacing w:after="0"/>
              <w:rPr>
                <w:rFonts w:eastAsiaTheme="minorEastAsia"/>
                <w:color w:val="FFFFFF" w:themeColor="background1"/>
              </w:rPr>
            </w:pPr>
            <w:r w:rsidRPr="00377F38">
              <w:rPr>
                <w:rFonts w:eastAsiaTheme="minorEastAsia"/>
                <w:color w:val="FFFFFF" w:themeColor="background1"/>
              </w:rPr>
              <w:t>Description</w:t>
            </w:r>
          </w:p>
        </w:tc>
      </w:tr>
      <w:tr w:rsidR="6522E8A4" w14:paraId="441E4774" w14:textId="77777777" w:rsidTr="6522E8A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D11597E" w14:textId="2E6937CD" w:rsidR="6522E8A4" w:rsidRDefault="6522E8A4" w:rsidP="6522E8A4">
            <w:pPr>
              <w:spacing w:before="0" w:after="0"/>
              <w:rPr>
                <w:rFonts w:eastAsia="Arial" w:cs="Arial"/>
                <w:color w:val="1E1E1E"/>
              </w:rPr>
            </w:pPr>
            <w:r w:rsidRPr="6522E8A4">
              <w:rPr>
                <w:rFonts w:eastAsia="Arial" w:cs="Arial"/>
                <w:color w:val="1E1E1E"/>
              </w:rPr>
              <w:t>Good</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401427" w14:textId="37CCC464" w:rsidR="6522E8A4" w:rsidRDefault="6522E8A4" w:rsidP="6522E8A4">
            <w:pPr>
              <w:spacing w:before="0" w:after="0"/>
              <w:rPr>
                <w:rFonts w:eastAsia="Arial" w:cs="Arial"/>
                <w:color w:val="1E1E1E"/>
              </w:rPr>
            </w:pPr>
            <w:r w:rsidRPr="6522E8A4">
              <w:rPr>
                <w:rFonts w:eastAsia="Arial" w:cs="Arial"/>
                <w:color w:val="1E1E1E"/>
              </w:rPr>
              <w:t>Performance is meeting or exceeding the key performance indicators</w:t>
            </w:r>
          </w:p>
        </w:tc>
      </w:tr>
      <w:tr w:rsidR="6522E8A4" w14:paraId="17CFA3C8" w14:textId="77777777" w:rsidTr="6522E8A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89854A" w14:textId="643FD075" w:rsidR="6522E8A4" w:rsidRDefault="6522E8A4" w:rsidP="6522E8A4">
            <w:pPr>
              <w:spacing w:before="0" w:after="0"/>
              <w:rPr>
                <w:rFonts w:eastAsia="Arial" w:cs="Arial"/>
                <w:color w:val="1E1E1E"/>
              </w:rPr>
            </w:pPr>
            <w:r w:rsidRPr="6522E8A4">
              <w:rPr>
                <w:rFonts w:eastAsia="Arial" w:cs="Arial"/>
                <w:color w:val="1E1E1E"/>
              </w:rPr>
              <w:t>Approaching target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4923B55" w14:textId="6398380A" w:rsidR="6522E8A4" w:rsidRDefault="6522E8A4" w:rsidP="6522E8A4">
            <w:pPr>
              <w:spacing w:before="0" w:after="0"/>
              <w:rPr>
                <w:rFonts w:eastAsia="Arial" w:cs="Arial"/>
                <w:color w:val="1E1E1E"/>
              </w:rPr>
            </w:pPr>
            <w:r w:rsidRPr="6522E8A4">
              <w:rPr>
                <w:rFonts w:eastAsia="Arial" w:cs="Arial"/>
                <w:color w:val="1E1E1E"/>
              </w:rPr>
              <w:t>Performance is close to meeting the key performance indicators</w:t>
            </w:r>
          </w:p>
        </w:tc>
      </w:tr>
      <w:tr w:rsidR="6522E8A4" w14:paraId="4982F635" w14:textId="77777777" w:rsidTr="6522E8A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1802F7E" w14:textId="6312A83F" w:rsidR="6522E8A4" w:rsidRDefault="6522E8A4" w:rsidP="6522E8A4">
            <w:pPr>
              <w:spacing w:before="0" w:after="0"/>
              <w:rPr>
                <w:rFonts w:eastAsia="Arial" w:cs="Arial"/>
                <w:color w:val="1E1E1E"/>
              </w:rPr>
            </w:pPr>
            <w:r w:rsidRPr="6522E8A4">
              <w:rPr>
                <w:rFonts w:eastAsia="Arial" w:cs="Arial"/>
                <w:color w:val="1E1E1E"/>
              </w:rPr>
              <w:t>Requires improvement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3268509" w14:textId="42491065" w:rsidR="6522E8A4" w:rsidRDefault="6522E8A4" w:rsidP="6522E8A4">
            <w:pPr>
              <w:spacing w:before="0" w:after="0"/>
              <w:rPr>
                <w:rFonts w:eastAsia="Arial" w:cs="Arial"/>
                <w:color w:val="1E1E1E"/>
              </w:rPr>
            </w:pPr>
            <w:r w:rsidRPr="6522E8A4">
              <w:rPr>
                <w:rFonts w:eastAsia="Arial" w:cs="Arial"/>
                <w:color w:val="1E1E1E"/>
              </w:rPr>
              <w:t>Performance is below the key performance indicators</w:t>
            </w:r>
          </w:p>
        </w:tc>
      </w:tr>
      <w:tr w:rsidR="6522E8A4" w14:paraId="5C301E23" w14:textId="77777777" w:rsidTr="6522E8A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4522245" w14:textId="45838E62" w:rsidR="6522E8A4" w:rsidRDefault="6522E8A4" w:rsidP="6522E8A4">
            <w:pPr>
              <w:spacing w:before="0" w:after="0"/>
              <w:rPr>
                <w:rFonts w:eastAsia="Arial" w:cs="Arial"/>
                <w:color w:val="1E1E1E"/>
              </w:rPr>
            </w:pPr>
            <w:r w:rsidRPr="6522E8A4">
              <w:rPr>
                <w:rFonts w:eastAsia="Arial" w:cs="Arial"/>
                <w:color w:val="1E1E1E"/>
              </w:rPr>
              <w:t>Inadequate</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DB41979" w14:textId="72CF01F9" w:rsidR="6522E8A4" w:rsidRDefault="6522E8A4" w:rsidP="6522E8A4">
            <w:pPr>
              <w:spacing w:before="0" w:after="0"/>
              <w:rPr>
                <w:rFonts w:eastAsia="Arial" w:cs="Arial"/>
                <w:color w:val="1E1E1E"/>
              </w:rPr>
            </w:pPr>
            <w:r w:rsidRPr="6522E8A4">
              <w:rPr>
                <w:rFonts w:eastAsia="Arial" w:cs="Arial"/>
                <w:color w:val="1E1E1E"/>
              </w:rPr>
              <w:t>Performance is significantly below the key performance indicators</w:t>
            </w:r>
          </w:p>
        </w:tc>
      </w:tr>
      <w:tr w:rsidR="6522E8A4" w14:paraId="3F6D2FA7" w14:textId="77777777" w:rsidTr="6522E8A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5A1C6D3" w14:textId="5D762571" w:rsidR="6522E8A4" w:rsidRDefault="6522E8A4" w:rsidP="6522E8A4">
            <w:pPr>
              <w:spacing w:before="0" w:after="0"/>
              <w:rPr>
                <w:rFonts w:eastAsia="Arial" w:cs="Arial"/>
                <w:color w:val="1E1E1E"/>
              </w:rPr>
            </w:pPr>
            <w:r w:rsidRPr="6522E8A4">
              <w:rPr>
                <w:rFonts w:eastAsia="Arial" w:cs="Arial"/>
                <w:color w:val="1E1E1E"/>
              </w:rPr>
              <w:t>Other</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AC4EEAA" w14:textId="16D69827" w:rsidR="6522E8A4" w:rsidRDefault="6522E8A4" w:rsidP="6522E8A4">
            <w:pPr>
              <w:spacing w:before="0" w:after="0"/>
              <w:rPr>
                <w:rFonts w:eastAsia="Arial" w:cs="Arial"/>
                <w:color w:val="1E1E1E"/>
              </w:rPr>
            </w:pPr>
            <w:r w:rsidRPr="6522E8A4">
              <w:rPr>
                <w:rFonts w:eastAsia="Arial" w:cs="Arial"/>
                <w:color w:val="1E1E1E"/>
              </w:rPr>
              <w:t>Performance cannot be described as good, approaching target, requires improvement or inadequate</w:t>
            </w:r>
          </w:p>
        </w:tc>
      </w:tr>
    </w:tbl>
    <w:p w14:paraId="4DA21792" w14:textId="77777777" w:rsidR="00935F91" w:rsidRDefault="00935F91" w:rsidP="00E53ACC">
      <w:pPr>
        <w:pStyle w:val="Heading2"/>
      </w:pPr>
      <w:r w:rsidRPr="00CE19E9">
        <w:t xml:space="preserve">Poor Performance and Breach of Contract. </w:t>
      </w:r>
    </w:p>
    <w:p w14:paraId="697C6A60" w14:textId="5DC44544" w:rsidR="00935F91" w:rsidRPr="001B345B" w:rsidRDefault="00935F91" w:rsidP="00E53ACC">
      <w:pPr>
        <w:pStyle w:val="Heading2"/>
        <w:numPr>
          <w:ilvl w:val="0"/>
          <w:numId w:val="0"/>
        </w:numPr>
        <w:ind w:left="567"/>
      </w:pPr>
      <w:r w:rsidRPr="00CE19E9">
        <w:t xml:space="preserve">Where the bidder is in breach of </w:t>
      </w:r>
      <w:proofErr w:type="gramStart"/>
      <w:r w:rsidRPr="00CE19E9">
        <w:t>the contract</w:t>
      </w:r>
      <w:proofErr w:type="gramEnd"/>
      <w:r w:rsidRPr="00CE19E9">
        <w:t xml:space="preserve"> or is failing to deliver the contract to satisfactory level of performance, the contracting authority may publish a contract performance notice detailing poor </w:t>
      </w:r>
      <w:r w:rsidRPr="001B345B">
        <w:t>performance or breach of contract, in accordance with the Act.</w:t>
      </w:r>
    </w:p>
    <w:p w14:paraId="1CCFC319" w14:textId="77777777" w:rsidR="00935F91" w:rsidRPr="00696B38" w:rsidRDefault="00935F91" w:rsidP="00935F91">
      <w:pPr>
        <w:rPr>
          <w:sz w:val="24"/>
          <w:szCs w:val="24"/>
        </w:rPr>
      </w:pPr>
    </w:p>
    <w:p w14:paraId="58BF5403" w14:textId="59242611" w:rsidR="00A02D57" w:rsidRPr="00654D04" w:rsidRDefault="00A02D57" w:rsidP="00E53ACC">
      <w:pPr>
        <w:pStyle w:val="Heading2"/>
      </w:pPr>
      <w:r w:rsidRPr="00C33147">
        <w:rPr>
          <w:shd w:val="clear" w:color="auto" w:fill="FFFFFF" w:themeFill="background1"/>
        </w:rPr>
        <w:lastRenderedPageBreak/>
        <w:t>Where the successful Bidder(s) fails to meet the required performance standards or targets as detailed in the KPIs, this will be managed in accordance with the Contract, including (but not limited to) the agreement of performance management interventions (i.e. a Service Improvement Plan, Rectification Plan, or similar). Thresholds</w:t>
      </w:r>
      <w:r w:rsidRPr="00654D04">
        <w:t xml:space="preserve"> for performance interventions may include, but are not limited to: </w:t>
      </w:r>
    </w:p>
    <w:p w14:paraId="3F06E7EF" w14:textId="77777777" w:rsidR="00A02D57" w:rsidRPr="00682BA3" w:rsidRDefault="00A02D57" w:rsidP="00C57D7C">
      <w:pPr>
        <w:pStyle w:val="ListParagraph"/>
        <w:keepNext/>
        <w:keepLines/>
        <w:numPr>
          <w:ilvl w:val="0"/>
          <w:numId w:val="6"/>
        </w:numPr>
        <w:ind w:left="1985" w:hanging="284"/>
      </w:pPr>
      <w:r w:rsidRPr="00682BA3">
        <w:t>One or more material / service-critical KPIs receiving a score of “Inadequate” (within one reporting period).</w:t>
      </w:r>
    </w:p>
    <w:p w14:paraId="06FC846F" w14:textId="77777777" w:rsidR="00A02D57" w:rsidRPr="00682BA3" w:rsidRDefault="00A02D57" w:rsidP="00C57D7C">
      <w:pPr>
        <w:pStyle w:val="ListParagraph"/>
        <w:keepNext/>
        <w:keepLines/>
        <w:numPr>
          <w:ilvl w:val="0"/>
          <w:numId w:val="6"/>
        </w:numPr>
        <w:ind w:left="1985" w:hanging="284"/>
      </w:pPr>
      <w:r w:rsidRPr="00682BA3">
        <w:t xml:space="preserve">Three or more service-based KPIs receiving a score of “Requires Improvement” or “Inadequate” (within </w:t>
      </w:r>
      <w:proofErr w:type="gramStart"/>
      <w:r w:rsidRPr="00682BA3">
        <w:t>any one</w:t>
      </w:r>
      <w:proofErr w:type="gramEnd"/>
      <w:r w:rsidRPr="00682BA3">
        <w:t xml:space="preserve"> reporting period)</w:t>
      </w:r>
    </w:p>
    <w:p w14:paraId="20714A2D" w14:textId="77777777" w:rsidR="00A02D57" w:rsidRPr="00682BA3" w:rsidRDefault="00A02D57" w:rsidP="00C57D7C">
      <w:pPr>
        <w:pStyle w:val="ListParagraph"/>
        <w:keepNext/>
        <w:keepLines/>
        <w:numPr>
          <w:ilvl w:val="0"/>
          <w:numId w:val="6"/>
        </w:numPr>
        <w:ind w:left="1985" w:hanging="284"/>
      </w:pPr>
      <w:r w:rsidRPr="00682BA3">
        <w:t>One or more KPIs receiving a score of “Requires Improvement” or “Inadequate” in 3 or more of the last 6 reporting periods)</w:t>
      </w:r>
    </w:p>
    <w:p w14:paraId="2A96E949" w14:textId="10FBB613" w:rsidR="00A02D57" w:rsidRPr="00654D04" w:rsidRDefault="00A02D57" w:rsidP="00E53ACC">
      <w:pPr>
        <w:pStyle w:val="Heading2"/>
      </w:pPr>
      <w:r w:rsidRPr="00654D04">
        <w:t xml:space="preserve">Where the successful Bidder(s) has failed to </w:t>
      </w:r>
      <w:proofErr w:type="gramStart"/>
      <w:r w:rsidRPr="00654D04">
        <w:t>perform</w:t>
      </w:r>
      <w:proofErr w:type="gramEnd"/>
      <w:r w:rsidRPr="00654D04">
        <w:t xml:space="preserve"> the contract to the contracting authority’s </w:t>
      </w:r>
      <w:proofErr w:type="gramStart"/>
      <w:r w:rsidRPr="00654D04">
        <w:t>satisfaction, and</w:t>
      </w:r>
      <w:proofErr w:type="gramEnd"/>
      <w:r w:rsidRPr="00654D04">
        <w:t xml:space="preserve"> has failed to improve performance despite being given proper opportunity to do so, the measures outlined </w:t>
      </w:r>
      <w:proofErr w:type="gramStart"/>
      <w:r w:rsidRPr="00654D04">
        <w:t>in</w:t>
      </w:r>
      <w:proofErr w:type="gramEnd"/>
      <w:r w:rsidRPr="00654D04">
        <w:t xml:space="preserve"> </w:t>
      </w:r>
      <w:r w:rsidR="00436ADA" w:rsidRPr="00703A99">
        <w:t>14.9</w:t>
      </w:r>
      <w:r w:rsidRPr="00654D04">
        <w:t xml:space="preserve"> may apply. </w:t>
      </w:r>
    </w:p>
    <w:p w14:paraId="2948309B" w14:textId="77777777" w:rsidR="00E402B3" w:rsidRPr="00E402B3" w:rsidRDefault="00E402B3" w:rsidP="00E402B3"/>
    <w:p w14:paraId="5218D193" w14:textId="77777777" w:rsidR="00877DF5" w:rsidRDefault="00877DF5" w:rsidP="00877DF5">
      <w:pPr>
        <w:shd w:val="clear" w:color="auto" w:fill="FFFFFF" w:themeFill="background1"/>
      </w:pPr>
    </w:p>
    <w:p w14:paraId="5D2458D9" w14:textId="77777777" w:rsidR="00877DF5" w:rsidRDefault="00877DF5" w:rsidP="00877DF5">
      <w:pPr>
        <w:shd w:val="clear" w:color="auto" w:fill="FFFFFF" w:themeFill="background1"/>
      </w:pPr>
    </w:p>
    <w:p w14:paraId="54B51A8D" w14:textId="77777777" w:rsidR="00877DF5" w:rsidRDefault="00877DF5" w:rsidP="00877DF5">
      <w:pPr>
        <w:shd w:val="clear" w:color="auto" w:fill="FFFFFF" w:themeFill="background1"/>
      </w:pPr>
    </w:p>
    <w:p w14:paraId="21BBA611" w14:textId="77777777" w:rsidR="00877DF5" w:rsidRDefault="00877DF5" w:rsidP="00877DF5">
      <w:pPr>
        <w:shd w:val="clear" w:color="auto" w:fill="FFFFFF" w:themeFill="background1"/>
      </w:pPr>
    </w:p>
    <w:p w14:paraId="083A99D5" w14:textId="77777777" w:rsidR="00480091" w:rsidRDefault="00480091" w:rsidP="00877DF5">
      <w:pPr>
        <w:shd w:val="clear" w:color="auto" w:fill="FFFFFF" w:themeFill="background1"/>
      </w:pPr>
    </w:p>
    <w:p w14:paraId="7949F02D" w14:textId="77777777" w:rsidR="00480091" w:rsidRDefault="00480091" w:rsidP="00877DF5">
      <w:pPr>
        <w:shd w:val="clear" w:color="auto" w:fill="FFFFFF" w:themeFill="background1"/>
      </w:pPr>
    </w:p>
    <w:p w14:paraId="4057EDA0" w14:textId="77777777" w:rsidR="00480091" w:rsidRDefault="00480091" w:rsidP="00877DF5">
      <w:pPr>
        <w:shd w:val="clear" w:color="auto" w:fill="FFFFFF" w:themeFill="background1"/>
      </w:pPr>
    </w:p>
    <w:p w14:paraId="311D2EF2" w14:textId="77777777" w:rsidR="00480091" w:rsidRDefault="00480091" w:rsidP="00877DF5">
      <w:pPr>
        <w:shd w:val="clear" w:color="auto" w:fill="FFFFFF" w:themeFill="background1"/>
      </w:pPr>
    </w:p>
    <w:p w14:paraId="32E0C847" w14:textId="77777777" w:rsidR="00480091" w:rsidRDefault="00480091" w:rsidP="00877DF5">
      <w:pPr>
        <w:shd w:val="clear" w:color="auto" w:fill="FFFFFF" w:themeFill="background1"/>
      </w:pPr>
    </w:p>
    <w:p w14:paraId="0CBCB0E6" w14:textId="77777777" w:rsidR="00480091" w:rsidRDefault="00480091" w:rsidP="00877DF5">
      <w:pPr>
        <w:shd w:val="clear" w:color="auto" w:fill="FFFFFF" w:themeFill="background1"/>
      </w:pPr>
    </w:p>
    <w:p w14:paraId="1A4F8C14" w14:textId="77777777" w:rsidR="00480091" w:rsidRDefault="00480091" w:rsidP="00877DF5">
      <w:pPr>
        <w:shd w:val="clear" w:color="auto" w:fill="FFFFFF" w:themeFill="background1"/>
      </w:pPr>
    </w:p>
    <w:p w14:paraId="1F752E85" w14:textId="77777777" w:rsidR="00480091" w:rsidRDefault="00480091" w:rsidP="00877DF5">
      <w:pPr>
        <w:shd w:val="clear" w:color="auto" w:fill="FFFFFF" w:themeFill="background1"/>
      </w:pPr>
    </w:p>
    <w:p w14:paraId="57AEC3BA" w14:textId="77777777" w:rsidR="00480091" w:rsidRDefault="00480091" w:rsidP="00877DF5">
      <w:pPr>
        <w:shd w:val="clear" w:color="auto" w:fill="FFFFFF" w:themeFill="background1"/>
      </w:pPr>
    </w:p>
    <w:p w14:paraId="5E6C6ABF" w14:textId="77777777" w:rsidR="00480091" w:rsidRDefault="00480091" w:rsidP="00877DF5">
      <w:pPr>
        <w:shd w:val="clear" w:color="auto" w:fill="FFFFFF" w:themeFill="background1"/>
      </w:pPr>
    </w:p>
    <w:p w14:paraId="72245E3C" w14:textId="77777777" w:rsidR="00877DF5" w:rsidRDefault="00877DF5" w:rsidP="00877DF5">
      <w:pPr>
        <w:shd w:val="clear" w:color="auto" w:fill="FFFFFF" w:themeFill="background1"/>
      </w:pPr>
    </w:p>
    <w:p w14:paraId="6B4FCC16" w14:textId="77777777" w:rsidR="00AD5AB8" w:rsidRDefault="00AD5AB8">
      <w:pPr>
        <w:spacing w:before="0" w:line="259" w:lineRule="auto"/>
        <w:rPr>
          <w:rFonts w:asciiTheme="majorHAnsi" w:eastAsiaTheme="majorEastAsia" w:hAnsiTheme="majorHAnsi" w:cstheme="majorBidi"/>
          <w:color w:val="0F4761" w:themeColor="accent1" w:themeShade="BF"/>
          <w:sz w:val="40"/>
          <w:szCs w:val="40"/>
        </w:rPr>
      </w:pPr>
      <w:bookmarkStart w:id="120" w:name="_Toc187670608"/>
      <w:r>
        <w:br w:type="page"/>
      </w:r>
    </w:p>
    <w:p w14:paraId="58BF1800" w14:textId="1F647100" w:rsidR="00877DF5" w:rsidRDefault="00877DF5" w:rsidP="00877DF5">
      <w:pPr>
        <w:pStyle w:val="Heading1"/>
        <w:numPr>
          <w:ilvl w:val="0"/>
          <w:numId w:val="0"/>
        </w:numPr>
      </w:pPr>
      <w:bookmarkStart w:id="121" w:name="_Toc215577718"/>
      <w:r>
        <w:lastRenderedPageBreak/>
        <w:t>Annex 1 – Contract Management Information Requirements</w:t>
      </w:r>
      <w:bookmarkEnd w:id="120"/>
      <w:bookmarkEnd w:id="121"/>
      <w:r>
        <w:t xml:space="preserve"> </w:t>
      </w:r>
    </w:p>
    <w:p w14:paraId="3608A5B2" w14:textId="77777777" w:rsidR="00877DF5" w:rsidRDefault="00877DF5" w:rsidP="00877DF5">
      <w:pPr>
        <w:spacing w:before="0" w:after="0"/>
      </w:pPr>
    </w:p>
    <w:p w14:paraId="04C97483" w14:textId="77777777" w:rsidR="00877DF5" w:rsidRDefault="00877DF5" w:rsidP="00877DF5">
      <w:pPr>
        <w:spacing w:before="0" w:after="0"/>
        <w:rPr>
          <w:b/>
          <w:bCs/>
          <w:sz w:val="28"/>
          <w:szCs w:val="28"/>
        </w:rPr>
      </w:pPr>
      <w:r>
        <w:rPr>
          <w:b/>
          <w:bCs/>
          <w:sz w:val="28"/>
          <w:szCs w:val="28"/>
        </w:rPr>
        <w:t>A</w:t>
      </w:r>
      <w:r w:rsidRPr="00DE03D9">
        <w:rPr>
          <w:b/>
          <w:bCs/>
          <w:sz w:val="28"/>
          <w:szCs w:val="28"/>
        </w:rPr>
        <w:t xml:space="preserve">. </w:t>
      </w:r>
      <w:r>
        <w:rPr>
          <w:b/>
          <w:bCs/>
          <w:sz w:val="28"/>
          <w:szCs w:val="28"/>
        </w:rPr>
        <w:t>Management Information Report</w:t>
      </w:r>
    </w:p>
    <w:p w14:paraId="3F8766B5" w14:textId="77777777" w:rsidR="00877DF5" w:rsidRDefault="00877DF5" w:rsidP="00877DF5">
      <w:pPr>
        <w:spacing w:before="0" w:after="0"/>
        <w:rPr>
          <w:b/>
          <w:bCs/>
          <w:sz w:val="28"/>
          <w:szCs w:val="28"/>
        </w:rPr>
      </w:pPr>
    </w:p>
    <w:p w14:paraId="5ADFD102" w14:textId="555B375C" w:rsidR="00877DF5" w:rsidRDefault="00877DF5" w:rsidP="00682BA3">
      <w:pPr>
        <w:spacing w:before="0" w:after="0"/>
        <w:rPr>
          <w:sz w:val="24"/>
          <w:szCs w:val="24"/>
        </w:rPr>
      </w:pPr>
      <w:r w:rsidRPr="00682BA3">
        <w:rPr>
          <w:sz w:val="24"/>
          <w:szCs w:val="24"/>
        </w:rPr>
        <w:t xml:space="preserve">The </w:t>
      </w:r>
      <w:r w:rsidR="00682BA3" w:rsidRPr="00682BA3">
        <w:rPr>
          <w:rFonts w:cs="Arial"/>
          <w:sz w:val="24"/>
          <w:szCs w:val="24"/>
        </w:rPr>
        <w:t>report fields are in the following table are to be agreed on award of contract</w:t>
      </w:r>
      <w:r w:rsidR="00682BA3" w:rsidRPr="00682BA3">
        <w:rPr>
          <w:sz w:val="24"/>
          <w:szCs w:val="24"/>
        </w:rPr>
        <w:t xml:space="preserve"> </w:t>
      </w:r>
      <w:r w:rsidR="00682BA3">
        <w:rPr>
          <w:sz w:val="24"/>
          <w:szCs w:val="24"/>
        </w:rPr>
        <w:t xml:space="preserve">and </w:t>
      </w:r>
      <w:r w:rsidRPr="00682BA3">
        <w:rPr>
          <w:sz w:val="24"/>
          <w:szCs w:val="24"/>
        </w:rPr>
        <w:t xml:space="preserve">must be provided as per the timescales detailed in </w:t>
      </w:r>
      <w:r w:rsidR="00646B74" w:rsidRPr="00682BA3">
        <w:rPr>
          <w:sz w:val="24"/>
          <w:szCs w:val="24"/>
        </w:rPr>
        <w:t>14.7</w:t>
      </w:r>
      <w:r w:rsidRPr="00682BA3">
        <w:rPr>
          <w:sz w:val="24"/>
          <w:szCs w:val="24"/>
        </w:rPr>
        <w:t xml:space="preserve">, unless otherwise specified below. The successful bidder must provide this information in an electronic format, e.g. an Excel spreadsheet. </w:t>
      </w:r>
    </w:p>
    <w:p w14:paraId="189711A5" w14:textId="77777777" w:rsidR="00682BA3" w:rsidRPr="00682BA3" w:rsidRDefault="00682BA3" w:rsidP="00682BA3">
      <w:pPr>
        <w:spacing w:before="0" w:after="0"/>
        <w:rPr>
          <w:sz w:val="24"/>
          <w:szCs w:val="24"/>
        </w:rPr>
      </w:pPr>
    </w:p>
    <w:tbl>
      <w:tblPr>
        <w:tblStyle w:val="TableGrid"/>
        <w:tblpPr w:leftFromText="180" w:rightFromText="180" w:vertAnchor="text" w:horzAnchor="margin" w:tblpY="269"/>
        <w:tblW w:w="0" w:type="auto"/>
        <w:tblLook w:val="04A0" w:firstRow="1" w:lastRow="0" w:firstColumn="1" w:lastColumn="0" w:noHBand="0" w:noVBand="1"/>
      </w:tblPr>
      <w:tblGrid>
        <w:gridCol w:w="8075"/>
        <w:gridCol w:w="2233"/>
      </w:tblGrid>
      <w:tr w:rsidR="00877DF5" w14:paraId="7B5F7DA9" w14:textId="77777777" w:rsidTr="00F44331">
        <w:tc>
          <w:tcPr>
            <w:tcW w:w="8075" w:type="dxa"/>
          </w:tcPr>
          <w:p w14:paraId="57621F41" w14:textId="77777777" w:rsidR="00877DF5" w:rsidRPr="00B972A7" w:rsidRDefault="00877DF5" w:rsidP="00F44331">
            <w:pPr>
              <w:spacing w:after="80"/>
              <w:rPr>
                <w:rFonts w:cs="Arial"/>
                <w:bCs/>
              </w:rPr>
            </w:pPr>
            <w:r w:rsidRPr="00B972A7">
              <w:rPr>
                <w:rFonts w:cs="Arial"/>
                <w:b/>
              </w:rPr>
              <w:t xml:space="preserve">A. Management Information </w:t>
            </w:r>
            <w:r w:rsidRPr="00682BA3">
              <w:rPr>
                <w:rFonts w:cs="Arial"/>
                <w:bCs/>
              </w:rPr>
              <w:t>[Examples only – update for Contract]</w:t>
            </w:r>
          </w:p>
        </w:tc>
        <w:tc>
          <w:tcPr>
            <w:tcW w:w="2233" w:type="dxa"/>
          </w:tcPr>
          <w:p w14:paraId="6A55DF2C" w14:textId="77777777" w:rsidR="00877DF5" w:rsidRDefault="00877DF5" w:rsidP="00F44331">
            <w:pPr>
              <w:spacing w:after="80"/>
            </w:pPr>
            <w:r>
              <w:rPr>
                <w:rFonts w:cs="Arial"/>
                <w:b/>
                <w:bCs/>
              </w:rPr>
              <w:t xml:space="preserve">B. </w:t>
            </w:r>
            <w:r w:rsidRPr="00916BE5">
              <w:rPr>
                <w:rFonts w:cs="Arial"/>
                <w:b/>
                <w:bCs/>
              </w:rPr>
              <w:t>Frequency</w:t>
            </w:r>
          </w:p>
        </w:tc>
      </w:tr>
      <w:tr w:rsidR="00877DF5" w14:paraId="51E36EB6" w14:textId="77777777" w:rsidTr="00F44331">
        <w:tc>
          <w:tcPr>
            <w:tcW w:w="8075" w:type="dxa"/>
          </w:tcPr>
          <w:p w14:paraId="1964C511" w14:textId="77777777" w:rsidR="00877DF5" w:rsidRPr="00B972A7" w:rsidRDefault="00877DF5" w:rsidP="00F44331">
            <w:pPr>
              <w:tabs>
                <w:tab w:val="left" w:pos="1440"/>
              </w:tabs>
              <w:spacing w:before="0"/>
              <w:rPr>
                <w:rFonts w:cs="Arial"/>
                <w:b/>
                <w:u w:val="single"/>
              </w:rPr>
            </w:pPr>
            <w:r w:rsidRPr="00B972A7">
              <w:rPr>
                <w:rFonts w:cs="Arial"/>
                <w:b/>
                <w:u w:val="single"/>
              </w:rPr>
              <w:t>Product</w:t>
            </w:r>
          </w:p>
          <w:p w14:paraId="56EE4B63" w14:textId="4AE77ED9" w:rsidR="00877DF5" w:rsidRPr="00682BA3" w:rsidRDefault="006C2567" w:rsidP="00682BA3">
            <w:pPr>
              <w:pStyle w:val="ListParagraph"/>
              <w:numPr>
                <w:ilvl w:val="0"/>
                <w:numId w:val="116"/>
              </w:numPr>
              <w:spacing w:before="0"/>
              <w:rPr>
                <w:rFonts w:cs="Arial"/>
              </w:rPr>
            </w:pPr>
            <w:r w:rsidRPr="006C2567">
              <w:rPr>
                <w:rFonts w:cs="Arial"/>
              </w:rPr>
              <w:t>[Examples only – update for Contract]</w:t>
            </w:r>
          </w:p>
        </w:tc>
        <w:tc>
          <w:tcPr>
            <w:tcW w:w="2233" w:type="dxa"/>
          </w:tcPr>
          <w:p w14:paraId="413964F9" w14:textId="59666495" w:rsidR="00877DF5" w:rsidRDefault="00682BA3" w:rsidP="00F44331">
            <w:r>
              <w:rPr>
                <w:rFonts w:cs="Arial"/>
              </w:rPr>
              <w:t>Quarterly</w:t>
            </w:r>
          </w:p>
        </w:tc>
      </w:tr>
      <w:tr w:rsidR="00877DF5" w14:paraId="7E9992B6" w14:textId="77777777" w:rsidTr="00F44331">
        <w:tc>
          <w:tcPr>
            <w:tcW w:w="8075" w:type="dxa"/>
          </w:tcPr>
          <w:p w14:paraId="1D1B162F" w14:textId="77777777" w:rsidR="00877DF5" w:rsidRPr="00B972A7" w:rsidRDefault="00877DF5" w:rsidP="00F44331">
            <w:pPr>
              <w:tabs>
                <w:tab w:val="left" w:pos="1440"/>
              </w:tabs>
              <w:spacing w:before="0"/>
              <w:rPr>
                <w:rFonts w:cs="Arial"/>
                <w:b/>
                <w:u w:val="single"/>
              </w:rPr>
            </w:pPr>
            <w:r w:rsidRPr="00B972A7">
              <w:rPr>
                <w:rFonts w:cs="Arial"/>
                <w:b/>
                <w:u w:val="single"/>
              </w:rPr>
              <w:t>Quality</w:t>
            </w:r>
          </w:p>
          <w:p w14:paraId="5B3BEABB" w14:textId="321DE1A7" w:rsidR="00877DF5" w:rsidRPr="006C2567" w:rsidRDefault="006C2567" w:rsidP="00682BA3">
            <w:pPr>
              <w:pStyle w:val="ListParagraph"/>
              <w:keepNext/>
              <w:keepLines/>
              <w:numPr>
                <w:ilvl w:val="0"/>
                <w:numId w:val="116"/>
              </w:numPr>
              <w:tabs>
                <w:tab w:val="left" w:pos="1385"/>
                <w:tab w:val="left" w:pos="2880"/>
              </w:tabs>
              <w:spacing w:before="0"/>
              <w:rPr>
                <w:rFonts w:cs="Arial"/>
                <w:bCs/>
              </w:rPr>
            </w:pPr>
            <w:r w:rsidRPr="006C2567">
              <w:rPr>
                <w:rFonts w:cs="Arial"/>
                <w:bCs/>
              </w:rPr>
              <w:t>[Examples only – update for Contract]</w:t>
            </w:r>
          </w:p>
        </w:tc>
        <w:tc>
          <w:tcPr>
            <w:tcW w:w="2233" w:type="dxa"/>
          </w:tcPr>
          <w:p w14:paraId="24A8E658" w14:textId="38E05B7C" w:rsidR="00877DF5" w:rsidRDefault="00682BA3" w:rsidP="00682BA3">
            <w:pPr>
              <w:tabs>
                <w:tab w:val="left" w:pos="720"/>
                <w:tab w:val="left" w:pos="1440"/>
                <w:tab w:val="left" w:pos="2160"/>
                <w:tab w:val="left" w:pos="2880"/>
                <w:tab w:val="left" w:pos="4680"/>
                <w:tab w:val="left" w:pos="5400"/>
                <w:tab w:val="right" w:pos="9000"/>
              </w:tabs>
              <w:rPr>
                <w:rFonts w:cs="Arial"/>
              </w:rPr>
            </w:pPr>
            <w:r>
              <w:rPr>
                <w:rFonts w:cs="Arial"/>
              </w:rPr>
              <w:t>Quarterly</w:t>
            </w:r>
          </w:p>
        </w:tc>
      </w:tr>
      <w:tr w:rsidR="00877DF5" w14:paraId="0274AFB3" w14:textId="77777777" w:rsidTr="00F44331">
        <w:tc>
          <w:tcPr>
            <w:tcW w:w="8075" w:type="dxa"/>
          </w:tcPr>
          <w:p w14:paraId="649E3AAA" w14:textId="77777777" w:rsidR="00877DF5" w:rsidRPr="00B972A7" w:rsidRDefault="00877DF5" w:rsidP="00F44331">
            <w:pPr>
              <w:tabs>
                <w:tab w:val="left" w:pos="1440"/>
              </w:tabs>
              <w:spacing w:before="0"/>
              <w:rPr>
                <w:rFonts w:cs="Arial"/>
                <w:b/>
                <w:u w:val="single"/>
              </w:rPr>
            </w:pPr>
            <w:r w:rsidRPr="00B972A7">
              <w:rPr>
                <w:rFonts w:cs="Arial"/>
                <w:b/>
                <w:u w:val="single"/>
              </w:rPr>
              <w:t>Finance</w:t>
            </w:r>
          </w:p>
          <w:p w14:paraId="2B012663" w14:textId="17AC6C81" w:rsidR="00877DF5" w:rsidRPr="00682BA3" w:rsidRDefault="006C2567" w:rsidP="00682BA3">
            <w:pPr>
              <w:pStyle w:val="ListParagraph"/>
              <w:numPr>
                <w:ilvl w:val="0"/>
                <w:numId w:val="116"/>
              </w:numPr>
              <w:tabs>
                <w:tab w:val="left" w:pos="1440"/>
              </w:tabs>
              <w:spacing w:before="0"/>
              <w:rPr>
                <w:rFonts w:cs="Arial"/>
              </w:rPr>
            </w:pPr>
            <w:r w:rsidRPr="006C2567">
              <w:rPr>
                <w:rFonts w:cs="Arial"/>
              </w:rPr>
              <w:t>[Examples only – update for Contract]</w:t>
            </w:r>
          </w:p>
        </w:tc>
        <w:tc>
          <w:tcPr>
            <w:tcW w:w="2233" w:type="dxa"/>
          </w:tcPr>
          <w:p w14:paraId="662A5E68" w14:textId="122270DA" w:rsidR="00877DF5" w:rsidRDefault="00682BA3" w:rsidP="00682BA3">
            <w:pPr>
              <w:tabs>
                <w:tab w:val="left" w:pos="720"/>
                <w:tab w:val="left" w:pos="1440"/>
                <w:tab w:val="left" w:pos="2160"/>
                <w:tab w:val="left" w:pos="2880"/>
                <w:tab w:val="left" w:pos="4680"/>
                <w:tab w:val="left" w:pos="5400"/>
                <w:tab w:val="right" w:pos="9000"/>
              </w:tabs>
              <w:rPr>
                <w:rFonts w:cs="Arial"/>
              </w:rPr>
            </w:pPr>
            <w:r>
              <w:rPr>
                <w:rFonts w:cs="Arial"/>
              </w:rPr>
              <w:t>Quarterly</w:t>
            </w:r>
          </w:p>
        </w:tc>
      </w:tr>
      <w:tr w:rsidR="00877DF5" w14:paraId="4DAFEBFD" w14:textId="77777777" w:rsidTr="00F44331">
        <w:tc>
          <w:tcPr>
            <w:tcW w:w="8075" w:type="dxa"/>
          </w:tcPr>
          <w:p w14:paraId="5185196D" w14:textId="77777777" w:rsidR="00877DF5" w:rsidRPr="00B972A7" w:rsidRDefault="00877DF5" w:rsidP="00F44331">
            <w:pPr>
              <w:tabs>
                <w:tab w:val="left" w:pos="1440"/>
              </w:tabs>
              <w:spacing w:before="0"/>
              <w:rPr>
                <w:rFonts w:cs="Arial"/>
                <w:b/>
                <w:u w:val="single"/>
              </w:rPr>
            </w:pPr>
            <w:r w:rsidRPr="00B972A7">
              <w:rPr>
                <w:rFonts w:cs="Arial"/>
                <w:b/>
                <w:u w:val="single"/>
              </w:rPr>
              <w:t xml:space="preserve">Service </w:t>
            </w:r>
          </w:p>
          <w:p w14:paraId="7BB40CF2" w14:textId="49752BA0" w:rsidR="00877DF5" w:rsidRPr="00682BA3" w:rsidRDefault="006C2567" w:rsidP="00682BA3">
            <w:pPr>
              <w:pStyle w:val="ListParagraph"/>
              <w:numPr>
                <w:ilvl w:val="0"/>
                <w:numId w:val="116"/>
              </w:numPr>
              <w:spacing w:before="0"/>
              <w:rPr>
                <w:rFonts w:cs="Arial"/>
              </w:rPr>
            </w:pPr>
            <w:r w:rsidRPr="006C2567">
              <w:rPr>
                <w:rFonts w:cs="Arial"/>
              </w:rPr>
              <w:t>[Examples only – update for Contract]</w:t>
            </w:r>
          </w:p>
        </w:tc>
        <w:tc>
          <w:tcPr>
            <w:tcW w:w="2233" w:type="dxa"/>
          </w:tcPr>
          <w:p w14:paraId="4561A2D0" w14:textId="4E5015A4" w:rsidR="00877DF5" w:rsidRDefault="00682BA3" w:rsidP="00682BA3">
            <w:pPr>
              <w:tabs>
                <w:tab w:val="left" w:pos="720"/>
                <w:tab w:val="left" w:pos="1440"/>
                <w:tab w:val="left" w:pos="2160"/>
                <w:tab w:val="left" w:pos="2880"/>
                <w:tab w:val="left" w:pos="4680"/>
                <w:tab w:val="left" w:pos="5400"/>
                <w:tab w:val="right" w:pos="9000"/>
              </w:tabs>
              <w:rPr>
                <w:rFonts w:cs="Arial"/>
              </w:rPr>
            </w:pPr>
            <w:r>
              <w:rPr>
                <w:rFonts w:cs="Arial"/>
              </w:rPr>
              <w:t>Quarterly</w:t>
            </w:r>
          </w:p>
        </w:tc>
      </w:tr>
    </w:tbl>
    <w:p w14:paraId="2E25ADF5" w14:textId="77777777" w:rsidR="00480091" w:rsidRDefault="00480091" w:rsidP="00877DF5">
      <w:pPr>
        <w:spacing w:before="0" w:after="0"/>
        <w:rPr>
          <w:b/>
          <w:bCs/>
          <w:sz w:val="28"/>
          <w:szCs w:val="28"/>
        </w:rPr>
      </w:pPr>
    </w:p>
    <w:p w14:paraId="70FD2E5C" w14:textId="5FF75285" w:rsidR="00877DF5" w:rsidRPr="00DE03D9" w:rsidRDefault="00877DF5" w:rsidP="00877DF5">
      <w:pPr>
        <w:spacing w:before="0" w:after="0"/>
        <w:rPr>
          <w:b/>
          <w:bCs/>
          <w:sz w:val="28"/>
          <w:szCs w:val="28"/>
        </w:rPr>
      </w:pPr>
      <w:r>
        <w:rPr>
          <w:b/>
          <w:bCs/>
          <w:sz w:val="28"/>
          <w:szCs w:val="28"/>
        </w:rPr>
        <w:t xml:space="preserve">B. </w:t>
      </w:r>
      <w:r w:rsidRPr="00DE03D9">
        <w:rPr>
          <w:b/>
          <w:bCs/>
          <w:sz w:val="28"/>
          <w:szCs w:val="28"/>
        </w:rPr>
        <w:t>Sustainability: Standard Reports</w:t>
      </w:r>
    </w:p>
    <w:p w14:paraId="3BE87D60" w14:textId="77777777" w:rsidR="00877DF5" w:rsidRPr="008C5883" w:rsidRDefault="00877DF5" w:rsidP="00877DF5">
      <w:pPr>
        <w:spacing w:before="0" w:after="0"/>
        <w:rPr>
          <w:rFonts w:cs="Arial"/>
          <w:b/>
          <w:bCs/>
          <w:sz w:val="24"/>
          <w:szCs w:val="24"/>
        </w:rPr>
      </w:pPr>
    </w:p>
    <w:p w14:paraId="6E47DEDD" w14:textId="6A2285A0" w:rsidR="00877DF5" w:rsidRDefault="00646B74" w:rsidP="00877DF5">
      <w:pPr>
        <w:rPr>
          <w:lang w:val="en-US"/>
        </w:rPr>
      </w:pPr>
      <w:r>
        <w:rPr>
          <w:lang w:val="en-US"/>
        </w:rPr>
        <w:t>N/A</w:t>
      </w:r>
    </w:p>
    <w:p w14:paraId="563DC83C" w14:textId="77777777" w:rsidR="00877DF5" w:rsidRDefault="00877DF5" w:rsidP="00877DF5">
      <w:pPr>
        <w:rPr>
          <w:lang w:val="en-US"/>
        </w:rPr>
      </w:pPr>
    </w:p>
    <w:p w14:paraId="1B377AB1" w14:textId="77777777" w:rsidR="00877DF5" w:rsidRDefault="00877DF5" w:rsidP="00877DF5">
      <w:pPr>
        <w:rPr>
          <w:lang w:val="en-US"/>
        </w:rPr>
      </w:pPr>
    </w:p>
    <w:p w14:paraId="3A6AAA6C" w14:textId="77777777" w:rsidR="00877DF5" w:rsidRDefault="00877DF5" w:rsidP="00877DF5">
      <w:pPr>
        <w:rPr>
          <w:lang w:val="en-US"/>
        </w:rPr>
      </w:pPr>
    </w:p>
    <w:p w14:paraId="2918CE12" w14:textId="77777777" w:rsidR="00877DF5" w:rsidRDefault="00877DF5" w:rsidP="00877DF5">
      <w:pPr>
        <w:rPr>
          <w:lang w:val="en-US"/>
        </w:rPr>
      </w:pPr>
    </w:p>
    <w:p w14:paraId="37A66467" w14:textId="77777777" w:rsidR="00877DF5" w:rsidRDefault="00877DF5" w:rsidP="00877DF5">
      <w:pPr>
        <w:rPr>
          <w:lang w:val="en-US"/>
        </w:rPr>
      </w:pPr>
    </w:p>
    <w:p w14:paraId="0566916C" w14:textId="77777777" w:rsidR="00877DF5" w:rsidRDefault="00877DF5" w:rsidP="00877DF5">
      <w:pPr>
        <w:rPr>
          <w:lang w:val="en-US"/>
        </w:rPr>
      </w:pPr>
    </w:p>
    <w:p w14:paraId="4837DD8F" w14:textId="77777777" w:rsidR="005F6A96" w:rsidRDefault="005F6A96" w:rsidP="00877DF5">
      <w:pPr>
        <w:shd w:val="clear" w:color="auto" w:fill="FFFFFF" w:themeFill="background1"/>
        <w:sectPr w:rsidR="005F6A96" w:rsidSect="00101650">
          <w:headerReference w:type="default" r:id="rId45"/>
          <w:footerReference w:type="default" r:id="rId46"/>
          <w:headerReference w:type="first" r:id="rId47"/>
          <w:footerReference w:type="first" r:id="rId48"/>
          <w:pgSz w:w="11906" w:h="16838"/>
          <w:pgMar w:top="1848" w:right="794" w:bottom="1701" w:left="794" w:header="680" w:footer="708" w:gutter="0"/>
          <w:cols w:space="708"/>
          <w:titlePg/>
          <w:docGrid w:linePitch="360"/>
        </w:sectPr>
      </w:pPr>
    </w:p>
    <w:p w14:paraId="721F4BB7" w14:textId="77777777" w:rsidR="00480091" w:rsidRDefault="00480091" w:rsidP="004433D0">
      <w:pPr>
        <w:pStyle w:val="Heading1"/>
        <w:numPr>
          <w:ilvl w:val="0"/>
          <w:numId w:val="0"/>
        </w:numPr>
      </w:pPr>
      <w:bookmarkStart w:id="122" w:name="_Toc187670609"/>
    </w:p>
    <w:p w14:paraId="6C495B52" w14:textId="768F4A38" w:rsidR="004433D0" w:rsidRDefault="004433D0" w:rsidP="004433D0">
      <w:pPr>
        <w:pStyle w:val="Heading1"/>
        <w:numPr>
          <w:ilvl w:val="0"/>
          <w:numId w:val="0"/>
        </w:numPr>
      </w:pPr>
      <w:bookmarkStart w:id="123" w:name="_Toc215577719"/>
      <w:r>
        <w:t>Annex 2 – Key Performance Indicators</w:t>
      </w:r>
      <w:bookmarkEnd w:id="122"/>
      <w:bookmarkEnd w:id="123"/>
      <w:r>
        <w:t xml:space="preserve"> </w:t>
      </w:r>
    </w:p>
    <w:p w14:paraId="55415552" w14:textId="77777777" w:rsidR="004433D0" w:rsidRDefault="004433D0" w:rsidP="004433D0">
      <w:pPr>
        <w:spacing w:before="0" w:after="0"/>
        <w:rPr>
          <w:b/>
          <w:bCs/>
          <w:sz w:val="28"/>
          <w:szCs w:val="28"/>
        </w:rPr>
      </w:pPr>
    </w:p>
    <w:p w14:paraId="4673006F" w14:textId="0C7D9C28" w:rsidR="004433D0" w:rsidRDefault="004433D0" w:rsidP="004433D0">
      <w:pPr>
        <w:spacing w:before="0" w:after="0"/>
        <w:rPr>
          <w:sz w:val="24"/>
          <w:szCs w:val="24"/>
        </w:rPr>
      </w:pPr>
      <w:r w:rsidRPr="00916BE5">
        <w:rPr>
          <w:sz w:val="24"/>
          <w:szCs w:val="24"/>
        </w:rPr>
        <w:t xml:space="preserve">The following </w:t>
      </w:r>
      <w:r>
        <w:rPr>
          <w:sz w:val="24"/>
          <w:szCs w:val="24"/>
        </w:rPr>
        <w:t xml:space="preserve">key performance indicators will apply to this contract and will be assessed as detailed in section </w:t>
      </w:r>
      <w:r w:rsidR="00646B74" w:rsidRPr="00703A99">
        <w:rPr>
          <w:sz w:val="24"/>
          <w:szCs w:val="24"/>
        </w:rPr>
        <w:t>14</w:t>
      </w:r>
      <w:r w:rsidRPr="00703A99">
        <w:rPr>
          <w:sz w:val="24"/>
          <w:szCs w:val="24"/>
        </w:rPr>
        <w:t>.</w:t>
      </w:r>
      <w:r w:rsidR="00E03671" w:rsidRPr="00703A99">
        <w:rPr>
          <w:sz w:val="24"/>
          <w:szCs w:val="24"/>
        </w:rPr>
        <w:t>8</w:t>
      </w:r>
      <w:r>
        <w:rPr>
          <w:sz w:val="24"/>
          <w:szCs w:val="24"/>
        </w:rPr>
        <w:t>. The date from which KPI assessments will be applied is to be managed based on the mobilisation / transition period (e.g. TUPE, etc.).</w:t>
      </w:r>
    </w:p>
    <w:p w14:paraId="44E46D67" w14:textId="77777777" w:rsidR="004433D0" w:rsidRDefault="004433D0" w:rsidP="004433D0">
      <w:pPr>
        <w:spacing w:before="0" w:after="0"/>
        <w:rPr>
          <w:sz w:val="24"/>
          <w:szCs w:val="24"/>
        </w:rPr>
      </w:pPr>
    </w:p>
    <w:tbl>
      <w:tblPr>
        <w:tblStyle w:val="TableGrid"/>
        <w:tblW w:w="16018" w:type="dxa"/>
        <w:tblInd w:w="-1281" w:type="dxa"/>
        <w:tblLayout w:type="fixed"/>
        <w:tblLook w:val="04A0" w:firstRow="1" w:lastRow="0" w:firstColumn="1" w:lastColumn="0" w:noHBand="0" w:noVBand="1"/>
      </w:tblPr>
      <w:tblGrid>
        <w:gridCol w:w="1524"/>
        <w:gridCol w:w="5989"/>
        <w:gridCol w:w="1701"/>
        <w:gridCol w:w="1134"/>
        <w:gridCol w:w="1701"/>
        <w:gridCol w:w="1701"/>
        <w:gridCol w:w="1418"/>
        <w:gridCol w:w="850"/>
      </w:tblGrid>
      <w:tr w:rsidR="004433D0" w:rsidRPr="005E0DCA" w14:paraId="6B7C14C7" w14:textId="77777777" w:rsidTr="00F44331">
        <w:tc>
          <w:tcPr>
            <w:tcW w:w="7513" w:type="dxa"/>
            <w:gridSpan w:val="2"/>
            <w:shd w:val="clear" w:color="auto" w:fill="273580"/>
          </w:tcPr>
          <w:p w14:paraId="3D4CD74C" w14:textId="77777777" w:rsidR="004433D0" w:rsidRPr="005E0DCA" w:rsidRDefault="004433D0" w:rsidP="00F44331">
            <w:pPr>
              <w:jc w:val="center"/>
              <w:rPr>
                <w:color w:val="FFFFFF" w:themeColor="background1"/>
              </w:rPr>
            </w:pPr>
          </w:p>
        </w:tc>
        <w:tc>
          <w:tcPr>
            <w:tcW w:w="1701" w:type="dxa"/>
            <w:shd w:val="clear" w:color="auto" w:fill="273580"/>
          </w:tcPr>
          <w:p w14:paraId="47EC4378" w14:textId="77777777" w:rsidR="004433D0" w:rsidRPr="005E0DCA" w:rsidRDefault="004433D0" w:rsidP="00F44331">
            <w:pPr>
              <w:jc w:val="center"/>
              <w:rPr>
                <w:color w:val="FFFFFF" w:themeColor="background1"/>
              </w:rPr>
            </w:pPr>
          </w:p>
        </w:tc>
        <w:tc>
          <w:tcPr>
            <w:tcW w:w="6804" w:type="dxa"/>
            <w:gridSpan w:val="5"/>
            <w:shd w:val="clear" w:color="auto" w:fill="273580"/>
          </w:tcPr>
          <w:p w14:paraId="4DE529A9" w14:textId="77777777" w:rsidR="004433D0" w:rsidRDefault="004433D0" w:rsidP="00F44331">
            <w:pPr>
              <w:jc w:val="center"/>
              <w:rPr>
                <w:color w:val="FFFFFF" w:themeColor="background1"/>
              </w:rPr>
            </w:pPr>
            <w:r>
              <w:rPr>
                <w:color w:val="FFFFFF" w:themeColor="background1"/>
              </w:rPr>
              <w:t>Procurement Act – Scoring Headers</w:t>
            </w:r>
          </w:p>
        </w:tc>
      </w:tr>
      <w:tr w:rsidR="004433D0" w:rsidRPr="008A6162" w14:paraId="694C0422" w14:textId="77777777" w:rsidTr="00F44331">
        <w:tc>
          <w:tcPr>
            <w:tcW w:w="1524" w:type="dxa"/>
            <w:shd w:val="clear" w:color="auto" w:fill="273580"/>
          </w:tcPr>
          <w:p w14:paraId="12361513"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KPI No.</w:t>
            </w:r>
          </w:p>
        </w:tc>
        <w:tc>
          <w:tcPr>
            <w:tcW w:w="5989" w:type="dxa"/>
            <w:shd w:val="clear" w:color="auto" w:fill="273580"/>
          </w:tcPr>
          <w:p w14:paraId="3FD33A44"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Activity Description</w:t>
            </w:r>
          </w:p>
        </w:tc>
        <w:tc>
          <w:tcPr>
            <w:tcW w:w="1701" w:type="dxa"/>
            <w:shd w:val="clear" w:color="auto" w:fill="273580"/>
          </w:tcPr>
          <w:p w14:paraId="256F1DAB"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Measurement frequency</w:t>
            </w:r>
          </w:p>
        </w:tc>
        <w:tc>
          <w:tcPr>
            <w:tcW w:w="1134" w:type="dxa"/>
            <w:shd w:val="clear" w:color="auto" w:fill="273580"/>
          </w:tcPr>
          <w:p w14:paraId="32D1F03B"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Good (Target) e.g. %</w:t>
            </w:r>
          </w:p>
        </w:tc>
        <w:tc>
          <w:tcPr>
            <w:tcW w:w="1701" w:type="dxa"/>
            <w:shd w:val="clear" w:color="auto" w:fill="273580"/>
          </w:tcPr>
          <w:p w14:paraId="3AF9C95F"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Approaching Target</w:t>
            </w:r>
          </w:p>
        </w:tc>
        <w:tc>
          <w:tcPr>
            <w:tcW w:w="1701" w:type="dxa"/>
            <w:shd w:val="clear" w:color="auto" w:fill="273580"/>
          </w:tcPr>
          <w:p w14:paraId="1BAF155C"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Requires Improvement</w:t>
            </w:r>
          </w:p>
        </w:tc>
        <w:tc>
          <w:tcPr>
            <w:tcW w:w="1418" w:type="dxa"/>
            <w:shd w:val="clear" w:color="auto" w:fill="273580"/>
          </w:tcPr>
          <w:p w14:paraId="26D327B7"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Inadequate</w:t>
            </w:r>
          </w:p>
        </w:tc>
        <w:tc>
          <w:tcPr>
            <w:tcW w:w="850" w:type="dxa"/>
            <w:shd w:val="clear" w:color="auto" w:fill="273580"/>
          </w:tcPr>
          <w:p w14:paraId="0DA7614A" w14:textId="77777777" w:rsidR="004433D0" w:rsidRPr="008A6162" w:rsidRDefault="004433D0" w:rsidP="00F44331">
            <w:pPr>
              <w:jc w:val="center"/>
              <w:rPr>
                <w:rFonts w:asciiTheme="minorBidi" w:hAnsiTheme="minorBidi"/>
                <w:color w:val="FFFFFF" w:themeColor="background1"/>
              </w:rPr>
            </w:pPr>
            <w:r w:rsidRPr="008A6162">
              <w:rPr>
                <w:rFonts w:asciiTheme="minorBidi" w:hAnsiTheme="minorBidi"/>
                <w:color w:val="FFFFFF" w:themeColor="background1"/>
              </w:rPr>
              <w:t>Other</w:t>
            </w:r>
          </w:p>
        </w:tc>
      </w:tr>
      <w:tr w:rsidR="00682BA3" w:rsidRPr="008A6162" w14:paraId="08A53429" w14:textId="77777777" w:rsidTr="004A224D">
        <w:tc>
          <w:tcPr>
            <w:tcW w:w="1524" w:type="dxa"/>
          </w:tcPr>
          <w:p w14:paraId="24478BA8" w14:textId="5F121971" w:rsidR="00682BA3" w:rsidRPr="008A6162" w:rsidRDefault="00682BA3" w:rsidP="00682BA3">
            <w:pPr>
              <w:jc w:val="center"/>
              <w:rPr>
                <w:rFonts w:asciiTheme="minorBidi" w:hAnsiTheme="minorBidi"/>
              </w:rPr>
            </w:pPr>
            <w:r>
              <w:rPr>
                <w:rStyle w:val="normaltextrun"/>
                <w:rFonts w:cs="Arial"/>
                <w:sz w:val="22"/>
                <w:szCs w:val="22"/>
              </w:rPr>
              <w:t>1</w:t>
            </w:r>
            <w:r>
              <w:rPr>
                <w:rStyle w:val="eop"/>
                <w:rFonts w:cs="Arial"/>
                <w:sz w:val="22"/>
                <w:szCs w:val="22"/>
              </w:rPr>
              <w:t> </w:t>
            </w:r>
          </w:p>
        </w:tc>
        <w:tc>
          <w:tcPr>
            <w:tcW w:w="5989" w:type="dxa"/>
          </w:tcPr>
          <w:p w14:paraId="67C576CF" w14:textId="0C80214B" w:rsidR="00682BA3" w:rsidRPr="008A6162" w:rsidRDefault="00682BA3" w:rsidP="00682BA3">
            <w:pPr>
              <w:jc w:val="center"/>
              <w:rPr>
                <w:rFonts w:asciiTheme="minorBidi" w:hAnsiTheme="minorBidi"/>
              </w:rPr>
            </w:pPr>
            <w:r>
              <w:rPr>
                <w:rStyle w:val="normaltextrun"/>
                <w:rFonts w:cs="Arial"/>
                <w:sz w:val="22"/>
                <w:szCs w:val="22"/>
              </w:rPr>
              <w:t>Contact is attempted within 72 hours/3 working days of receipt of an eligible referral for a minimum 90% of women.</w:t>
            </w:r>
            <w:r>
              <w:rPr>
                <w:rStyle w:val="eop"/>
                <w:rFonts w:cs="Arial"/>
                <w:sz w:val="22"/>
                <w:szCs w:val="22"/>
              </w:rPr>
              <w:t> </w:t>
            </w:r>
          </w:p>
        </w:tc>
        <w:tc>
          <w:tcPr>
            <w:tcW w:w="1701" w:type="dxa"/>
          </w:tcPr>
          <w:p w14:paraId="1D6BC7AE" w14:textId="07ED69D5" w:rsidR="00682BA3" w:rsidRPr="008A6162" w:rsidRDefault="00682BA3" w:rsidP="00682BA3">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4AD827F1" w14:textId="705BFEE2" w:rsidR="00682BA3" w:rsidRPr="008A6162" w:rsidRDefault="00682BA3" w:rsidP="00682BA3">
            <w:pPr>
              <w:jc w:val="center"/>
              <w:rPr>
                <w:rFonts w:asciiTheme="minorBidi" w:hAnsiTheme="minorBidi"/>
              </w:rPr>
            </w:pPr>
            <w:r>
              <w:rPr>
                <w:rStyle w:val="normaltextrun"/>
                <w:rFonts w:cs="Arial"/>
                <w:sz w:val="22"/>
                <w:szCs w:val="22"/>
              </w:rPr>
              <w:t>90%</w:t>
            </w:r>
            <w:r>
              <w:rPr>
                <w:rStyle w:val="eop"/>
                <w:rFonts w:cs="Arial"/>
                <w:sz w:val="22"/>
                <w:szCs w:val="22"/>
              </w:rPr>
              <w:t> </w:t>
            </w:r>
          </w:p>
        </w:tc>
        <w:tc>
          <w:tcPr>
            <w:tcW w:w="1701" w:type="dxa"/>
          </w:tcPr>
          <w:p w14:paraId="61811833" w14:textId="13FEDFA8" w:rsidR="00682BA3" w:rsidRPr="00E52CFF" w:rsidRDefault="00682BA3" w:rsidP="00682BA3">
            <w:pPr>
              <w:jc w:val="center"/>
              <w:rPr>
                <w:rFonts w:asciiTheme="minorBidi" w:hAnsiTheme="minorBidi"/>
                <w:highlight w:val="yellow"/>
              </w:rPr>
            </w:pPr>
            <w:r>
              <w:rPr>
                <w:rStyle w:val="normaltextrun"/>
                <w:rFonts w:cs="Arial"/>
                <w:sz w:val="22"/>
                <w:szCs w:val="22"/>
              </w:rPr>
              <w:t>80%</w:t>
            </w:r>
            <w:r>
              <w:rPr>
                <w:rStyle w:val="eop"/>
                <w:rFonts w:cs="Arial"/>
                <w:sz w:val="22"/>
                <w:szCs w:val="22"/>
              </w:rPr>
              <w:t> </w:t>
            </w:r>
          </w:p>
        </w:tc>
        <w:tc>
          <w:tcPr>
            <w:tcW w:w="1701" w:type="dxa"/>
          </w:tcPr>
          <w:p w14:paraId="308A3997" w14:textId="56921C02" w:rsidR="00682BA3" w:rsidRPr="00E52CFF" w:rsidRDefault="00682BA3" w:rsidP="00682BA3">
            <w:pPr>
              <w:jc w:val="center"/>
              <w:rPr>
                <w:rFonts w:asciiTheme="minorBidi" w:hAnsiTheme="minorBidi"/>
                <w:highlight w:val="yellow"/>
              </w:rPr>
            </w:pPr>
            <w:r>
              <w:rPr>
                <w:rStyle w:val="normaltextrun"/>
                <w:rFonts w:cs="Arial"/>
                <w:sz w:val="22"/>
                <w:szCs w:val="22"/>
              </w:rPr>
              <w:t>70%</w:t>
            </w:r>
            <w:r>
              <w:rPr>
                <w:rStyle w:val="eop"/>
                <w:rFonts w:cs="Arial"/>
                <w:sz w:val="22"/>
                <w:szCs w:val="22"/>
              </w:rPr>
              <w:t> </w:t>
            </w:r>
          </w:p>
        </w:tc>
        <w:tc>
          <w:tcPr>
            <w:tcW w:w="1418" w:type="dxa"/>
          </w:tcPr>
          <w:p w14:paraId="41D02042" w14:textId="20725983" w:rsidR="00682BA3" w:rsidRPr="00E52CFF" w:rsidRDefault="00682BA3" w:rsidP="00682BA3">
            <w:pPr>
              <w:jc w:val="center"/>
              <w:rPr>
                <w:rFonts w:asciiTheme="minorBidi" w:hAnsiTheme="minorBidi"/>
                <w:highlight w:val="yellow"/>
              </w:rPr>
            </w:pPr>
            <w:r>
              <w:rPr>
                <w:rStyle w:val="normaltextrun"/>
                <w:rFonts w:cs="Arial"/>
                <w:sz w:val="22"/>
                <w:szCs w:val="22"/>
              </w:rPr>
              <w:t>60%</w:t>
            </w:r>
            <w:r>
              <w:rPr>
                <w:rStyle w:val="eop"/>
                <w:rFonts w:cs="Arial"/>
                <w:sz w:val="22"/>
                <w:szCs w:val="22"/>
              </w:rPr>
              <w:t> </w:t>
            </w:r>
          </w:p>
        </w:tc>
        <w:tc>
          <w:tcPr>
            <w:tcW w:w="850" w:type="dxa"/>
          </w:tcPr>
          <w:p w14:paraId="68726BFA" w14:textId="0F19FDA7" w:rsidR="00682BA3" w:rsidRPr="008A6162" w:rsidRDefault="00682BA3" w:rsidP="00682BA3">
            <w:pPr>
              <w:jc w:val="center"/>
              <w:rPr>
                <w:rFonts w:asciiTheme="minorBidi" w:hAnsiTheme="minorBidi"/>
              </w:rPr>
            </w:pPr>
            <w:r>
              <w:rPr>
                <w:rStyle w:val="normaltextrun"/>
                <w:rFonts w:cs="Arial"/>
                <w:sz w:val="22"/>
                <w:szCs w:val="22"/>
              </w:rPr>
              <w:t>N/A</w:t>
            </w:r>
            <w:r>
              <w:rPr>
                <w:rStyle w:val="eop"/>
                <w:rFonts w:cs="Arial"/>
                <w:sz w:val="22"/>
                <w:szCs w:val="22"/>
              </w:rPr>
              <w:t> </w:t>
            </w:r>
          </w:p>
        </w:tc>
      </w:tr>
      <w:tr w:rsidR="00682BA3" w:rsidRPr="008A6162" w14:paraId="3CE05F9B" w14:textId="77777777" w:rsidTr="004A224D">
        <w:tc>
          <w:tcPr>
            <w:tcW w:w="1524" w:type="dxa"/>
          </w:tcPr>
          <w:p w14:paraId="44CEB04F" w14:textId="60822961" w:rsidR="00682BA3" w:rsidRPr="008A6162" w:rsidRDefault="00682BA3" w:rsidP="00682BA3">
            <w:pPr>
              <w:jc w:val="center"/>
              <w:rPr>
                <w:rFonts w:asciiTheme="minorBidi" w:hAnsiTheme="minorBidi"/>
              </w:rPr>
            </w:pPr>
            <w:r>
              <w:rPr>
                <w:rStyle w:val="normaltextrun"/>
                <w:rFonts w:cs="Arial"/>
                <w:sz w:val="22"/>
                <w:szCs w:val="22"/>
              </w:rPr>
              <w:t>2</w:t>
            </w:r>
            <w:r>
              <w:rPr>
                <w:rStyle w:val="eop"/>
                <w:rFonts w:cs="Arial"/>
                <w:sz w:val="22"/>
                <w:szCs w:val="22"/>
              </w:rPr>
              <w:t> </w:t>
            </w:r>
          </w:p>
        </w:tc>
        <w:tc>
          <w:tcPr>
            <w:tcW w:w="5989" w:type="dxa"/>
          </w:tcPr>
          <w:p w14:paraId="484E8F01" w14:textId="7A993405" w:rsidR="00682BA3" w:rsidRPr="008A6162" w:rsidRDefault="00682BA3" w:rsidP="00682BA3">
            <w:pPr>
              <w:jc w:val="center"/>
              <w:rPr>
                <w:rFonts w:asciiTheme="minorBidi" w:hAnsiTheme="minorBidi"/>
              </w:rPr>
            </w:pPr>
            <w:r>
              <w:rPr>
                <w:rStyle w:val="normaltextrun"/>
                <w:rFonts w:cs="Arial"/>
                <w:sz w:val="22"/>
                <w:szCs w:val="22"/>
              </w:rPr>
              <w:t>100% of those who are contacted are offered an appointment within 7 days of receiving the referral.</w:t>
            </w:r>
            <w:r>
              <w:rPr>
                <w:rStyle w:val="eop"/>
                <w:rFonts w:cs="Arial"/>
                <w:sz w:val="22"/>
                <w:szCs w:val="22"/>
              </w:rPr>
              <w:t> </w:t>
            </w:r>
          </w:p>
        </w:tc>
        <w:tc>
          <w:tcPr>
            <w:tcW w:w="1701" w:type="dxa"/>
          </w:tcPr>
          <w:p w14:paraId="08D0FE12" w14:textId="22B02BC6" w:rsidR="00682BA3" w:rsidRPr="008A6162" w:rsidRDefault="00682BA3" w:rsidP="00682BA3">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54AFB0CF" w14:textId="268BB7DC" w:rsidR="00682BA3" w:rsidRPr="008A6162" w:rsidRDefault="00682BA3" w:rsidP="00682BA3">
            <w:pPr>
              <w:jc w:val="center"/>
              <w:rPr>
                <w:rFonts w:asciiTheme="minorBidi" w:hAnsiTheme="minorBidi"/>
              </w:rPr>
            </w:pPr>
            <w:r>
              <w:rPr>
                <w:rStyle w:val="normaltextrun"/>
                <w:rFonts w:cs="Arial"/>
                <w:sz w:val="22"/>
                <w:szCs w:val="22"/>
              </w:rPr>
              <w:t>100%</w:t>
            </w:r>
            <w:r>
              <w:rPr>
                <w:rStyle w:val="eop"/>
                <w:rFonts w:cs="Arial"/>
                <w:sz w:val="22"/>
                <w:szCs w:val="22"/>
              </w:rPr>
              <w:t> </w:t>
            </w:r>
          </w:p>
        </w:tc>
        <w:tc>
          <w:tcPr>
            <w:tcW w:w="1701" w:type="dxa"/>
          </w:tcPr>
          <w:p w14:paraId="731EDED8" w14:textId="352AC57F" w:rsidR="00682BA3" w:rsidRPr="008A6162" w:rsidRDefault="00682BA3" w:rsidP="00682BA3">
            <w:pPr>
              <w:jc w:val="center"/>
              <w:rPr>
                <w:rFonts w:asciiTheme="minorBidi" w:hAnsiTheme="minorBidi"/>
              </w:rPr>
            </w:pPr>
            <w:r>
              <w:rPr>
                <w:rStyle w:val="normaltextrun"/>
                <w:rFonts w:cs="Arial"/>
                <w:sz w:val="22"/>
                <w:szCs w:val="22"/>
              </w:rPr>
              <w:t>80%</w:t>
            </w:r>
            <w:r>
              <w:rPr>
                <w:rStyle w:val="eop"/>
                <w:rFonts w:cs="Arial"/>
                <w:sz w:val="22"/>
                <w:szCs w:val="22"/>
              </w:rPr>
              <w:t> </w:t>
            </w:r>
          </w:p>
        </w:tc>
        <w:tc>
          <w:tcPr>
            <w:tcW w:w="1701" w:type="dxa"/>
          </w:tcPr>
          <w:p w14:paraId="02580905" w14:textId="7A3080A9" w:rsidR="00682BA3" w:rsidRPr="008A6162" w:rsidRDefault="00682BA3" w:rsidP="00682BA3">
            <w:pPr>
              <w:jc w:val="center"/>
              <w:rPr>
                <w:rFonts w:asciiTheme="minorBidi" w:hAnsiTheme="minorBidi"/>
              </w:rPr>
            </w:pPr>
            <w:r>
              <w:rPr>
                <w:rStyle w:val="normaltextrun"/>
                <w:rFonts w:cs="Arial"/>
                <w:sz w:val="22"/>
                <w:szCs w:val="22"/>
              </w:rPr>
              <w:t>70%</w:t>
            </w:r>
            <w:r>
              <w:rPr>
                <w:rStyle w:val="eop"/>
                <w:rFonts w:cs="Arial"/>
                <w:sz w:val="22"/>
                <w:szCs w:val="22"/>
              </w:rPr>
              <w:t> </w:t>
            </w:r>
          </w:p>
        </w:tc>
        <w:tc>
          <w:tcPr>
            <w:tcW w:w="1418" w:type="dxa"/>
          </w:tcPr>
          <w:p w14:paraId="065EC4BC" w14:textId="6327F218" w:rsidR="00682BA3" w:rsidRPr="008A6162" w:rsidRDefault="00682BA3" w:rsidP="00682BA3">
            <w:pPr>
              <w:jc w:val="center"/>
              <w:rPr>
                <w:rFonts w:asciiTheme="minorBidi" w:hAnsiTheme="minorBidi"/>
              </w:rPr>
            </w:pPr>
            <w:r>
              <w:rPr>
                <w:rStyle w:val="normaltextrun"/>
                <w:rFonts w:cs="Arial"/>
                <w:sz w:val="22"/>
                <w:szCs w:val="22"/>
              </w:rPr>
              <w:t>60%</w:t>
            </w:r>
            <w:r>
              <w:rPr>
                <w:rStyle w:val="eop"/>
                <w:rFonts w:cs="Arial"/>
                <w:sz w:val="22"/>
                <w:szCs w:val="22"/>
              </w:rPr>
              <w:t> </w:t>
            </w:r>
          </w:p>
        </w:tc>
        <w:tc>
          <w:tcPr>
            <w:tcW w:w="850" w:type="dxa"/>
          </w:tcPr>
          <w:p w14:paraId="7CAE1173" w14:textId="4961B0DA" w:rsidR="00682BA3" w:rsidRPr="008A6162" w:rsidRDefault="00682BA3" w:rsidP="00682BA3">
            <w:pPr>
              <w:jc w:val="center"/>
              <w:rPr>
                <w:rFonts w:asciiTheme="minorBidi" w:hAnsiTheme="minorBidi"/>
              </w:rPr>
            </w:pPr>
            <w:r>
              <w:rPr>
                <w:rStyle w:val="normaltextrun"/>
                <w:rFonts w:cs="Arial"/>
                <w:sz w:val="22"/>
                <w:szCs w:val="22"/>
              </w:rPr>
              <w:t>N/A</w:t>
            </w:r>
            <w:r>
              <w:rPr>
                <w:rStyle w:val="eop"/>
                <w:rFonts w:cs="Arial"/>
                <w:sz w:val="22"/>
                <w:szCs w:val="22"/>
              </w:rPr>
              <w:t> </w:t>
            </w:r>
          </w:p>
        </w:tc>
      </w:tr>
      <w:tr w:rsidR="00682BA3" w:rsidRPr="008A6162" w14:paraId="5992BA70" w14:textId="77777777" w:rsidTr="004A224D">
        <w:tc>
          <w:tcPr>
            <w:tcW w:w="1524" w:type="dxa"/>
          </w:tcPr>
          <w:p w14:paraId="06C08B2A" w14:textId="478B9C5E" w:rsidR="00682BA3" w:rsidRPr="008A6162" w:rsidRDefault="00682BA3" w:rsidP="00682BA3">
            <w:pPr>
              <w:jc w:val="center"/>
              <w:rPr>
                <w:rFonts w:asciiTheme="minorBidi" w:hAnsiTheme="minorBidi"/>
              </w:rPr>
            </w:pPr>
            <w:r>
              <w:rPr>
                <w:rStyle w:val="normaltextrun"/>
                <w:rFonts w:cs="Arial"/>
                <w:sz w:val="22"/>
                <w:szCs w:val="22"/>
              </w:rPr>
              <w:t>3</w:t>
            </w:r>
            <w:r>
              <w:rPr>
                <w:rStyle w:val="eop"/>
                <w:rFonts w:cs="Arial"/>
                <w:sz w:val="22"/>
                <w:szCs w:val="22"/>
              </w:rPr>
              <w:t> </w:t>
            </w:r>
          </w:p>
        </w:tc>
        <w:tc>
          <w:tcPr>
            <w:tcW w:w="5989" w:type="dxa"/>
          </w:tcPr>
          <w:p w14:paraId="3AA5BEE6" w14:textId="1120F6DC" w:rsidR="00682BA3" w:rsidRPr="00132742" w:rsidRDefault="00682BA3" w:rsidP="00682BA3">
            <w:pPr>
              <w:jc w:val="center"/>
              <w:rPr>
                <w:rFonts w:asciiTheme="minorBidi" w:hAnsiTheme="minorBidi"/>
                <w:bCs/>
              </w:rPr>
            </w:pPr>
            <w:r>
              <w:rPr>
                <w:rStyle w:val="normaltextrun"/>
                <w:rFonts w:cs="Arial"/>
                <w:sz w:val="22"/>
                <w:szCs w:val="22"/>
              </w:rPr>
              <w:t>Minimum 90% of women who accept full case-management support receive a full risk and needs assessment which includes baseline scoring across the categories of need.</w:t>
            </w:r>
          </w:p>
        </w:tc>
        <w:tc>
          <w:tcPr>
            <w:tcW w:w="1701" w:type="dxa"/>
            <w:vAlign w:val="center"/>
          </w:tcPr>
          <w:p w14:paraId="039963B0" w14:textId="381FB938" w:rsidR="00682BA3" w:rsidRPr="008A6162" w:rsidRDefault="00682BA3" w:rsidP="00682BA3">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2E91FA28" w14:textId="1C62C4EA" w:rsidR="00682BA3" w:rsidRPr="008A6162" w:rsidRDefault="00682BA3" w:rsidP="00682BA3">
            <w:pPr>
              <w:jc w:val="center"/>
              <w:rPr>
                <w:rFonts w:asciiTheme="minorBidi" w:hAnsiTheme="minorBidi"/>
              </w:rPr>
            </w:pPr>
            <w:r>
              <w:rPr>
                <w:rStyle w:val="normaltextrun"/>
                <w:rFonts w:cs="Arial"/>
                <w:sz w:val="22"/>
                <w:szCs w:val="22"/>
              </w:rPr>
              <w:t>90%</w:t>
            </w:r>
            <w:r>
              <w:rPr>
                <w:rStyle w:val="eop"/>
                <w:rFonts w:cs="Arial"/>
                <w:sz w:val="22"/>
                <w:szCs w:val="22"/>
              </w:rPr>
              <w:t> </w:t>
            </w:r>
          </w:p>
        </w:tc>
        <w:tc>
          <w:tcPr>
            <w:tcW w:w="1701" w:type="dxa"/>
          </w:tcPr>
          <w:p w14:paraId="3136923F" w14:textId="028F61B3" w:rsidR="00682BA3" w:rsidRPr="008A6162" w:rsidRDefault="00682BA3" w:rsidP="00682BA3">
            <w:pPr>
              <w:jc w:val="center"/>
              <w:rPr>
                <w:rFonts w:asciiTheme="minorBidi" w:hAnsiTheme="minorBidi"/>
              </w:rPr>
            </w:pPr>
            <w:r>
              <w:rPr>
                <w:rStyle w:val="normaltextrun"/>
                <w:rFonts w:cs="Arial"/>
                <w:sz w:val="22"/>
                <w:szCs w:val="22"/>
              </w:rPr>
              <w:t>80%</w:t>
            </w:r>
            <w:r>
              <w:rPr>
                <w:rStyle w:val="eop"/>
                <w:rFonts w:cs="Arial"/>
                <w:sz w:val="22"/>
                <w:szCs w:val="22"/>
              </w:rPr>
              <w:t> </w:t>
            </w:r>
          </w:p>
        </w:tc>
        <w:tc>
          <w:tcPr>
            <w:tcW w:w="1701" w:type="dxa"/>
          </w:tcPr>
          <w:p w14:paraId="159539D4" w14:textId="0F73C15D" w:rsidR="00682BA3" w:rsidRPr="008A6162" w:rsidRDefault="00682BA3" w:rsidP="00682BA3">
            <w:pPr>
              <w:jc w:val="center"/>
              <w:rPr>
                <w:rFonts w:asciiTheme="minorBidi" w:hAnsiTheme="minorBidi"/>
              </w:rPr>
            </w:pPr>
            <w:r>
              <w:rPr>
                <w:rStyle w:val="normaltextrun"/>
                <w:rFonts w:cs="Arial"/>
                <w:sz w:val="22"/>
                <w:szCs w:val="22"/>
              </w:rPr>
              <w:t>70%</w:t>
            </w:r>
            <w:r>
              <w:rPr>
                <w:rStyle w:val="eop"/>
                <w:rFonts w:cs="Arial"/>
                <w:sz w:val="22"/>
                <w:szCs w:val="22"/>
              </w:rPr>
              <w:t> </w:t>
            </w:r>
          </w:p>
        </w:tc>
        <w:tc>
          <w:tcPr>
            <w:tcW w:w="1418" w:type="dxa"/>
          </w:tcPr>
          <w:p w14:paraId="18D843AC" w14:textId="004F8541" w:rsidR="00682BA3" w:rsidRPr="008A6162" w:rsidRDefault="00682BA3" w:rsidP="00682BA3">
            <w:pPr>
              <w:jc w:val="center"/>
              <w:rPr>
                <w:rFonts w:asciiTheme="minorBidi" w:hAnsiTheme="minorBidi"/>
              </w:rPr>
            </w:pPr>
            <w:r>
              <w:rPr>
                <w:rStyle w:val="normaltextrun"/>
                <w:rFonts w:cs="Arial"/>
                <w:sz w:val="22"/>
                <w:szCs w:val="22"/>
              </w:rPr>
              <w:t>60%</w:t>
            </w:r>
            <w:r>
              <w:rPr>
                <w:rStyle w:val="eop"/>
                <w:rFonts w:cs="Arial"/>
                <w:sz w:val="22"/>
                <w:szCs w:val="22"/>
              </w:rPr>
              <w:t> </w:t>
            </w:r>
          </w:p>
        </w:tc>
        <w:tc>
          <w:tcPr>
            <w:tcW w:w="850" w:type="dxa"/>
          </w:tcPr>
          <w:p w14:paraId="3BA8E62A" w14:textId="76167898" w:rsidR="00682BA3" w:rsidRPr="008A6162" w:rsidRDefault="00682BA3" w:rsidP="00682BA3">
            <w:pPr>
              <w:jc w:val="center"/>
              <w:rPr>
                <w:rFonts w:asciiTheme="minorBidi" w:hAnsiTheme="minorBidi"/>
              </w:rPr>
            </w:pPr>
            <w:r>
              <w:rPr>
                <w:rStyle w:val="normaltextrun"/>
                <w:rFonts w:cs="Arial"/>
                <w:sz w:val="22"/>
                <w:szCs w:val="22"/>
              </w:rPr>
              <w:t>N/A</w:t>
            </w:r>
            <w:r>
              <w:rPr>
                <w:rStyle w:val="eop"/>
                <w:rFonts w:cs="Arial"/>
                <w:sz w:val="22"/>
                <w:szCs w:val="22"/>
              </w:rPr>
              <w:t> </w:t>
            </w:r>
          </w:p>
        </w:tc>
      </w:tr>
      <w:tr w:rsidR="00682BA3" w:rsidRPr="008A6162" w14:paraId="5C5F3AB0" w14:textId="77777777" w:rsidTr="004A224D">
        <w:tc>
          <w:tcPr>
            <w:tcW w:w="1524" w:type="dxa"/>
          </w:tcPr>
          <w:p w14:paraId="6D074B14" w14:textId="1C0783CB" w:rsidR="00682BA3" w:rsidRPr="008A6162" w:rsidRDefault="00682BA3" w:rsidP="00682BA3">
            <w:pPr>
              <w:jc w:val="center"/>
              <w:rPr>
                <w:rFonts w:asciiTheme="minorBidi" w:hAnsiTheme="minorBidi"/>
              </w:rPr>
            </w:pPr>
            <w:r>
              <w:rPr>
                <w:rStyle w:val="normaltextrun"/>
                <w:rFonts w:cs="Arial"/>
                <w:sz w:val="22"/>
                <w:szCs w:val="22"/>
              </w:rPr>
              <w:t>4</w:t>
            </w:r>
            <w:r>
              <w:rPr>
                <w:rStyle w:val="eop"/>
                <w:rFonts w:cs="Arial"/>
                <w:sz w:val="22"/>
                <w:szCs w:val="22"/>
              </w:rPr>
              <w:t> </w:t>
            </w:r>
          </w:p>
        </w:tc>
        <w:tc>
          <w:tcPr>
            <w:tcW w:w="5989" w:type="dxa"/>
            <w:vAlign w:val="center"/>
          </w:tcPr>
          <w:p w14:paraId="3EC7F709" w14:textId="38AB146A" w:rsidR="00682BA3" w:rsidRPr="002E779C" w:rsidRDefault="00682BA3" w:rsidP="00682BA3">
            <w:pPr>
              <w:jc w:val="center"/>
              <w:rPr>
                <w:rFonts w:asciiTheme="minorBidi" w:hAnsiTheme="minorBidi"/>
                <w:bCs/>
              </w:rPr>
            </w:pPr>
            <w:r>
              <w:rPr>
                <w:rStyle w:val="normaltextrun"/>
                <w:rFonts w:cs="Arial"/>
                <w:sz w:val="22"/>
                <w:szCs w:val="22"/>
              </w:rPr>
              <w:t>Minimum 90% of women who receive a needs assessment have a bespoke Support Plan developed in agreement with the woman.</w:t>
            </w:r>
          </w:p>
        </w:tc>
        <w:tc>
          <w:tcPr>
            <w:tcW w:w="1701" w:type="dxa"/>
            <w:vAlign w:val="center"/>
          </w:tcPr>
          <w:p w14:paraId="185CE725" w14:textId="33FFF0C8" w:rsidR="00682BA3" w:rsidRPr="008A6162" w:rsidRDefault="00682BA3" w:rsidP="00682BA3">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3F1C25DF" w14:textId="28EA22C1" w:rsidR="00682BA3" w:rsidRPr="008A6162" w:rsidRDefault="00682BA3" w:rsidP="00682BA3">
            <w:pPr>
              <w:jc w:val="center"/>
              <w:rPr>
                <w:rFonts w:asciiTheme="minorBidi" w:hAnsiTheme="minorBidi"/>
              </w:rPr>
            </w:pPr>
            <w:r>
              <w:rPr>
                <w:rStyle w:val="normaltextrun"/>
                <w:rFonts w:cs="Arial"/>
                <w:sz w:val="22"/>
                <w:szCs w:val="22"/>
              </w:rPr>
              <w:t>90%</w:t>
            </w:r>
            <w:r>
              <w:rPr>
                <w:rStyle w:val="eop"/>
                <w:rFonts w:cs="Arial"/>
                <w:sz w:val="22"/>
                <w:szCs w:val="22"/>
              </w:rPr>
              <w:t> </w:t>
            </w:r>
          </w:p>
        </w:tc>
        <w:tc>
          <w:tcPr>
            <w:tcW w:w="1701" w:type="dxa"/>
          </w:tcPr>
          <w:p w14:paraId="35E5B507" w14:textId="0573A65A" w:rsidR="00682BA3" w:rsidRPr="008A6162" w:rsidRDefault="00682BA3" w:rsidP="00682BA3">
            <w:pPr>
              <w:jc w:val="center"/>
              <w:rPr>
                <w:rFonts w:asciiTheme="minorBidi" w:hAnsiTheme="minorBidi"/>
              </w:rPr>
            </w:pPr>
            <w:r>
              <w:rPr>
                <w:rStyle w:val="normaltextrun"/>
                <w:rFonts w:cs="Arial"/>
                <w:sz w:val="22"/>
                <w:szCs w:val="22"/>
              </w:rPr>
              <w:t>80%</w:t>
            </w:r>
            <w:r>
              <w:rPr>
                <w:rStyle w:val="eop"/>
                <w:rFonts w:cs="Arial"/>
                <w:sz w:val="22"/>
                <w:szCs w:val="22"/>
              </w:rPr>
              <w:t> </w:t>
            </w:r>
          </w:p>
        </w:tc>
        <w:tc>
          <w:tcPr>
            <w:tcW w:w="1701" w:type="dxa"/>
          </w:tcPr>
          <w:p w14:paraId="485E9F4A" w14:textId="5931F9BE" w:rsidR="00682BA3" w:rsidRPr="008A6162" w:rsidRDefault="00682BA3" w:rsidP="00682BA3">
            <w:pPr>
              <w:jc w:val="center"/>
              <w:rPr>
                <w:rFonts w:asciiTheme="minorBidi" w:hAnsiTheme="minorBidi"/>
              </w:rPr>
            </w:pPr>
            <w:r>
              <w:rPr>
                <w:rStyle w:val="normaltextrun"/>
                <w:rFonts w:cs="Arial"/>
                <w:sz w:val="22"/>
                <w:szCs w:val="22"/>
              </w:rPr>
              <w:t>70%</w:t>
            </w:r>
            <w:r>
              <w:rPr>
                <w:rStyle w:val="eop"/>
                <w:rFonts w:cs="Arial"/>
                <w:sz w:val="22"/>
                <w:szCs w:val="22"/>
              </w:rPr>
              <w:t> </w:t>
            </w:r>
          </w:p>
        </w:tc>
        <w:tc>
          <w:tcPr>
            <w:tcW w:w="1418" w:type="dxa"/>
          </w:tcPr>
          <w:p w14:paraId="7111BA3D" w14:textId="518AA2A5" w:rsidR="00682BA3" w:rsidRPr="008A6162" w:rsidRDefault="00682BA3" w:rsidP="00682BA3">
            <w:pPr>
              <w:jc w:val="center"/>
              <w:rPr>
                <w:rFonts w:asciiTheme="minorBidi" w:hAnsiTheme="minorBidi"/>
              </w:rPr>
            </w:pPr>
            <w:r>
              <w:rPr>
                <w:rStyle w:val="normaltextrun"/>
                <w:rFonts w:cs="Arial"/>
                <w:sz w:val="22"/>
                <w:szCs w:val="22"/>
              </w:rPr>
              <w:t>60%</w:t>
            </w:r>
            <w:r>
              <w:rPr>
                <w:rStyle w:val="eop"/>
                <w:rFonts w:cs="Arial"/>
                <w:sz w:val="22"/>
                <w:szCs w:val="22"/>
              </w:rPr>
              <w:t> </w:t>
            </w:r>
          </w:p>
        </w:tc>
        <w:tc>
          <w:tcPr>
            <w:tcW w:w="850" w:type="dxa"/>
          </w:tcPr>
          <w:p w14:paraId="5022A6A0" w14:textId="47EB70C7" w:rsidR="00682BA3" w:rsidRPr="008A6162" w:rsidRDefault="00682BA3" w:rsidP="00682BA3">
            <w:pPr>
              <w:jc w:val="center"/>
              <w:rPr>
                <w:rFonts w:asciiTheme="minorBidi" w:hAnsiTheme="minorBidi"/>
              </w:rPr>
            </w:pPr>
            <w:r>
              <w:rPr>
                <w:rStyle w:val="normaltextrun"/>
                <w:rFonts w:cs="Arial"/>
                <w:sz w:val="22"/>
                <w:szCs w:val="22"/>
              </w:rPr>
              <w:t>N/A</w:t>
            </w:r>
            <w:r>
              <w:rPr>
                <w:rStyle w:val="eop"/>
                <w:rFonts w:cs="Arial"/>
                <w:sz w:val="22"/>
                <w:szCs w:val="22"/>
              </w:rPr>
              <w:t> </w:t>
            </w:r>
          </w:p>
        </w:tc>
      </w:tr>
      <w:tr w:rsidR="00682BA3" w:rsidRPr="008A6162" w14:paraId="50BE6A2C" w14:textId="77777777" w:rsidTr="00090A90">
        <w:tc>
          <w:tcPr>
            <w:tcW w:w="1524" w:type="dxa"/>
          </w:tcPr>
          <w:p w14:paraId="4C5B67B9" w14:textId="29910B6C" w:rsidR="00682BA3" w:rsidRPr="008A6162" w:rsidRDefault="00682BA3" w:rsidP="00682BA3">
            <w:pPr>
              <w:jc w:val="center"/>
              <w:rPr>
                <w:rFonts w:asciiTheme="minorBidi" w:hAnsiTheme="minorBidi"/>
              </w:rPr>
            </w:pPr>
            <w:r>
              <w:rPr>
                <w:rStyle w:val="normaltextrun"/>
                <w:rFonts w:cs="Arial"/>
                <w:sz w:val="22"/>
                <w:szCs w:val="22"/>
              </w:rPr>
              <w:t>7</w:t>
            </w:r>
            <w:r>
              <w:rPr>
                <w:rStyle w:val="eop"/>
                <w:rFonts w:cs="Arial"/>
                <w:sz w:val="22"/>
                <w:szCs w:val="22"/>
              </w:rPr>
              <w:t> </w:t>
            </w:r>
          </w:p>
        </w:tc>
        <w:tc>
          <w:tcPr>
            <w:tcW w:w="5989" w:type="dxa"/>
          </w:tcPr>
          <w:p w14:paraId="49864056" w14:textId="163AECB8" w:rsidR="00682BA3" w:rsidRPr="00334C30" w:rsidRDefault="00682BA3" w:rsidP="00682BA3">
            <w:pPr>
              <w:jc w:val="center"/>
              <w:rPr>
                <w:rFonts w:asciiTheme="minorBidi" w:hAnsiTheme="minorBidi"/>
                <w:bCs/>
              </w:rPr>
            </w:pPr>
            <w:r>
              <w:rPr>
                <w:rStyle w:val="normaltextrun"/>
                <w:rFonts w:cs="Arial"/>
                <w:sz w:val="22"/>
                <w:szCs w:val="22"/>
              </w:rPr>
              <w:t>Minimum 90% of women who have a Support Plan in place, Exit the Service in a Planned way</w:t>
            </w:r>
          </w:p>
        </w:tc>
        <w:tc>
          <w:tcPr>
            <w:tcW w:w="1701" w:type="dxa"/>
          </w:tcPr>
          <w:p w14:paraId="3E5F0A1F" w14:textId="2D21A6D0" w:rsidR="00682BA3" w:rsidRPr="008A6162" w:rsidRDefault="00682BA3" w:rsidP="00682BA3">
            <w:pPr>
              <w:jc w:val="center"/>
              <w:rPr>
                <w:rFonts w:asciiTheme="minorBidi" w:hAnsiTheme="minorBidi"/>
              </w:rPr>
            </w:pPr>
            <w:r>
              <w:rPr>
                <w:rStyle w:val="normaltextrun"/>
                <w:rFonts w:cs="Arial"/>
                <w:sz w:val="22"/>
                <w:szCs w:val="22"/>
              </w:rPr>
              <w:t>Quarterly </w:t>
            </w:r>
            <w:r>
              <w:rPr>
                <w:rStyle w:val="eop"/>
                <w:rFonts w:cs="Arial"/>
                <w:sz w:val="22"/>
                <w:szCs w:val="22"/>
              </w:rPr>
              <w:t> </w:t>
            </w:r>
          </w:p>
        </w:tc>
        <w:tc>
          <w:tcPr>
            <w:tcW w:w="1134" w:type="dxa"/>
          </w:tcPr>
          <w:p w14:paraId="5F1409CC" w14:textId="1F259DE4" w:rsidR="00682BA3" w:rsidRPr="008A6162" w:rsidRDefault="00682BA3" w:rsidP="00682BA3">
            <w:pPr>
              <w:jc w:val="center"/>
              <w:rPr>
                <w:rFonts w:asciiTheme="minorBidi" w:hAnsiTheme="minorBidi"/>
              </w:rPr>
            </w:pPr>
            <w:r>
              <w:rPr>
                <w:rStyle w:val="normaltextrun"/>
                <w:rFonts w:cs="Arial"/>
                <w:sz w:val="22"/>
                <w:szCs w:val="22"/>
              </w:rPr>
              <w:t>90%</w:t>
            </w:r>
            <w:r>
              <w:rPr>
                <w:rStyle w:val="eop"/>
                <w:rFonts w:cs="Arial"/>
                <w:sz w:val="22"/>
                <w:szCs w:val="22"/>
              </w:rPr>
              <w:t> </w:t>
            </w:r>
          </w:p>
        </w:tc>
        <w:tc>
          <w:tcPr>
            <w:tcW w:w="1701" w:type="dxa"/>
          </w:tcPr>
          <w:p w14:paraId="1EC8BC57" w14:textId="506CC000" w:rsidR="00682BA3" w:rsidRPr="008A6162" w:rsidRDefault="00682BA3" w:rsidP="00682BA3">
            <w:pPr>
              <w:jc w:val="center"/>
              <w:rPr>
                <w:rFonts w:asciiTheme="minorBidi" w:hAnsiTheme="minorBidi"/>
              </w:rPr>
            </w:pPr>
            <w:r>
              <w:rPr>
                <w:rStyle w:val="normaltextrun"/>
                <w:rFonts w:cs="Arial"/>
                <w:sz w:val="22"/>
                <w:szCs w:val="22"/>
              </w:rPr>
              <w:t>75%</w:t>
            </w:r>
            <w:r>
              <w:rPr>
                <w:rStyle w:val="eop"/>
                <w:rFonts w:cs="Arial"/>
                <w:sz w:val="22"/>
                <w:szCs w:val="22"/>
              </w:rPr>
              <w:t> </w:t>
            </w:r>
          </w:p>
        </w:tc>
        <w:tc>
          <w:tcPr>
            <w:tcW w:w="1701" w:type="dxa"/>
          </w:tcPr>
          <w:p w14:paraId="15EE184B" w14:textId="09ABC227" w:rsidR="00682BA3" w:rsidRPr="008A6162" w:rsidRDefault="00682BA3" w:rsidP="00682BA3">
            <w:pPr>
              <w:jc w:val="center"/>
              <w:rPr>
                <w:rFonts w:asciiTheme="minorBidi" w:hAnsiTheme="minorBidi"/>
              </w:rPr>
            </w:pPr>
            <w:r>
              <w:rPr>
                <w:rStyle w:val="normaltextrun"/>
                <w:rFonts w:cs="Arial"/>
                <w:sz w:val="22"/>
                <w:szCs w:val="22"/>
              </w:rPr>
              <w:t>65%</w:t>
            </w:r>
            <w:r>
              <w:rPr>
                <w:rStyle w:val="eop"/>
                <w:rFonts w:cs="Arial"/>
                <w:sz w:val="22"/>
                <w:szCs w:val="22"/>
              </w:rPr>
              <w:t> </w:t>
            </w:r>
          </w:p>
        </w:tc>
        <w:tc>
          <w:tcPr>
            <w:tcW w:w="1418" w:type="dxa"/>
          </w:tcPr>
          <w:p w14:paraId="6A26C20C" w14:textId="585C7CCC" w:rsidR="00682BA3" w:rsidRPr="008A6162" w:rsidRDefault="00682BA3" w:rsidP="00682BA3">
            <w:pPr>
              <w:jc w:val="center"/>
              <w:rPr>
                <w:rFonts w:asciiTheme="minorBidi" w:hAnsiTheme="minorBidi"/>
              </w:rPr>
            </w:pPr>
            <w:r>
              <w:rPr>
                <w:rStyle w:val="normaltextrun"/>
                <w:rFonts w:cs="Arial"/>
                <w:sz w:val="22"/>
                <w:szCs w:val="22"/>
              </w:rPr>
              <w:t>55%</w:t>
            </w:r>
            <w:r>
              <w:rPr>
                <w:rStyle w:val="eop"/>
                <w:rFonts w:cs="Arial"/>
                <w:sz w:val="22"/>
                <w:szCs w:val="22"/>
              </w:rPr>
              <w:t> </w:t>
            </w:r>
          </w:p>
        </w:tc>
        <w:tc>
          <w:tcPr>
            <w:tcW w:w="850" w:type="dxa"/>
          </w:tcPr>
          <w:p w14:paraId="6BEF272A" w14:textId="1B3E51B5" w:rsidR="00682BA3" w:rsidRPr="008A6162" w:rsidRDefault="00682BA3" w:rsidP="00682BA3">
            <w:pPr>
              <w:jc w:val="center"/>
              <w:rPr>
                <w:rFonts w:asciiTheme="minorBidi" w:hAnsiTheme="minorBidi"/>
              </w:rPr>
            </w:pPr>
            <w:r>
              <w:rPr>
                <w:rStyle w:val="normaltextrun"/>
                <w:rFonts w:cs="Arial"/>
                <w:sz w:val="22"/>
                <w:szCs w:val="22"/>
              </w:rPr>
              <w:t>N/A</w:t>
            </w:r>
            <w:r>
              <w:rPr>
                <w:rStyle w:val="eop"/>
                <w:rFonts w:cs="Arial"/>
                <w:sz w:val="22"/>
                <w:szCs w:val="22"/>
              </w:rPr>
              <w:t> </w:t>
            </w:r>
          </w:p>
        </w:tc>
      </w:tr>
      <w:tr w:rsidR="00682BA3" w:rsidRPr="008A6162" w14:paraId="7C3AAAB3" w14:textId="77777777" w:rsidTr="00090A90">
        <w:tc>
          <w:tcPr>
            <w:tcW w:w="1524" w:type="dxa"/>
          </w:tcPr>
          <w:p w14:paraId="33FBF3D3" w14:textId="36EA657C" w:rsidR="00682BA3" w:rsidRPr="008A6162" w:rsidRDefault="00682BA3" w:rsidP="00682BA3">
            <w:pPr>
              <w:jc w:val="center"/>
              <w:rPr>
                <w:rFonts w:asciiTheme="minorBidi" w:hAnsiTheme="minorBidi"/>
              </w:rPr>
            </w:pPr>
            <w:r>
              <w:rPr>
                <w:rStyle w:val="normaltextrun"/>
                <w:rFonts w:cs="Arial"/>
                <w:sz w:val="22"/>
                <w:szCs w:val="22"/>
              </w:rPr>
              <w:t>9</w:t>
            </w:r>
            <w:r>
              <w:rPr>
                <w:rStyle w:val="eop"/>
                <w:rFonts w:cs="Arial"/>
                <w:sz w:val="22"/>
                <w:szCs w:val="22"/>
              </w:rPr>
              <w:t> </w:t>
            </w:r>
          </w:p>
        </w:tc>
        <w:tc>
          <w:tcPr>
            <w:tcW w:w="5989" w:type="dxa"/>
            <w:vAlign w:val="center"/>
          </w:tcPr>
          <w:p w14:paraId="3316C48B" w14:textId="6D9809E3" w:rsidR="00682BA3" w:rsidRPr="00F72B71" w:rsidRDefault="00682BA3" w:rsidP="00682BA3">
            <w:pPr>
              <w:jc w:val="center"/>
              <w:rPr>
                <w:rFonts w:asciiTheme="minorBidi" w:hAnsiTheme="minorBidi"/>
                <w:bCs/>
              </w:rPr>
            </w:pPr>
            <w:r>
              <w:rPr>
                <w:rStyle w:val="normaltextrun"/>
                <w:rFonts w:cs="Arial"/>
                <w:sz w:val="22"/>
                <w:szCs w:val="22"/>
              </w:rPr>
              <w:t>100% of women, who Exit the Service in a Planned way </w:t>
            </w:r>
            <w:proofErr w:type="gramStart"/>
            <w:r>
              <w:rPr>
                <w:rStyle w:val="normaltextrun"/>
                <w:rFonts w:cs="Arial"/>
                <w:sz w:val="22"/>
                <w:szCs w:val="22"/>
              </w:rPr>
              <w:t>are</w:t>
            </w:r>
            <w:proofErr w:type="gramEnd"/>
            <w:r>
              <w:rPr>
                <w:rStyle w:val="normaltextrun"/>
                <w:rFonts w:cs="Arial"/>
                <w:sz w:val="22"/>
                <w:szCs w:val="22"/>
              </w:rPr>
              <w:t> asked to provide Feedback</w:t>
            </w:r>
          </w:p>
        </w:tc>
        <w:tc>
          <w:tcPr>
            <w:tcW w:w="1701" w:type="dxa"/>
            <w:vAlign w:val="center"/>
          </w:tcPr>
          <w:p w14:paraId="0B7ED6BA" w14:textId="18891102" w:rsidR="00682BA3" w:rsidRPr="008A6162" w:rsidRDefault="00682BA3" w:rsidP="00682BA3">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1C0042F6" w14:textId="04239119" w:rsidR="00682BA3" w:rsidRPr="008A6162" w:rsidRDefault="00682BA3" w:rsidP="00682BA3">
            <w:pPr>
              <w:jc w:val="center"/>
              <w:rPr>
                <w:rFonts w:asciiTheme="minorBidi" w:hAnsiTheme="minorBidi"/>
              </w:rPr>
            </w:pPr>
            <w:r>
              <w:rPr>
                <w:rStyle w:val="normaltextrun"/>
                <w:rFonts w:cs="Arial"/>
                <w:sz w:val="22"/>
                <w:szCs w:val="22"/>
              </w:rPr>
              <w:t>100%</w:t>
            </w:r>
            <w:r>
              <w:rPr>
                <w:rStyle w:val="eop"/>
                <w:rFonts w:cs="Arial"/>
                <w:sz w:val="22"/>
                <w:szCs w:val="22"/>
              </w:rPr>
              <w:t> </w:t>
            </w:r>
          </w:p>
        </w:tc>
        <w:tc>
          <w:tcPr>
            <w:tcW w:w="1701" w:type="dxa"/>
          </w:tcPr>
          <w:p w14:paraId="5115A358" w14:textId="104116CD" w:rsidR="00682BA3" w:rsidRPr="008A6162" w:rsidRDefault="00682BA3" w:rsidP="00682BA3">
            <w:pPr>
              <w:jc w:val="center"/>
              <w:rPr>
                <w:rFonts w:asciiTheme="minorBidi" w:hAnsiTheme="minorBidi"/>
              </w:rPr>
            </w:pPr>
            <w:r>
              <w:rPr>
                <w:rStyle w:val="normaltextrun"/>
                <w:rFonts w:cs="Arial"/>
                <w:sz w:val="22"/>
                <w:szCs w:val="22"/>
              </w:rPr>
              <w:t>80%</w:t>
            </w:r>
            <w:r>
              <w:rPr>
                <w:rStyle w:val="eop"/>
                <w:rFonts w:cs="Arial"/>
                <w:sz w:val="22"/>
                <w:szCs w:val="22"/>
              </w:rPr>
              <w:t> </w:t>
            </w:r>
          </w:p>
        </w:tc>
        <w:tc>
          <w:tcPr>
            <w:tcW w:w="1701" w:type="dxa"/>
          </w:tcPr>
          <w:p w14:paraId="462847DA" w14:textId="24BBB1C3" w:rsidR="00682BA3" w:rsidRPr="008A6162" w:rsidRDefault="00682BA3" w:rsidP="00682BA3">
            <w:pPr>
              <w:jc w:val="center"/>
              <w:rPr>
                <w:rFonts w:asciiTheme="minorBidi" w:hAnsiTheme="minorBidi"/>
              </w:rPr>
            </w:pPr>
            <w:r>
              <w:rPr>
                <w:rStyle w:val="normaltextrun"/>
                <w:rFonts w:cs="Arial"/>
                <w:sz w:val="22"/>
                <w:szCs w:val="22"/>
              </w:rPr>
              <w:t>70%</w:t>
            </w:r>
            <w:r>
              <w:rPr>
                <w:rStyle w:val="eop"/>
                <w:rFonts w:cs="Arial"/>
                <w:sz w:val="22"/>
                <w:szCs w:val="22"/>
              </w:rPr>
              <w:t> </w:t>
            </w:r>
          </w:p>
        </w:tc>
        <w:tc>
          <w:tcPr>
            <w:tcW w:w="1418" w:type="dxa"/>
            <w:shd w:val="clear" w:color="auto" w:fill="FFFFFF" w:themeFill="background1"/>
          </w:tcPr>
          <w:p w14:paraId="12594AB8" w14:textId="2FE16AFD" w:rsidR="00682BA3" w:rsidRPr="008A6162" w:rsidRDefault="00682BA3" w:rsidP="00682BA3">
            <w:pPr>
              <w:jc w:val="center"/>
              <w:rPr>
                <w:rFonts w:asciiTheme="minorBidi" w:hAnsiTheme="minorBidi"/>
              </w:rPr>
            </w:pPr>
            <w:r>
              <w:rPr>
                <w:rStyle w:val="normaltextrun"/>
                <w:rFonts w:cs="Arial"/>
                <w:sz w:val="22"/>
                <w:szCs w:val="22"/>
              </w:rPr>
              <w:t>60%</w:t>
            </w:r>
            <w:r>
              <w:rPr>
                <w:rStyle w:val="eop"/>
                <w:rFonts w:cs="Arial"/>
                <w:sz w:val="22"/>
                <w:szCs w:val="22"/>
              </w:rPr>
              <w:t> </w:t>
            </w:r>
          </w:p>
        </w:tc>
        <w:tc>
          <w:tcPr>
            <w:tcW w:w="850" w:type="dxa"/>
            <w:shd w:val="clear" w:color="auto" w:fill="FFFFFF" w:themeFill="background1"/>
          </w:tcPr>
          <w:p w14:paraId="06942421" w14:textId="1C4C8522" w:rsidR="00682BA3" w:rsidRPr="008A6162" w:rsidRDefault="00682BA3" w:rsidP="00682BA3">
            <w:pPr>
              <w:jc w:val="center"/>
              <w:rPr>
                <w:rFonts w:asciiTheme="minorBidi" w:hAnsiTheme="minorBidi"/>
              </w:rPr>
            </w:pPr>
            <w:r>
              <w:rPr>
                <w:rStyle w:val="normaltextrun"/>
                <w:rFonts w:cs="Arial"/>
                <w:sz w:val="22"/>
                <w:szCs w:val="22"/>
              </w:rPr>
              <w:t>N/A</w:t>
            </w:r>
            <w:r>
              <w:rPr>
                <w:rStyle w:val="eop"/>
                <w:rFonts w:cs="Arial"/>
                <w:sz w:val="22"/>
                <w:szCs w:val="22"/>
              </w:rPr>
              <w:t> </w:t>
            </w:r>
          </w:p>
        </w:tc>
      </w:tr>
      <w:tr w:rsidR="00682BA3" w:rsidRPr="008A6162" w14:paraId="0FAA8942" w14:textId="77777777" w:rsidTr="00090A90">
        <w:tc>
          <w:tcPr>
            <w:tcW w:w="1524" w:type="dxa"/>
          </w:tcPr>
          <w:p w14:paraId="71B39560" w14:textId="0AD90B57" w:rsidR="00682BA3" w:rsidRPr="008A6162" w:rsidRDefault="00682BA3" w:rsidP="00682BA3">
            <w:pPr>
              <w:jc w:val="center"/>
              <w:rPr>
                <w:rFonts w:asciiTheme="minorBidi" w:hAnsiTheme="minorBidi"/>
              </w:rPr>
            </w:pPr>
            <w:r>
              <w:rPr>
                <w:rStyle w:val="normaltextrun"/>
                <w:rFonts w:cs="Arial"/>
                <w:sz w:val="22"/>
                <w:szCs w:val="22"/>
              </w:rPr>
              <w:lastRenderedPageBreak/>
              <w:t>13</w:t>
            </w:r>
            <w:r>
              <w:rPr>
                <w:rStyle w:val="eop"/>
                <w:rFonts w:cs="Arial"/>
                <w:sz w:val="22"/>
                <w:szCs w:val="22"/>
              </w:rPr>
              <w:t> </w:t>
            </w:r>
          </w:p>
        </w:tc>
        <w:tc>
          <w:tcPr>
            <w:tcW w:w="5989" w:type="dxa"/>
            <w:vAlign w:val="center"/>
          </w:tcPr>
          <w:p w14:paraId="0B95FAEE" w14:textId="7CC02865" w:rsidR="00682BA3" w:rsidRPr="00570E5F" w:rsidRDefault="00682BA3" w:rsidP="00682BA3">
            <w:pPr>
              <w:jc w:val="center"/>
              <w:rPr>
                <w:rFonts w:asciiTheme="minorBidi" w:hAnsiTheme="minorBidi"/>
                <w:bCs/>
              </w:rPr>
            </w:pPr>
            <w:r>
              <w:rPr>
                <w:rStyle w:val="normaltextrun"/>
                <w:rFonts w:cs="Arial"/>
                <w:sz w:val="22"/>
                <w:szCs w:val="22"/>
              </w:rPr>
              <w:t>In order to measure service impact, 90% of women who have a Support Plan will have improved scores in at least four of categories of needs (demonstrated by an increase of the baseline score) on exit from service.</w:t>
            </w:r>
          </w:p>
        </w:tc>
        <w:tc>
          <w:tcPr>
            <w:tcW w:w="1701" w:type="dxa"/>
            <w:vAlign w:val="center"/>
          </w:tcPr>
          <w:p w14:paraId="13C827EC" w14:textId="701E3139" w:rsidR="00682BA3" w:rsidRPr="008A6162" w:rsidRDefault="00682BA3" w:rsidP="00682BA3">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00B049B4" w14:textId="05D911F7" w:rsidR="00682BA3" w:rsidRPr="008A6162" w:rsidRDefault="00682BA3" w:rsidP="00682BA3">
            <w:pPr>
              <w:jc w:val="center"/>
              <w:rPr>
                <w:rFonts w:asciiTheme="minorBidi" w:hAnsiTheme="minorBidi"/>
              </w:rPr>
            </w:pPr>
            <w:r>
              <w:rPr>
                <w:rStyle w:val="normaltextrun"/>
                <w:rFonts w:cs="Arial"/>
                <w:sz w:val="22"/>
                <w:szCs w:val="22"/>
              </w:rPr>
              <w:t>90%</w:t>
            </w:r>
            <w:r>
              <w:rPr>
                <w:rStyle w:val="eop"/>
                <w:rFonts w:cs="Arial"/>
                <w:sz w:val="22"/>
                <w:szCs w:val="22"/>
              </w:rPr>
              <w:t> </w:t>
            </w:r>
          </w:p>
        </w:tc>
        <w:tc>
          <w:tcPr>
            <w:tcW w:w="1701" w:type="dxa"/>
          </w:tcPr>
          <w:p w14:paraId="06081E04" w14:textId="63528D8E" w:rsidR="00682BA3" w:rsidRPr="008A6162" w:rsidRDefault="00682BA3" w:rsidP="00682BA3">
            <w:pPr>
              <w:jc w:val="center"/>
              <w:rPr>
                <w:rFonts w:asciiTheme="minorBidi" w:hAnsiTheme="minorBidi"/>
              </w:rPr>
            </w:pPr>
            <w:r>
              <w:rPr>
                <w:rStyle w:val="normaltextrun"/>
                <w:rFonts w:cs="Arial"/>
                <w:sz w:val="22"/>
                <w:szCs w:val="22"/>
              </w:rPr>
              <w:t>70%</w:t>
            </w:r>
            <w:r>
              <w:rPr>
                <w:rStyle w:val="eop"/>
                <w:rFonts w:cs="Arial"/>
                <w:sz w:val="22"/>
                <w:szCs w:val="22"/>
              </w:rPr>
              <w:t> </w:t>
            </w:r>
          </w:p>
        </w:tc>
        <w:tc>
          <w:tcPr>
            <w:tcW w:w="1701" w:type="dxa"/>
          </w:tcPr>
          <w:p w14:paraId="00742599" w14:textId="2CDC2506" w:rsidR="00682BA3" w:rsidRPr="008A6162" w:rsidRDefault="00682BA3" w:rsidP="00682BA3">
            <w:pPr>
              <w:jc w:val="center"/>
              <w:rPr>
                <w:rFonts w:asciiTheme="minorBidi" w:hAnsiTheme="minorBidi"/>
              </w:rPr>
            </w:pPr>
            <w:r>
              <w:rPr>
                <w:rStyle w:val="normaltextrun"/>
                <w:rFonts w:cs="Arial"/>
                <w:sz w:val="22"/>
                <w:szCs w:val="22"/>
              </w:rPr>
              <w:t>60%</w:t>
            </w:r>
            <w:r>
              <w:rPr>
                <w:rStyle w:val="eop"/>
                <w:rFonts w:cs="Arial"/>
                <w:sz w:val="22"/>
                <w:szCs w:val="22"/>
              </w:rPr>
              <w:t> </w:t>
            </w:r>
          </w:p>
        </w:tc>
        <w:tc>
          <w:tcPr>
            <w:tcW w:w="1418" w:type="dxa"/>
            <w:shd w:val="clear" w:color="auto" w:fill="FFFFFF" w:themeFill="background1"/>
          </w:tcPr>
          <w:p w14:paraId="02D308A7" w14:textId="52607963" w:rsidR="00682BA3" w:rsidRPr="008A6162" w:rsidRDefault="00682BA3" w:rsidP="00682BA3">
            <w:pPr>
              <w:jc w:val="center"/>
              <w:rPr>
                <w:rFonts w:asciiTheme="minorBidi" w:hAnsiTheme="minorBidi"/>
              </w:rPr>
            </w:pPr>
            <w:r>
              <w:rPr>
                <w:rStyle w:val="normaltextrun"/>
                <w:rFonts w:cs="Arial"/>
                <w:sz w:val="22"/>
                <w:szCs w:val="22"/>
              </w:rPr>
              <w:t>50%</w:t>
            </w:r>
            <w:r>
              <w:rPr>
                <w:rStyle w:val="eop"/>
                <w:rFonts w:cs="Arial"/>
                <w:sz w:val="22"/>
                <w:szCs w:val="22"/>
              </w:rPr>
              <w:t> </w:t>
            </w:r>
          </w:p>
        </w:tc>
        <w:tc>
          <w:tcPr>
            <w:tcW w:w="850" w:type="dxa"/>
            <w:shd w:val="clear" w:color="auto" w:fill="FFFFFF" w:themeFill="background1"/>
          </w:tcPr>
          <w:p w14:paraId="74FFAD5C" w14:textId="4030EE86" w:rsidR="00682BA3" w:rsidRPr="008A6162" w:rsidRDefault="00682BA3" w:rsidP="00682BA3">
            <w:pPr>
              <w:jc w:val="center"/>
              <w:rPr>
                <w:rFonts w:asciiTheme="minorBidi" w:hAnsiTheme="minorBidi"/>
              </w:rPr>
            </w:pPr>
            <w:r>
              <w:rPr>
                <w:rStyle w:val="normaltextrun"/>
                <w:rFonts w:cs="Arial"/>
                <w:sz w:val="22"/>
                <w:szCs w:val="22"/>
              </w:rPr>
              <w:t>N/A</w:t>
            </w:r>
            <w:r>
              <w:rPr>
                <w:rStyle w:val="eop"/>
                <w:rFonts w:cs="Arial"/>
                <w:sz w:val="22"/>
                <w:szCs w:val="22"/>
              </w:rPr>
              <w:t> </w:t>
            </w:r>
          </w:p>
        </w:tc>
      </w:tr>
      <w:tr w:rsidR="00682BA3" w:rsidRPr="008A6162" w14:paraId="1732046E" w14:textId="77777777" w:rsidTr="004A224D">
        <w:tc>
          <w:tcPr>
            <w:tcW w:w="1524" w:type="dxa"/>
          </w:tcPr>
          <w:p w14:paraId="1C605C9B" w14:textId="6FF9A617" w:rsidR="00682BA3" w:rsidRPr="008A6162" w:rsidRDefault="00682BA3" w:rsidP="00682BA3">
            <w:pPr>
              <w:jc w:val="center"/>
              <w:rPr>
                <w:rFonts w:asciiTheme="minorBidi" w:hAnsiTheme="minorBidi"/>
              </w:rPr>
            </w:pPr>
            <w:r>
              <w:rPr>
                <w:rStyle w:val="normaltextrun"/>
                <w:rFonts w:cs="Arial"/>
                <w:sz w:val="22"/>
                <w:szCs w:val="22"/>
              </w:rPr>
              <w:t>14</w:t>
            </w:r>
            <w:r>
              <w:rPr>
                <w:rStyle w:val="eop"/>
                <w:rFonts w:cs="Arial"/>
                <w:sz w:val="22"/>
                <w:szCs w:val="22"/>
              </w:rPr>
              <w:t> </w:t>
            </w:r>
          </w:p>
        </w:tc>
        <w:tc>
          <w:tcPr>
            <w:tcW w:w="5989" w:type="dxa"/>
            <w:vAlign w:val="center"/>
          </w:tcPr>
          <w:p w14:paraId="567E4A45" w14:textId="72DAB049" w:rsidR="00682BA3" w:rsidRPr="00317DA4" w:rsidRDefault="00682BA3" w:rsidP="00682BA3">
            <w:pPr>
              <w:jc w:val="center"/>
              <w:rPr>
                <w:rFonts w:asciiTheme="minorBidi" w:hAnsiTheme="minorBidi"/>
                <w:bCs/>
              </w:rPr>
            </w:pPr>
            <w:r>
              <w:rPr>
                <w:rStyle w:val="normaltextrun"/>
                <w:rFonts w:cs="Arial"/>
                <w:sz w:val="22"/>
                <w:szCs w:val="22"/>
              </w:rPr>
              <w:t>100% of contacts, interactions and interventions (brief interventions, drop-ins, group work, use of facilities etc) are recorded on the CMS</w:t>
            </w:r>
          </w:p>
        </w:tc>
        <w:tc>
          <w:tcPr>
            <w:tcW w:w="1701" w:type="dxa"/>
            <w:vAlign w:val="center"/>
          </w:tcPr>
          <w:p w14:paraId="45F42424" w14:textId="0FE98320" w:rsidR="00682BA3" w:rsidRPr="008A6162" w:rsidRDefault="00682BA3" w:rsidP="00682BA3">
            <w:pPr>
              <w:jc w:val="center"/>
              <w:rPr>
                <w:rFonts w:asciiTheme="minorBidi" w:hAnsiTheme="minorBidi"/>
              </w:rPr>
            </w:pPr>
            <w:r>
              <w:rPr>
                <w:rStyle w:val="normaltextrun"/>
                <w:rFonts w:cs="Arial"/>
                <w:sz w:val="22"/>
                <w:szCs w:val="22"/>
              </w:rPr>
              <w:t>Quarterly</w:t>
            </w:r>
            <w:r>
              <w:rPr>
                <w:rStyle w:val="eop"/>
                <w:rFonts w:cs="Arial"/>
                <w:sz w:val="22"/>
                <w:szCs w:val="22"/>
              </w:rPr>
              <w:t> </w:t>
            </w:r>
          </w:p>
        </w:tc>
        <w:tc>
          <w:tcPr>
            <w:tcW w:w="1134" w:type="dxa"/>
          </w:tcPr>
          <w:p w14:paraId="421B4235" w14:textId="2C62BD74" w:rsidR="00682BA3" w:rsidRPr="008A6162" w:rsidRDefault="00682BA3" w:rsidP="00682BA3">
            <w:pPr>
              <w:jc w:val="center"/>
              <w:rPr>
                <w:rFonts w:asciiTheme="minorBidi" w:hAnsiTheme="minorBidi"/>
              </w:rPr>
            </w:pPr>
            <w:r>
              <w:rPr>
                <w:rStyle w:val="normaltextrun"/>
                <w:rFonts w:cs="Arial"/>
                <w:sz w:val="22"/>
                <w:szCs w:val="22"/>
              </w:rPr>
              <w:t>100%</w:t>
            </w:r>
            <w:r>
              <w:rPr>
                <w:rStyle w:val="eop"/>
                <w:rFonts w:cs="Arial"/>
                <w:sz w:val="22"/>
                <w:szCs w:val="22"/>
              </w:rPr>
              <w:t> </w:t>
            </w:r>
          </w:p>
        </w:tc>
        <w:tc>
          <w:tcPr>
            <w:tcW w:w="1701" w:type="dxa"/>
          </w:tcPr>
          <w:p w14:paraId="2AC7CFE2" w14:textId="30254F37" w:rsidR="00682BA3" w:rsidRPr="008A6162" w:rsidRDefault="00682BA3" w:rsidP="00682BA3">
            <w:pPr>
              <w:jc w:val="center"/>
              <w:rPr>
                <w:rFonts w:asciiTheme="minorBidi" w:hAnsiTheme="minorBidi"/>
              </w:rPr>
            </w:pPr>
            <w:r>
              <w:rPr>
                <w:rStyle w:val="normaltextrun"/>
                <w:rFonts w:cs="Arial"/>
                <w:sz w:val="22"/>
                <w:szCs w:val="22"/>
              </w:rPr>
              <w:t>80%</w:t>
            </w:r>
            <w:r>
              <w:rPr>
                <w:rStyle w:val="eop"/>
                <w:rFonts w:cs="Arial"/>
                <w:sz w:val="22"/>
                <w:szCs w:val="22"/>
              </w:rPr>
              <w:t> </w:t>
            </w:r>
          </w:p>
        </w:tc>
        <w:tc>
          <w:tcPr>
            <w:tcW w:w="1701" w:type="dxa"/>
          </w:tcPr>
          <w:p w14:paraId="4E7EE8C4" w14:textId="5BE956F4" w:rsidR="00682BA3" w:rsidRPr="008A6162" w:rsidRDefault="00682BA3" w:rsidP="00682BA3">
            <w:pPr>
              <w:jc w:val="center"/>
              <w:rPr>
                <w:rFonts w:asciiTheme="minorBidi" w:hAnsiTheme="minorBidi"/>
              </w:rPr>
            </w:pPr>
            <w:r>
              <w:rPr>
                <w:rStyle w:val="normaltextrun"/>
                <w:rFonts w:cs="Arial"/>
                <w:sz w:val="22"/>
                <w:szCs w:val="22"/>
              </w:rPr>
              <w:t>70%</w:t>
            </w:r>
            <w:r>
              <w:rPr>
                <w:rStyle w:val="eop"/>
                <w:rFonts w:cs="Arial"/>
                <w:sz w:val="22"/>
                <w:szCs w:val="22"/>
              </w:rPr>
              <w:t> </w:t>
            </w:r>
          </w:p>
        </w:tc>
        <w:tc>
          <w:tcPr>
            <w:tcW w:w="1418" w:type="dxa"/>
            <w:shd w:val="clear" w:color="auto" w:fill="FFFFFF" w:themeFill="background1"/>
          </w:tcPr>
          <w:p w14:paraId="75B494F8" w14:textId="6B30A077" w:rsidR="00682BA3" w:rsidRPr="008A6162" w:rsidRDefault="00682BA3" w:rsidP="00682BA3">
            <w:pPr>
              <w:jc w:val="center"/>
              <w:rPr>
                <w:rFonts w:asciiTheme="minorBidi" w:hAnsiTheme="minorBidi"/>
              </w:rPr>
            </w:pPr>
            <w:r>
              <w:rPr>
                <w:rStyle w:val="normaltextrun"/>
                <w:rFonts w:cs="Arial"/>
                <w:sz w:val="22"/>
                <w:szCs w:val="22"/>
              </w:rPr>
              <w:t>60%</w:t>
            </w:r>
            <w:r>
              <w:rPr>
                <w:rStyle w:val="eop"/>
                <w:rFonts w:cs="Arial"/>
                <w:sz w:val="22"/>
                <w:szCs w:val="22"/>
              </w:rPr>
              <w:t> </w:t>
            </w:r>
          </w:p>
        </w:tc>
        <w:tc>
          <w:tcPr>
            <w:tcW w:w="850" w:type="dxa"/>
            <w:shd w:val="clear" w:color="auto" w:fill="FFFFFF" w:themeFill="background1"/>
          </w:tcPr>
          <w:p w14:paraId="2BC3F245" w14:textId="74FDBA85" w:rsidR="00682BA3" w:rsidRPr="008A6162" w:rsidRDefault="00682BA3" w:rsidP="00682BA3">
            <w:pPr>
              <w:jc w:val="center"/>
              <w:rPr>
                <w:rFonts w:asciiTheme="minorBidi" w:hAnsiTheme="minorBidi"/>
              </w:rPr>
            </w:pPr>
            <w:r>
              <w:rPr>
                <w:rStyle w:val="normaltextrun"/>
                <w:rFonts w:cs="Arial"/>
                <w:sz w:val="22"/>
                <w:szCs w:val="22"/>
              </w:rPr>
              <w:t>N/A</w:t>
            </w:r>
            <w:r>
              <w:rPr>
                <w:rStyle w:val="eop"/>
                <w:rFonts w:cs="Arial"/>
                <w:sz w:val="22"/>
                <w:szCs w:val="22"/>
              </w:rPr>
              <w:t> </w:t>
            </w:r>
          </w:p>
        </w:tc>
      </w:tr>
    </w:tbl>
    <w:p w14:paraId="70FEAB12" w14:textId="77777777" w:rsidR="004433D0" w:rsidRPr="008A6162" w:rsidRDefault="004433D0" w:rsidP="004433D0">
      <w:pPr>
        <w:shd w:val="clear" w:color="auto" w:fill="FFFFFF" w:themeFill="background1"/>
        <w:spacing w:after="0"/>
        <w:rPr>
          <w:rFonts w:asciiTheme="minorBidi" w:hAnsiTheme="minorBidi"/>
          <w:sz w:val="24"/>
          <w:szCs w:val="24"/>
        </w:rPr>
      </w:pPr>
    </w:p>
    <w:p w14:paraId="63259BEE" w14:textId="77777777" w:rsidR="005F6A96" w:rsidRPr="008A6162" w:rsidRDefault="005F6A96" w:rsidP="00877DF5">
      <w:pPr>
        <w:shd w:val="clear" w:color="auto" w:fill="FFFFFF" w:themeFill="background1"/>
        <w:rPr>
          <w:rFonts w:asciiTheme="minorBidi" w:hAnsiTheme="minorBidi"/>
          <w:sz w:val="24"/>
          <w:szCs w:val="24"/>
        </w:rPr>
      </w:pPr>
    </w:p>
    <w:sectPr w:rsidR="005F6A96" w:rsidRPr="008A6162" w:rsidSect="005F6A96">
      <w:footerReference w:type="first" r:id="rId49"/>
      <w:pgSz w:w="16838" w:h="11906" w:orient="landscape"/>
      <w:pgMar w:top="794" w:right="1848" w:bottom="79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3E35D" w14:textId="77777777" w:rsidR="00CF274D" w:rsidRPr="00BD47D2" w:rsidRDefault="00CF274D" w:rsidP="00355773">
      <w:pPr>
        <w:spacing w:before="0" w:after="0"/>
      </w:pPr>
      <w:r w:rsidRPr="00BD47D2">
        <w:separator/>
      </w:r>
    </w:p>
  </w:endnote>
  <w:endnote w:type="continuationSeparator" w:id="0">
    <w:p w14:paraId="2C9180FE" w14:textId="77777777" w:rsidR="00CF274D" w:rsidRPr="00BD47D2" w:rsidRDefault="00CF274D" w:rsidP="00355773">
      <w:pPr>
        <w:spacing w:before="0" w:after="0"/>
      </w:pPr>
      <w:r w:rsidRPr="00BD47D2">
        <w:continuationSeparator/>
      </w:r>
    </w:p>
  </w:endnote>
  <w:endnote w:type="continuationNotice" w:id="1">
    <w:p w14:paraId="71C531D7" w14:textId="77777777" w:rsidR="00CF274D" w:rsidRPr="00BD47D2" w:rsidRDefault="00CF27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686972"/>
      <w:docPartObj>
        <w:docPartGallery w:val="Page Numbers (Bottom of Page)"/>
        <w:docPartUnique/>
      </w:docPartObj>
    </w:sdtPr>
    <w:sdtEndPr/>
    <w:sdtContent>
      <w:sdt>
        <w:sdtPr>
          <w:id w:val="-1769616900"/>
          <w:docPartObj>
            <w:docPartGallery w:val="Page Numbers (Top of Page)"/>
            <w:docPartUnique/>
          </w:docPartObj>
        </w:sdtPr>
        <w:sdtEndPr/>
        <w:sdtContent>
          <w:p w14:paraId="6C69A80F" w14:textId="6080AF3B" w:rsidR="00B46F07" w:rsidRDefault="00B46F07">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8889B43" w14:textId="77777777" w:rsidR="00B46F07" w:rsidRDefault="00B4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64EAEEE4" w14:paraId="07F6680E" w14:textId="77777777" w:rsidTr="64EAEEE4">
      <w:trPr>
        <w:trHeight w:val="300"/>
      </w:trPr>
      <w:tc>
        <w:tcPr>
          <w:tcW w:w="3435" w:type="dxa"/>
        </w:tcPr>
        <w:p w14:paraId="4E51E3C2" w14:textId="20FCE9D3" w:rsidR="64EAEEE4" w:rsidRDefault="64EAEEE4" w:rsidP="64EAEEE4">
          <w:pPr>
            <w:pStyle w:val="Header"/>
            <w:ind w:left="-115"/>
          </w:pPr>
        </w:p>
      </w:tc>
      <w:tc>
        <w:tcPr>
          <w:tcW w:w="3435" w:type="dxa"/>
        </w:tcPr>
        <w:p w14:paraId="4C640E05" w14:textId="6616E189" w:rsidR="64EAEEE4" w:rsidRDefault="64EAEEE4" w:rsidP="64EAEEE4">
          <w:pPr>
            <w:pStyle w:val="Header"/>
            <w:jc w:val="center"/>
          </w:pPr>
        </w:p>
      </w:tc>
      <w:tc>
        <w:tcPr>
          <w:tcW w:w="3435" w:type="dxa"/>
        </w:tcPr>
        <w:p w14:paraId="39B9CB24" w14:textId="0A65FDFC" w:rsidR="64EAEEE4" w:rsidRDefault="64EAEEE4" w:rsidP="64EAEEE4">
          <w:pPr>
            <w:pStyle w:val="Header"/>
            <w:ind w:right="-115"/>
            <w:jc w:val="right"/>
          </w:pPr>
        </w:p>
      </w:tc>
    </w:tr>
  </w:tbl>
  <w:p w14:paraId="1D7F1761" w14:textId="78D8E785" w:rsidR="64EAEEE4" w:rsidRDefault="64EAEEE4" w:rsidP="64EAE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25"/>
      <w:gridCol w:w="4425"/>
      <w:gridCol w:w="4425"/>
    </w:tblGrid>
    <w:tr w:rsidR="64EAEEE4" w14:paraId="50656A94" w14:textId="77777777" w:rsidTr="64EAEEE4">
      <w:trPr>
        <w:trHeight w:val="300"/>
      </w:trPr>
      <w:tc>
        <w:tcPr>
          <w:tcW w:w="4425" w:type="dxa"/>
        </w:tcPr>
        <w:p w14:paraId="27E8E42A" w14:textId="5B6EA25A" w:rsidR="64EAEEE4" w:rsidRDefault="64EAEEE4" w:rsidP="64EAEEE4">
          <w:pPr>
            <w:pStyle w:val="Header"/>
            <w:ind w:left="-115"/>
          </w:pPr>
        </w:p>
      </w:tc>
      <w:tc>
        <w:tcPr>
          <w:tcW w:w="4425" w:type="dxa"/>
        </w:tcPr>
        <w:p w14:paraId="7A3EF0A6" w14:textId="611FF0D3" w:rsidR="64EAEEE4" w:rsidRDefault="64EAEEE4" w:rsidP="64EAEEE4">
          <w:pPr>
            <w:pStyle w:val="Header"/>
            <w:jc w:val="center"/>
          </w:pPr>
        </w:p>
      </w:tc>
      <w:tc>
        <w:tcPr>
          <w:tcW w:w="4425" w:type="dxa"/>
        </w:tcPr>
        <w:p w14:paraId="587C1D8B" w14:textId="19AC0B7B" w:rsidR="64EAEEE4" w:rsidRDefault="64EAEEE4" w:rsidP="64EAEEE4">
          <w:pPr>
            <w:pStyle w:val="Header"/>
            <w:ind w:right="-115"/>
            <w:jc w:val="right"/>
          </w:pPr>
        </w:p>
      </w:tc>
    </w:tr>
  </w:tbl>
  <w:p w14:paraId="5ABE52A0" w14:textId="6F0E374D" w:rsidR="64EAEEE4" w:rsidRDefault="64EAEEE4" w:rsidP="64EAE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8FFB" w14:textId="77777777" w:rsidR="00CF274D" w:rsidRPr="00BD47D2" w:rsidRDefault="00CF274D" w:rsidP="00355773">
      <w:pPr>
        <w:spacing w:before="0" w:after="0"/>
      </w:pPr>
      <w:r w:rsidRPr="00BD47D2">
        <w:separator/>
      </w:r>
    </w:p>
  </w:footnote>
  <w:footnote w:type="continuationSeparator" w:id="0">
    <w:p w14:paraId="6A28965D" w14:textId="77777777" w:rsidR="00CF274D" w:rsidRPr="00BD47D2" w:rsidRDefault="00CF274D" w:rsidP="00355773">
      <w:pPr>
        <w:spacing w:before="0" w:after="0"/>
      </w:pPr>
      <w:r w:rsidRPr="00BD47D2">
        <w:continuationSeparator/>
      </w:r>
    </w:p>
  </w:footnote>
  <w:footnote w:type="continuationNotice" w:id="1">
    <w:p w14:paraId="294BAB8C" w14:textId="77777777" w:rsidR="00CF274D" w:rsidRPr="00BD47D2" w:rsidRDefault="00CF274D">
      <w:pPr>
        <w:spacing w:before="0" w:after="0"/>
      </w:pPr>
    </w:p>
  </w:footnote>
  <w:footnote w:id="2">
    <w:p w14:paraId="4F20AF7D" w14:textId="77777777" w:rsidR="009869C1" w:rsidRPr="00355C34" w:rsidRDefault="009869C1" w:rsidP="009869C1">
      <w:pPr>
        <w:pStyle w:val="FootnoteText"/>
        <w:rPr>
          <w:lang w:val="en-GB"/>
        </w:rPr>
      </w:pPr>
      <w:r>
        <w:rPr>
          <w:rStyle w:val="FootnoteReference"/>
        </w:rPr>
        <w:footnoteRef/>
      </w:r>
      <w:r>
        <w:t xml:space="preserve"> </w:t>
      </w:r>
      <w:r>
        <w:rPr>
          <w:lang w:val="en-GB"/>
        </w:rPr>
        <w:t>Office for National Statistics</w:t>
      </w:r>
    </w:p>
  </w:footnote>
  <w:footnote w:id="3">
    <w:p w14:paraId="2160F54E" w14:textId="77777777" w:rsidR="00A56F44" w:rsidRPr="00355C34" w:rsidRDefault="00A56F44" w:rsidP="00A56F44">
      <w:pPr>
        <w:pStyle w:val="FootnoteText"/>
        <w:rPr>
          <w:lang w:val="en-GB"/>
        </w:rPr>
      </w:pPr>
      <w:r>
        <w:rPr>
          <w:rStyle w:val="FootnoteReference"/>
        </w:rPr>
        <w:footnoteRef/>
      </w:r>
      <w:r>
        <w:t xml:space="preserve"> </w:t>
      </w:r>
      <w:r>
        <w:rPr>
          <w:lang w:val="en-GB"/>
        </w:rPr>
        <w:t xml:space="preserve">Office for National Statistics </w:t>
      </w:r>
    </w:p>
  </w:footnote>
  <w:footnote w:id="4">
    <w:p w14:paraId="172ADEAA" w14:textId="77777777" w:rsidR="00A243B4" w:rsidRPr="00EC0C78" w:rsidRDefault="00A243B4" w:rsidP="00A243B4">
      <w:pPr>
        <w:pStyle w:val="FootnoteText"/>
        <w:rPr>
          <w:lang w:val="en-GB"/>
        </w:rPr>
      </w:pPr>
      <w:r>
        <w:rPr>
          <w:rStyle w:val="FootnoteReference"/>
        </w:rPr>
        <w:footnoteRef/>
      </w:r>
      <w:r>
        <w:t xml:space="preserve"> </w:t>
      </w:r>
      <w:hyperlink r:id="rId1" w:history="1">
        <w:r w:rsidRPr="00EC0C78">
          <w:rPr>
            <w:rStyle w:val="Hyperlink"/>
            <w:lang w:val="en-GB"/>
          </w:rPr>
          <w:t>6_4596_MOJ_SR_Infographic Women CJS_200618_v9</w:t>
        </w:r>
      </w:hyperlink>
    </w:p>
  </w:footnote>
  <w:footnote w:id="5">
    <w:p w14:paraId="62ACD987" w14:textId="77777777" w:rsidR="00A243B4" w:rsidRPr="00B82E91" w:rsidRDefault="00A243B4" w:rsidP="00A243B4">
      <w:pPr>
        <w:pStyle w:val="FootnoteText"/>
        <w:rPr>
          <w:lang w:val="en-GB"/>
        </w:rPr>
      </w:pPr>
      <w:r>
        <w:rPr>
          <w:rStyle w:val="FootnoteReference"/>
        </w:rPr>
        <w:footnoteRef/>
      </w:r>
      <w:r>
        <w:t xml:space="preserve"> </w:t>
      </w:r>
      <w:hyperlink r:id="rId2" w:history="1">
        <w:r w:rsidRPr="00B82E91">
          <w:rPr>
            <w:rStyle w:val="Hyperlink"/>
            <w:lang w:val="en-GB"/>
          </w:rPr>
          <w:t>Female Offender Strategy Delivery Plan 2022-25</w:t>
        </w:r>
      </w:hyperlink>
    </w:p>
  </w:footnote>
  <w:footnote w:id="6">
    <w:p w14:paraId="1C21EB9C" w14:textId="77777777" w:rsidR="00A243B4" w:rsidRPr="00C70122" w:rsidRDefault="00A243B4" w:rsidP="00A243B4">
      <w:pPr>
        <w:pStyle w:val="FootnoteText"/>
        <w:rPr>
          <w:lang w:val="en-GB"/>
        </w:rPr>
      </w:pPr>
      <w:r>
        <w:rPr>
          <w:rStyle w:val="FootnoteReference"/>
        </w:rPr>
        <w:footnoteRef/>
      </w:r>
      <w:r>
        <w:t xml:space="preserve"> </w:t>
      </w:r>
      <w:hyperlink r:id="rId3" w:history="1">
        <w:r w:rsidRPr="00E21DF6">
          <w:rPr>
            <w:rStyle w:val="Hyperlink"/>
            <w:lang w:val="en-GB"/>
          </w:rPr>
          <w:t>Exploring women’s experience of drug and alcohol treatment in the west midlands</w:t>
        </w:r>
      </w:hyperlink>
    </w:p>
  </w:footnote>
  <w:footnote w:id="7">
    <w:p w14:paraId="5C5871CC" w14:textId="77777777" w:rsidR="00A243B4" w:rsidRPr="00CB0120" w:rsidRDefault="00A243B4" w:rsidP="00A243B4">
      <w:pPr>
        <w:jc w:val="center"/>
        <w:rPr>
          <w:sz w:val="32"/>
          <w:szCs w:val="32"/>
        </w:rPr>
      </w:pPr>
      <w:r>
        <w:rPr>
          <w:rStyle w:val="FootnoteReference"/>
        </w:rPr>
        <w:footnoteRef/>
      </w:r>
      <w:r>
        <w:t xml:space="preserve"> South Yorkshire Whole System Approach for Women and Girls in or at risk of entering the Criminal Justice System: Scoping of services, a lived experience voice.</w:t>
      </w:r>
    </w:p>
    <w:p w14:paraId="48128CCE" w14:textId="77777777" w:rsidR="00A243B4" w:rsidRPr="00CD0B43" w:rsidRDefault="00A243B4" w:rsidP="00A243B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00D1" w14:textId="69910221" w:rsidR="00F757AC" w:rsidRPr="00B46F07" w:rsidRDefault="004D277F" w:rsidP="000212CD">
    <w:pPr>
      <w:pStyle w:val="Header"/>
      <w:spacing w:before="0"/>
      <w:jc w:val="center"/>
      <w:rPr>
        <w:color w:val="002D9C"/>
        <w:sz w:val="24"/>
        <w:szCs w:val="24"/>
      </w:rPr>
    </w:pPr>
    <w:r>
      <w:rPr>
        <w:noProof/>
        <w:color w:val="002060"/>
        <w:sz w:val="20"/>
        <w:szCs w:val="20"/>
      </w:rPr>
      <w:drawing>
        <wp:anchor distT="0" distB="0" distL="114300" distR="114300" simplePos="0" relativeHeight="251658241" behindDoc="0" locked="0" layoutInCell="1" allowOverlap="1" wp14:anchorId="371816C7" wp14:editId="17BF5AE9">
          <wp:simplePos x="0" y="0"/>
          <wp:positionH relativeFrom="column">
            <wp:posOffset>5443855</wp:posOffset>
          </wp:positionH>
          <wp:positionV relativeFrom="paragraph">
            <wp:posOffset>111125</wp:posOffset>
          </wp:positionV>
          <wp:extent cx="1123950" cy="409892"/>
          <wp:effectExtent l="0" t="0" r="0" b="9525"/>
          <wp:wrapNone/>
          <wp:docPr id="96333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9892"/>
                  </a:xfrm>
                  <a:prstGeom prst="rect">
                    <a:avLst/>
                  </a:prstGeom>
                  <a:noFill/>
                </pic:spPr>
              </pic:pic>
            </a:graphicData>
          </a:graphic>
          <wp14:sizeRelH relativeFrom="margin">
            <wp14:pctWidth>0</wp14:pctWidth>
          </wp14:sizeRelH>
          <wp14:sizeRelV relativeFrom="margin">
            <wp14:pctHeight>0</wp14:pctHeight>
          </wp14:sizeRelV>
        </wp:anchor>
      </w:drawing>
    </w:r>
    <w:r w:rsidR="000212CD" w:rsidRPr="00B46F07">
      <w:rPr>
        <w:color w:val="002D9C"/>
        <w:sz w:val="24"/>
        <w:szCs w:val="24"/>
      </w:rPr>
      <w:t>OFFICIAL</w:t>
    </w:r>
  </w:p>
  <w:p w14:paraId="34370923" w14:textId="7D6A1412" w:rsidR="00FF4DC2" w:rsidRPr="00650DC6" w:rsidRDefault="00FF4DC2" w:rsidP="00FF4DC2">
    <w:pPr>
      <w:pStyle w:val="Header"/>
      <w:spacing w:before="0"/>
      <w:rPr>
        <w:color w:val="002060"/>
        <w:sz w:val="20"/>
        <w:szCs w:val="20"/>
      </w:rPr>
    </w:pPr>
    <w:r w:rsidRPr="00650DC6">
      <w:rPr>
        <w:color w:val="002060"/>
        <w:sz w:val="20"/>
        <w:szCs w:val="20"/>
      </w:rPr>
      <w:t xml:space="preserve">Invitation to Tender – </w:t>
    </w:r>
    <w:r w:rsidRPr="00FF4DC2">
      <w:rPr>
        <w:color w:val="002060"/>
        <w:sz w:val="20"/>
        <w:szCs w:val="20"/>
      </w:rPr>
      <w:t>Statement of Requirements</w:t>
    </w:r>
  </w:p>
  <w:p w14:paraId="3E664953" w14:textId="001D7385" w:rsidR="00FF4DC2" w:rsidRPr="004D277F" w:rsidRDefault="00FF4DC2" w:rsidP="00FF4DC2">
    <w:pPr>
      <w:pStyle w:val="Header"/>
      <w:spacing w:before="0"/>
      <w:rPr>
        <w:color w:val="002060"/>
        <w:sz w:val="20"/>
        <w:szCs w:val="20"/>
      </w:rPr>
    </w:pPr>
    <w:r w:rsidRPr="004D277F">
      <w:rPr>
        <w:color w:val="002060"/>
        <w:sz w:val="20"/>
        <w:szCs w:val="20"/>
      </w:rPr>
      <w:t>Title</w:t>
    </w:r>
    <w:r w:rsidR="004D277F" w:rsidRPr="004D277F">
      <w:rPr>
        <w:color w:val="002060"/>
        <w:sz w:val="20"/>
        <w:szCs w:val="20"/>
      </w:rPr>
      <w:t>:</w:t>
    </w:r>
    <w:r w:rsidRPr="004D277F">
      <w:rPr>
        <w:color w:val="002060"/>
        <w:sz w:val="20"/>
        <w:szCs w:val="20"/>
      </w:rPr>
      <w:t xml:space="preserve"> </w:t>
    </w:r>
    <w:r w:rsidR="004D277F" w:rsidRPr="004D277F">
      <w:rPr>
        <w:color w:val="002060"/>
        <w:sz w:val="20"/>
        <w:szCs w:val="20"/>
      </w:rPr>
      <w:t>Women’s Support Services for York and North Yorkshire</w:t>
    </w:r>
  </w:p>
  <w:p w14:paraId="24C8FC64" w14:textId="04E555B0" w:rsidR="00355773" w:rsidRPr="00FF4DC2" w:rsidRDefault="00FF4DC2" w:rsidP="00FF4DC2">
    <w:pPr>
      <w:pStyle w:val="Header"/>
      <w:spacing w:before="0"/>
      <w:rPr>
        <w:color w:val="002060"/>
        <w:sz w:val="20"/>
        <w:szCs w:val="20"/>
      </w:rPr>
    </w:pPr>
    <w:r w:rsidRPr="004D277F">
      <w:rPr>
        <w:color w:val="002060"/>
        <w:sz w:val="20"/>
        <w:szCs w:val="20"/>
      </w:rPr>
      <w:t>Ref</w:t>
    </w:r>
    <w:r w:rsidR="004D277F" w:rsidRPr="004D277F">
      <w:rPr>
        <w:color w:val="002060"/>
        <w:sz w:val="20"/>
        <w:szCs w:val="20"/>
      </w:rPr>
      <w:t>:</w:t>
    </w:r>
    <w:r w:rsidRPr="004D277F">
      <w:rPr>
        <w:color w:val="002060"/>
        <w:sz w:val="20"/>
        <w:szCs w:val="20"/>
      </w:rPr>
      <w:t xml:space="preserve"> </w:t>
    </w:r>
    <w:r w:rsidR="004D277F" w:rsidRPr="004D277F">
      <w:rPr>
        <w:color w:val="002060"/>
        <w:sz w:val="20"/>
        <w:szCs w:val="20"/>
      </w:rPr>
      <w:t>2425-0068</w:t>
    </w:r>
    <w:r w:rsidR="00355773" w:rsidRPr="004D277F">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2744" w14:textId="61EBDC8A" w:rsidR="00D73DCC" w:rsidRDefault="005560B6" w:rsidP="00CB764E">
    <w:pPr>
      <w:pStyle w:val="Header"/>
      <w:jc w:val="center"/>
    </w:pPr>
    <w:r>
      <w:rPr>
        <w:noProof/>
      </w:rPr>
      <w:drawing>
        <wp:anchor distT="0" distB="0" distL="114300" distR="114300" simplePos="0" relativeHeight="251658240" behindDoc="0" locked="0" layoutInCell="1" allowOverlap="1" wp14:anchorId="03710496" wp14:editId="616F54D3">
          <wp:simplePos x="0" y="0"/>
          <wp:positionH relativeFrom="margin">
            <wp:align>center</wp:align>
          </wp:positionH>
          <wp:positionV relativeFrom="paragraph">
            <wp:posOffset>523875</wp:posOffset>
          </wp:positionV>
          <wp:extent cx="2139950" cy="780415"/>
          <wp:effectExtent l="0" t="0" r="0" b="635"/>
          <wp:wrapNone/>
          <wp:docPr id="116055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r w:rsidR="42B16236">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1D"/>
    <w:multiLevelType w:val="hybridMultilevel"/>
    <w:tmpl w:val="F63E2FEA"/>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 w15:restartNumberingAfterBreak="0">
    <w:nsid w:val="014D0C4A"/>
    <w:multiLevelType w:val="multilevel"/>
    <w:tmpl w:val="035AFC78"/>
    <w:lvl w:ilvl="0">
      <w:start w:val="1"/>
      <w:numFmt w:val="decimal"/>
      <w:lvlText w:val="%1"/>
      <w:lvlJc w:val="left"/>
      <w:pPr>
        <w:ind w:left="432" w:hanging="432"/>
      </w:pPr>
      <w:rPr>
        <w:rFonts w:asciiTheme="minorHAnsi" w:hAnsiTheme="minorHAnsi" w:hint="default"/>
        <w:b/>
        <w:color w:val="auto"/>
        <w:sz w:val="32"/>
        <w:szCs w:val="32"/>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asciiTheme="minorHAnsi" w:hAnsiTheme="minorHAnsi" w:hint="default"/>
        <w:b/>
        <w:i w:val="0"/>
        <w:iCs w:val="0"/>
        <w:color w:val="auto"/>
        <w:sz w:val="22"/>
        <w:szCs w:val="22"/>
      </w:rPr>
    </w:lvl>
    <w:lvl w:ilvl="3">
      <w:start w:val="1"/>
      <w:numFmt w:val="decimal"/>
      <w:lvlText w:val="%1.%2.%3.%4"/>
      <w:lvlJc w:val="left"/>
      <w:pPr>
        <w:ind w:left="864" w:hanging="864"/>
      </w:pPr>
      <w:rPr>
        <w:b/>
        <w:bCs/>
        <w:color w:val="auto"/>
      </w:rPr>
    </w:lvl>
    <w:lvl w:ilvl="4">
      <w:start w:val="1"/>
      <w:numFmt w:val="decimal"/>
      <w:lvlText w:val="%1.%2.%3.%4.%5"/>
      <w:lvlJc w:val="left"/>
      <w:pPr>
        <w:ind w:left="1008" w:hanging="1008"/>
      </w:pPr>
      <w:rPr>
        <w:b/>
        <w:bCs w:val="0"/>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5505C3"/>
    <w:multiLevelType w:val="hybridMultilevel"/>
    <w:tmpl w:val="67C45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7B0F10"/>
    <w:multiLevelType w:val="hybridMultilevel"/>
    <w:tmpl w:val="2CA8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D26CC"/>
    <w:multiLevelType w:val="hybridMultilevel"/>
    <w:tmpl w:val="1B562D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026242"/>
    <w:multiLevelType w:val="hybridMultilevel"/>
    <w:tmpl w:val="B72E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C1A93"/>
    <w:multiLevelType w:val="hybridMultilevel"/>
    <w:tmpl w:val="77D8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129F2"/>
    <w:multiLevelType w:val="hybridMultilevel"/>
    <w:tmpl w:val="A6F21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F93657"/>
    <w:multiLevelType w:val="hybridMultilevel"/>
    <w:tmpl w:val="A7C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C1936"/>
    <w:multiLevelType w:val="hybridMultilevel"/>
    <w:tmpl w:val="E5AC9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B1198B"/>
    <w:multiLevelType w:val="hybridMultilevel"/>
    <w:tmpl w:val="47E4598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4413A81"/>
    <w:multiLevelType w:val="hybridMultilevel"/>
    <w:tmpl w:val="AFEC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14BF7"/>
    <w:multiLevelType w:val="hybridMultilevel"/>
    <w:tmpl w:val="58BA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576B1"/>
    <w:multiLevelType w:val="hybridMultilevel"/>
    <w:tmpl w:val="852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C34D0D"/>
    <w:multiLevelType w:val="hybridMultilevel"/>
    <w:tmpl w:val="965CB5A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C51929"/>
    <w:multiLevelType w:val="hybridMultilevel"/>
    <w:tmpl w:val="E04A13A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6" w15:restartNumberingAfterBreak="0">
    <w:nsid w:val="20BD26BA"/>
    <w:multiLevelType w:val="hybridMultilevel"/>
    <w:tmpl w:val="CC84A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9EFB43"/>
    <w:multiLevelType w:val="hybridMultilevel"/>
    <w:tmpl w:val="FFFFFFFF"/>
    <w:lvl w:ilvl="0" w:tplc="EA160686">
      <w:start w:val="1"/>
      <w:numFmt w:val="bullet"/>
      <w:lvlText w:val=""/>
      <w:lvlJc w:val="left"/>
      <w:pPr>
        <w:ind w:left="1288" w:hanging="360"/>
      </w:pPr>
      <w:rPr>
        <w:rFonts w:ascii="Symbol" w:hAnsi="Symbol" w:hint="default"/>
      </w:rPr>
    </w:lvl>
    <w:lvl w:ilvl="1" w:tplc="95568570">
      <w:start w:val="1"/>
      <w:numFmt w:val="bullet"/>
      <w:lvlText w:val="o"/>
      <w:lvlJc w:val="left"/>
      <w:pPr>
        <w:ind w:left="1440" w:hanging="360"/>
      </w:pPr>
      <w:rPr>
        <w:rFonts w:ascii="Courier New" w:hAnsi="Courier New" w:hint="default"/>
      </w:rPr>
    </w:lvl>
    <w:lvl w:ilvl="2" w:tplc="BC00FEDE">
      <w:start w:val="1"/>
      <w:numFmt w:val="bullet"/>
      <w:lvlText w:val=""/>
      <w:lvlJc w:val="left"/>
      <w:pPr>
        <w:ind w:left="2160" w:hanging="360"/>
      </w:pPr>
      <w:rPr>
        <w:rFonts w:ascii="Wingdings" w:hAnsi="Wingdings" w:hint="default"/>
      </w:rPr>
    </w:lvl>
    <w:lvl w:ilvl="3" w:tplc="2DB016B4">
      <w:start w:val="1"/>
      <w:numFmt w:val="bullet"/>
      <w:lvlText w:val=""/>
      <w:lvlJc w:val="left"/>
      <w:pPr>
        <w:ind w:left="2880" w:hanging="360"/>
      </w:pPr>
      <w:rPr>
        <w:rFonts w:ascii="Symbol" w:hAnsi="Symbol" w:hint="default"/>
      </w:rPr>
    </w:lvl>
    <w:lvl w:ilvl="4" w:tplc="5906AB3A">
      <w:start w:val="1"/>
      <w:numFmt w:val="bullet"/>
      <w:lvlText w:val="o"/>
      <w:lvlJc w:val="left"/>
      <w:pPr>
        <w:ind w:left="3600" w:hanging="360"/>
      </w:pPr>
      <w:rPr>
        <w:rFonts w:ascii="Courier New" w:hAnsi="Courier New" w:hint="default"/>
      </w:rPr>
    </w:lvl>
    <w:lvl w:ilvl="5" w:tplc="3AFC2F84">
      <w:start w:val="1"/>
      <w:numFmt w:val="bullet"/>
      <w:lvlText w:val=""/>
      <w:lvlJc w:val="left"/>
      <w:pPr>
        <w:ind w:left="4320" w:hanging="360"/>
      </w:pPr>
      <w:rPr>
        <w:rFonts w:ascii="Wingdings" w:hAnsi="Wingdings" w:hint="default"/>
      </w:rPr>
    </w:lvl>
    <w:lvl w:ilvl="6" w:tplc="33C8CBC8">
      <w:start w:val="1"/>
      <w:numFmt w:val="bullet"/>
      <w:lvlText w:val=""/>
      <w:lvlJc w:val="left"/>
      <w:pPr>
        <w:ind w:left="5040" w:hanging="360"/>
      </w:pPr>
      <w:rPr>
        <w:rFonts w:ascii="Symbol" w:hAnsi="Symbol" w:hint="default"/>
      </w:rPr>
    </w:lvl>
    <w:lvl w:ilvl="7" w:tplc="494A2FCE">
      <w:start w:val="1"/>
      <w:numFmt w:val="bullet"/>
      <w:lvlText w:val="o"/>
      <w:lvlJc w:val="left"/>
      <w:pPr>
        <w:ind w:left="5760" w:hanging="360"/>
      </w:pPr>
      <w:rPr>
        <w:rFonts w:ascii="Courier New" w:hAnsi="Courier New" w:hint="default"/>
      </w:rPr>
    </w:lvl>
    <w:lvl w:ilvl="8" w:tplc="5734EE36">
      <w:start w:val="1"/>
      <w:numFmt w:val="bullet"/>
      <w:lvlText w:val=""/>
      <w:lvlJc w:val="left"/>
      <w:pPr>
        <w:ind w:left="6480" w:hanging="360"/>
      </w:pPr>
      <w:rPr>
        <w:rFonts w:ascii="Wingdings" w:hAnsi="Wingdings" w:hint="default"/>
      </w:rPr>
    </w:lvl>
  </w:abstractNum>
  <w:abstractNum w:abstractNumId="18" w15:restartNumberingAfterBreak="0">
    <w:nsid w:val="32DA0A1B"/>
    <w:multiLevelType w:val="hybridMultilevel"/>
    <w:tmpl w:val="BE00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9F02A1"/>
    <w:multiLevelType w:val="multilevel"/>
    <w:tmpl w:val="91FAAB0E"/>
    <w:lvl w:ilvl="0">
      <w:start w:val="1"/>
      <w:numFmt w:val="decimal"/>
      <w:lvlText w:val="%1"/>
      <w:lvlJc w:val="left"/>
      <w:pPr>
        <w:ind w:left="432" w:hanging="432"/>
      </w:pPr>
      <w:rPr>
        <w:rFonts w:asciiTheme="minorHAnsi" w:hAnsiTheme="minorHAnsi" w:hint="default"/>
        <w:b/>
        <w:color w:val="auto"/>
        <w:sz w:val="32"/>
        <w:szCs w:val="32"/>
      </w:rPr>
    </w:lvl>
    <w:lvl w:ilvl="1">
      <w:start w:val="1"/>
      <w:numFmt w:val="decimal"/>
      <w:lvlText w:val="%1.%2"/>
      <w:lvlJc w:val="left"/>
      <w:pPr>
        <w:ind w:left="576" w:hanging="576"/>
      </w:pPr>
      <w:rPr>
        <w:rFonts w:asciiTheme="minorHAnsi" w:hAnsiTheme="minorHAnsi" w:hint="default"/>
        <w:b/>
        <w:color w:val="auto"/>
        <w:sz w:val="22"/>
      </w:rPr>
    </w:lvl>
    <w:lvl w:ilvl="2">
      <w:start w:val="1"/>
      <w:numFmt w:val="decimal"/>
      <w:lvlText w:val="%1.%2.%3"/>
      <w:lvlJc w:val="left"/>
      <w:pPr>
        <w:ind w:left="720" w:hanging="720"/>
      </w:pPr>
      <w:rPr>
        <w:rFonts w:asciiTheme="minorHAnsi" w:hAnsiTheme="minorHAnsi" w:hint="default"/>
        <w:b/>
        <w:i w:val="0"/>
        <w:iCs w:val="0"/>
        <w:color w:val="auto"/>
        <w:sz w:val="22"/>
        <w:szCs w:val="22"/>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b/>
        <w:bCs w:val="0"/>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A366777"/>
    <w:multiLevelType w:val="hybridMultilevel"/>
    <w:tmpl w:val="1164918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1" w15:restartNumberingAfterBreak="0">
    <w:nsid w:val="3A713995"/>
    <w:multiLevelType w:val="hybridMultilevel"/>
    <w:tmpl w:val="6E8C76E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2" w15:restartNumberingAfterBreak="0">
    <w:nsid w:val="3B2C561A"/>
    <w:multiLevelType w:val="hybridMultilevel"/>
    <w:tmpl w:val="907E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2C2355"/>
    <w:multiLevelType w:val="hybridMultilevel"/>
    <w:tmpl w:val="504C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C140E"/>
    <w:multiLevelType w:val="multilevel"/>
    <w:tmpl w:val="04E8AACE"/>
    <w:lvl w:ilvl="0">
      <w:start w:val="1"/>
      <w:numFmt w:val="decimal"/>
      <w:lvlText w:val="%1."/>
      <w:lvlJc w:val="left"/>
      <w:pPr>
        <w:ind w:left="360" w:hanging="360"/>
      </w:pPr>
      <w:rPr>
        <w:rFonts w:asciiTheme="minorHAnsi" w:hAnsiTheme="minorHAnsi" w:cs="Arial" w:hint="default"/>
        <w:b/>
        <w:sz w:val="22"/>
        <w:szCs w:val="22"/>
      </w:rPr>
    </w:lvl>
    <w:lvl w:ilvl="1">
      <w:start w:val="1"/>
      <w:numFmt w:val="decimal"/>
      <w:lvlText w:val="%1.%2."/>
      <w:lvlJc w:val="left"/>
      <w:pPr>
        <w:ind w:left="792" w:hanging="432"/>
      </w:pPr>
      <w:rPr>
        <w:rFonts w:asciiTheme="minorHAnsi" w:hAnsiTheme="minorHAnsi" w:cs="Arial" w:hint="default"/>
        <w:b/>
        <w:sz w:val="22"/>
        <w:szCs w:val="22"/>
      </w:rPr>
    </w:lvl>
    <w:lvl w:ilvl="2">
      <w:start w:val="1"/>
      <w:numFmt w:val="decimal"/>
      <w:lvlText w:val="%1.%2.%3."/>
      <w:lvlJc w:val="left"/>
      <w:pPr>
        <w:ind w:left="851" w:hanging="851"/>
      </w:pPr>
      <w:rPr>
        <w:rFonts w:cs="Times New Roman" w:hint="default"/>
        <w:b w:val="0"/>
        <w:color w:val="auto"/>
        <w:sz w:val="22"/>
      </w:rPr>
    </w:lvl>
    <w:lvl w:ilvl="3">
      <w:start w:val="1"/>
      <w:numFmt w:val="decimal"/>
      <w:lvlText w:val="%1.%2.%3.%4."/>
      <w:lvlJc w:val="left"/>
      <w:pPr>
        <w:ind w:left="1728" w:hanging="1161"/>
      </w:pPr>
      <w:rPr>
        <w:rFonts w:cs="Times New Roman" w:hint="default"/>
        <w:b w:val="0"/>
        <w:color w:val="auto"/>
      </w:rPr>
    </w:lvl>
    <w:lvl w:ilvl="4">
      <w:start w:val="1"/>
      <w:numFmt w:val="decimal"/>
      <w:lvlText w:val="%1.%2.%3.%4.%5."/>
      <w:lvlJc w:val="left"/>
      <w:pPr>
        <w:ind w:left="1701" w:hanging="261"/>
      </w:pPr>
      <w:rPr>
        <w:rFonts w:cs="Times New Roman" w:hint="default"/>
        <w:b w:val="0"/>
        <w:color w:val="auto"/>
        <w:sz w:val="22"/>
        <w:szCs w:val="22"/>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3D604810"/>
    <w:multiLevelType w:val="hybridMultilevel"/>
    <w:tmpl w:val="8520B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1D649D"/>
    <w:multiLevelType w:val="multilevel"/>
    <w:tmpl w:val="21C607B2"/>
    <w:lvl w:ilvl="0">
      <w:start w:val="1"/>
      <w:numFmt w:val="bullet"/>
      <w:lvlText w:val=""/>
      <w:lvlJc w:val="left"/>
      <w:pPr>
        <w:ind w:left="1152" w:hanging="432"/>
      </w:pPr>
      <w:rPr>
        <w:rFonts w:ascii="Symbol" w:hAnsi="Symbol" w:hint="default"/>
        <w:b/>
        <w:color w:val="auto"/>
      </w:rPr>
    </w:lvl>
    <w:lvl w:ilvl="1">
      <w:start w:val="1"/>
      <w:numFmt w:val="decimal"/>
      <w:lvlText w:val="%1.%2"/>
      <w:lvlJc w:val="left"/>
      <w:pPr>
        <w:ind w:left="1296" w:hanging="576"/>
      </w:pPr>
      <w:rPr>
        <w:rFonts w:asciiTheme="minorHAnsi" w:hAnsiTheme="minorHAnsi" w:hint="default"/>
        <w:b/>
        <w:color w:val="auto"/>
        <w:sz w:val="22"/>
      </w:rPr>
    </w:lvl>
    <w:lvl w:ilvl="2">
      <w:start w:val="1"/>
      <w:numFmt w:val="decimal"/>
      <w:lvlText w:val="%1.%2.%3"/>
      <w:lvlJc w:val="left"/>
      <w:pPr>
        <w:ind w:left="1440" w:hanging="720"/>
      </w:pPr>
      <w:rPr>
        <w:rFonts w:asciiTheme="minorHAnsi" w:hAnsiTheme="minorHAnsi" w:hint="default"/>
        <w:b/>
        <w:color w:val="auto"/>
      </w:rPr>
    </w:lvl>
    <w:lvl w:ilvl="3">
      <w:start w:val="1"/>
      <w:numFmt w:val="bullet"/>
      <w:lvlText w:val=""/>
      <w:lvlJc w:val="left"/>
      <w:pPr>
        <w:ind w:left="1080" w:hanging="360"/>
      </w:pPr>
      <w:rPr>
        <w:rFonts w:ascii="Symbol" w:hAnsi="Symbol" w:hint="default"/>
      </w:rPr>
    </w:lvl>
    <w:lvl w:ilvl="4">
      <w:start w:val="1"/>
      <w:numFmt w:val="decimal"/>
      <w:lvlText w:val="%1.%2.%3.%4.%5"/>
      <w:lvlJc w:val="left"/>
      <w:pPr>
        <w:ind w:left="1728" w:hanging="1008"/>
      </w:pPr>
      <w:rPr>
        <w:b w:val="0"/>
      </w:r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477D4A3C"/>
    <w:multiLevelType w:val="hybridMultilevel"/>
    <w:tmpl w:val="62802CB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49EC3649"/>
    <w:multiLevelType w:val="hybridMultilevel"/>
    <w:tmpl w:val="B4AA9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0B122C"/>
    <w:multiLevelType w:val="hybridMultilevel"/>
    <w:tmpl w:val="60C6175E"/>
    <w:lvl w:ilvl="0" w:tplc="BB485DBC">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0" w15:restartNumberingAfterBreak="0">
    <w:nsid w:val="531226CE"/>
    <w:multiLevelType w:val="hybridMultilevel"/>
    <w:tmpl w:val="DEE80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4F19BF"/>
    <w:multiLevelType w:val="hybridMultilevel"/>
    <w:tmpl w:val="D5CEDBF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2" w15:restartNumberingAfterBreak="0">
    <w:nsid w:val="548E1668"/>
    <w:multiLevelType w:val="multilevel"/>
    <w:tmpl w:val="906A9D40"/>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171"/>
        </w:tabs>
        <w:ind w:left="0" w:firstLine="0"/>
      </w:pPr>
      <w:rPr>
        <w:rFonts w:hint="default"/>
        <w:b w:val="0"/>
        <w:bCs w:val="0"/>
        <w:sz w:val="22"/>
        <w:szCs w:val="22"/>
      </w:rPr>
    </w:lvl>
    <w:lvl w:ilvl="2">
      <w:start w:val="1"/>
      <w:numFmt w:val="decimal"/>
      <w:lvlRestart w:val="0"/>
      <w:pStyle w:val="Heading3"/>
      <w:lvlText w:val="%1.%2.%3"/>
      <w:lvlJc w:val="left"/>
      <w:pPr>
        <w:ind w:left="568" w:firstLine="0"/>
      </w:pPr>
      <w:rPr>
        <w:rFonts w:hint="default"/>
        <w:b w:val="0"/>
        <w:bCs/>
        <w:sz w:val="22"/>
        <w:szCs w:val="22"/>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33" w15:restartNumberingAfterBreak="0">
    <w:nsid w:val="55817BE2"/>
    <w:multiLevelType w:val="hybridMultilevel"/>
    <w:tmpl w:val="D5C0DC6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4" w15:restartNumberingAfterBreak="0">
    <w:nsid w:val="5B8C44F0"/>
    <w:multiLevelType w:val="hybridMultilevel"/>
    <w:tmpl w:val="CC86C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6026566D"/>
    <w:multiLevelType w:val="hybridMultilevel"/>
    <w:tmpl w:val="D64236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76F5CA1"/>
    <w:multiLevelType w:val="hybridMultilevel"/>
    <w:tmpl w:val="D62CFB5E"/>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7" w15:restartNumberingAfterBreak="0">
    <w:nsid w:val="6A04765A"/>
    <w:multiLevelType w:val="hybridMultilevel"/>
    <w:tmpl w:val="68EEE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A72692C"/>
    <w:multiLevelType w:val="hybridMultilevel"/>
    <w:tmpl w:val="E4FC36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FB79AC"/>
    <w:multiLevelType w:val="hybridMultilevel"/>
    <w:tmpl w:val="D460F03A"/>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0" w15:restartNumberingAfterBreak="0">
    <w:nsid w:val="6EEC2AC6"/>
    <w:multiLevelType w:val="hybridMultilevel"/>
    <w:tmpl w:val="696E002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1" w15:restartNumberingAfterBreak="0">
    <w:nsid w:val="6FA67453"/>
    <w:multiLevelType w:val="hybridMultilevel"/>
    <w:tmpl w:val="C8B2C7F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2" w15:restartNumberingAfterBreak="0">
    <w:nsid w:val="7082722B"/>
    <w:multiLevelType w:val="hybridMultilevel"/>
    <w:tmpl w:val="3030E828"/>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3" w15:restartNumberingAfterBreak="0">
    <w:nsid w:val="71410D55"/>
    <w:multiLevelType w:val="hybridMultilevel"/>
    <w:tmpl w:val="7EFE433E"/>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4" w15:restartNumberingAfterBreak="0">
    <w:nsid w:val="72F445CA"/>
    <w:multiLevelType w:val="hybridMultilevel"/>
    <w:tmpl w:val="56AA1A3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5" w15:restartNumberingAfterBreak="0">
    <w:nsid w:val="75103E2E"/>
    <w:multiLevelType w:val="hybridMultilevel"/>
    <w:tmpl w:val="C70C8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6" w15:restartNumberingAfterBreak="0">
    <w:nsid w:val="76630B27"/>
    <w:multiLevelType w:val="hybridMultilevel"/>
    <w:tmpl w:val="5D947BB8"/>
    <w:lvl w:ilvl="0" w:tplc="08090001">
      <w:start w:val="1"/>
      <w:numFmt w:val="bullet"/>
      <w:lvlText w:val=""/>
      <w:lvlJc w:val="left"/>
      <w:pPr>
        <w:ind w:left="-345" w:hanging="360"/>
      </w:pPr>
      <w:rPr>
        <w:rFonts w:ascii="Symbol" w:hAnsi="Symbol" w:hint="default"/>
      </w:rPr>
    </w:lvl>
    <w:lvl w:ilvl="1" w:tplc="08090003">
      <w:start w:val="1"/>
      <w:numFmt w:val="bullet"/>
      <w:lvlText w:val="o"/>
      <w:lvlJc w:val="left"/>
      <w:pPr>
        <w:ind w:left="375" w:hanging="360"/>
      </w:pPr>
      <w:rPr>
        <w:rFonts w:ascii="Courier New" w:hAnsi="Courier New" w:cs="Courier New" w:hint="default"/>
      </w:rPr>
    </w:lvl>
    <w:lvl w:ilvl="2" w:tplc="08090005">
      <w:start w:val="1"/>
      <w:numFmt w:val="bullet"/>
      <w:lvlText w:val=""/>
      <w:lvlJc w:val="left"/>
      <w:pPr>
        <w:ind w:left="1095" w:hanging="360"/>
      </w:pPr>
      <w:rPr>
        <w:rFonts w:ascii="Wingdings" w:hAnsi="Wingdings" w:hint="default"/>
      </w:rPr>
    </w:lvl>
    <w:lvl w:ilvl="3" w:tplc="08090001" w:tentative="1">
      <w:start w:val="1"/>
      <w:numFmt w:val="bullet"/>
      <w:lvlText w:val=""/>
      <w:lvlJc w:val="left"/>
      <w:pPr>
        <w:ind w:left="1815" w:hanging="360"/>
      </w:pPr>
      <w:rPr>
        <w:rFonts w:ascii="Symbol" w:hAnsi="Symbol" w:hint="default"/>
      </w:rPr>
    </w:lvl>
    <w:lvl w:ilvl="4" w:tplc="08090003" w:tentative="1">
      <w:start w:val="1"/>
      <w:numFmt w:val="bullet"/>
      <w:lvlText w:val="o"/>
      <w:lvlJc w:val="left"/>
      <w:pPr>
        <w:ind w:left="2535" w:hanging="360"/>
      </w:pPr>
      <w:rPr>
        <w:rFonts w:ascii="Courier New" w:hAnsi="Courier New" w:cs="Courier New" w:hint="default"/>
      </w:rPr>
    </w:lvl>
    <w:lvl w:ilvl="5" w:tplc="08090005" w:tentative="1">
      <w:start w:val="1"/>
      <w:numFmt w:val="bullet"/>
      <w:lvlText w:val=""/>
      <w:lvlJc w:val="left"/>
      <w:pPr>
        <w:ind w:left="3255" w:hanging="360"/>
      </w:pPr>
      <w:rPr>
        <w:rFonts w:ascii="Wingdings" w:hAnsi="Wingdings" w:hint="default"/>
      </w:rPr>
    </w:lvl>
    <w:lvl w:ilvl="6" w:tplc="08090001" w:tentative="1">
      <w:start w:val="1"/>
      <w:numFmt w:val="bullet"/>
      <w:lvlText w:val=""/>
      <w:lvlJc w:val="left"/>
      <w:pPr>
        <w:ind w:left="3975" w:hanging="360"/>
      </w:pPr>
      <w:rPr>
        <w:rFonts w:ascii="Symbol" w:hAnsi="Symbol" w:hint="default"/>
      </w:rPr>
    </w:lvl>
    <w:lvl w:ilvl="7" w:tplc="08090003" w:tentative="1">
      <w:start w:val="1"/>
      <w:numFmt w:val="bullet"/>
      <w:lvlText w:val="o"/>
      <w:lvlJc w:val="left"/>
      <w:pPr>
        <w:ind w:left="4695" w:hanging="360"/>
      </w:pPr>
      <w:rPr>
        <w:rFonts w:ascii="Courier New" w:hAnsi="Courier New" w:cs="Courier New" w:hint="default"/>
      </w:rPr>
    </w:lvl>
    <w:lvl w:ilvl="8" w:tplc="08090005" w:tentative="1">
      <w:start w:val="1"/>
      <w:numFmt w:val="bullet"/>
      <w:lvlText w:val=""/>
      <w:lvlJc w:val="left"/>
      <w:pPr>
        <w:ind w:left="5415" w:hanging="360"/>
      </w:pPr>
      <w:rPr>
        <w:rFonts w:ascii="Wingdings" w:hAnsi="Wingdings" w:hint="default"/>
      </w:rPr>
    </w:lvl>
  </w:abstractNum>
  <w:abstractNum w:abstractNumId="47" w15:restartNumberingAfterBreak="0">
    <w:nsid w:val="7E3D42C0"/>
    <w:multiLevelType w:val="hybridMultilevel"/>
    <w:tmpl w:val="1468382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num w:numId="1" w16cid:durableId="998312458">
    <w:abstractNumId w:val="17"/>
  </w:num>
  <w:num w:numId="2" w16cid:durableId="1838573294">
    <w:abstractNumId w:val="32"/>
  </w:num>
  <w:num w:numId="3" w16cid:durableId="642587372">
    <w:abstractNumId w:val="5"/>
  </w:num>
  <w:num w:numId="4" w16cid:durableId="584652459">
    <w:abstractNumId w:val="32"/>
  </w:num>
  <w:num w:numId="5" w16cid:durableId="1302153446">
    <w:abstractNumId w:val="32"/>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497698">
    <w:abstractNumId w:val="34"/>
  </w:num>
  <w:num w:numId="7" w16cid:durableId="390810789">
    <w:abstractNumId w:val="32"/>
  </w:num>
  <w:num w:numId="8" w16cid:durableId="1748727631">
    <w:abstractNumId w:val="29"/>
  </w:num>
  <w:num w:numId="9" w16cid:durableId="1030104070">
    <w:abstractNumId w:val="23"/>
  </w:num>
  <w:num w:numId="10" w16cid:durableId="55326566">
    <w:abstractNumId w:val="8"/>
  </w:num>
  <w:num w:numId="11" w16cid:durableId="1759058297">
    <w:abstractNumId w:val="38"/>
  </w:num>
  <w:num w:numId="12" w16cid:durableId="2120489717">
    <w:abstractNumId w:val="14"/>
  </w:num>
  <w:num w:numId="13" w16cid:durableId="1131481328">
    <w:abstractNumId w:val="3"/>
  </w:num>
  <w:num w:numId="14" w16cid:durableId="2116359625">
    <w:abstractNumId w:val="45"/>
  </w:num>
  <w:num w:numId="15" w16cid:durableId="846485192">
    <w:abstractNumId w:val="19"/>
  </w:num>
  <w:num w:numId="16" w16cid:durableId="17697408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0836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71377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11312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439368">
    <w:abstractNumId w:val="31"/>
  </w:num>
  <w:num w:numId="21" w16cid:durableId="5325733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93815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9229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7272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34737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2474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77031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7615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48587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62053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7711108">
    <w:abstractNumId w:val="15"/>
  </w:num>
  <w:num w:numId="32" w16cid:durableId="1974208116">
    <w:abstractNumId w:val="27"/>
  </w:num>
  <w:num w:numId="33" w16cid:durableId="1648700647">
    <w:abstractNumId w:val="33"/>
  </w:num>
  <w:num w:numId="34" w16cid:durableId="1103458323">
    <w:abstractNumId w:val="28"/>
  </w:num>
  <w:num w:numId="35" w16cid:durableId="1880360871">
    <w:abstractNumId w:val="30"/>
  </w:num>
  <w:num w:numId="36" w16cid:durableId="2027754206">
    <w:abstractNumId w:val="4"/>
  </w:num>
  <w:num w:numId="37" w16cid:durableId="935210184">
    <w:abstractNumId w:val="16"/>
  </w:num>
  <w:num w:numId="38" w16cid:durableId="981274850">
    <w:abstractNumId w:val="40"/>
  </w:num>
  <w:num w:numId="39" w16cid:durableId="3657126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47454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90554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04496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3182042">
    <w:abstractNumId w:val="43"/>
  </w:num>
  <w:num w:numId="44" w16cid:durableId="5370913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0939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3864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81786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1772295">
    <w:abstractNumId w:val="21"/>
  </w:num>
  <w:num w:numId="49" w16cid:durableId="8315996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652074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93302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48522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7002859">
    <w:abstractNumId w:val="24"/>
  </w:num>
  <w:num w:numId="54" w16cid:durableId="800270525">
    <w:abstractNumId w:val="13"/>
  </w:num>
  <w:num w:numId="55" w16cid:durableId="955480532">
    <w:abstractNumId w:val="6"/>
  </w:num>
  <w:num w:numId="56" w16cid:durableId="1650863736">
    <w:abstractNumId w:val="41"/>
  </w:num>
  <w:num w:numId="57" w16cid:durableId="736132248">
    <w:abstractNumId w:val="18"/>
  </w:num>
  <w:num w:numId="58" w16cid:durableId="1534539679">
    <w:abstractNumId w:val="10"/>
  </w:num>
  <w:num w:numId="59" w16cid:durableId="757021857">
    <w:abstractNumId w:val="26"/>
  </w:num>
  <w:num w:numId="60" w16cid:durableId="312295104">
    <w:abstractNumId w:val="1"/>
  </w:num>
  <w:num w:numId="61" w16cid:durableId="2727896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957896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6457716">
    <w:abstractNumId w:val="42"/>
  </w:num>
  <w:num w:numId="64" w16cid:durableId="1911966277">
    <w:abstractNumId w:val="0"/>
  </w:num>
  <w:num w:numId="65" w16cid:durableId="340544506">
    <w:abstractNumId w:val="39"/>
  </w:num>
  <w:num w:numId="66" w16cid:durableId="16319820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451853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13157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641386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279660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853609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35914501">
    <w:abstractNumId w:val="35"/>
  </w:num>
  <w:num w:numId="73" w16cid:durableId="19439547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93690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99910239">
    <w:abstractNumId w:val="36"/>
  </w:num>
  <w:num w:numId="76" w16cid:durableId="1997790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959364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01734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94514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33329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923584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90738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05570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0313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22304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92239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681803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781672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544923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611237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66361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9375255">
    <w:abstractNumId w:val="44"/>
  </w:num>
  <w:num w:numId="93" w16cid:durableId="294214383">
    <w:abstractNumId w:val="25"/>
  </w:num>
  <w:num w:numId="94" w16cid:durableId="36129459">
    <w:abstractNumId w:val="2"/>
  </w:num>
  <w:num w:numId="95" w16cid:durableId="1747727713">
    <w:abstractNumId w:val="46"/>
  </w:num>
  <w:num w:numId="96" w16cid:durableId="365299622">
    <w:abstractNumId w:val="9"/>
  </w:num>
  <w:num w:numId="97" w16cid:durableId="1486386746">
    <w:abstractNumId w:val="37"/>
  </w:num>
  <w:num w:numId="98" w16cid:durableId="1211305954">
    <w:abstractNumId w:val="47"/>
  </w:num>
  <w:num w:numId="99" w16cid:durableId="1315916812">
    <w:abstractNumId w:val="20"/>
  </w:num>
  <w:num w:numId="100" w16cid:durableId="1797672601">
    <w:abstractNumId w:val="7"/>
  </w:num>
  <w:num w:numId="101" w16cid:durableId="9045308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651973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380542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117514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468538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224378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23146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687051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466737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282473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629772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279167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183770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021448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56789746">
    <w:abstractNumId w:val="12"/>
  </w:num>
  <w:num w:numId="116" w16cid:durableId="1086802266">
    <w:abstractNumId w:val="22"/>
  </w:num>
  <w:num w:numId="117" w16cid:durableId="1576432391">
    <w:abstractNumId w:val="1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133"/>
    <w:rsid w:val="000030D9"/>
    <w:rsid w:val="00006085"/>
    <w:rsid w:val="0001086E"/>
    <w:rsid w:val="00013CA3"/>
    <w:rsid w:val="0001474C"/>
    <w:rsid w:val="00014E7C"/>
    <w:rsid w:val="0001583C"/>
    <w:rsid w:val="00016786"/>
    <w:rsid w:val="00020683"/>
    <w:rsid w:val="000212CD"/>
    <w:rsid w:val="00030AF7"/>
    <w:rsid w:val="00033042"/>
    <w:rsid w:val="000333EF"/>
    <w:rsid w:val="0003570E"/>
    <w:rsid w:val="00036204"/>
    <w:rsid w:val="00040D75"/>
    <w:rsid w:val="0004152D"/>
    <w:rsid w:val="000417A3"/>
    <w:rsid w:val="000418D3"/>
    <w:rsid w:val="000426E5"/>
    <w:rsid w:val="00042CD9"/>
    <w:rsid w:val="00043B1D"/>
    <w:rsid w:val="00043FEA"/>
    <w:rsid w:val="00050A14"/>
    <w:rsid w:val="00054E95"/>
    <w:rsid w:val="000557E4"/>
    <w:rsid w:val="00055D3C"/>
    <w:rsid w:val="0005656D"/>
    <w:rsid w:val="00056764"/>
    <w:rsid w:val="000623D2"/>
    <w:rsid w:val="00063554"/>
    <w:rsid w:val="000640F7"/>
    <w:rsid w:val="00065AE9"/>
    <w:rsid w:val="000711EE"/>
    <w:rsid w:val="00071776"/>
    <w:rsid w:val="00077B71"/>
    <w:rsid w:val="0008024B"/>
    <w:rsid w:val="00080538"/>
    <w:rsid w:val="000808F8"/>
    <w:rsid w:val="00080C7C"/>
    <w:rsid w:val="00081DF5"/>
    <w:rsid w:val="00084BEA"/>
    <w:rsid w:val="00086E0E"/>
    <w:rsid w:val="000929A6"/>
    <w:rsid w:val="00093945"/>
    <w:rsid w:val="00097A4B"/>
    <w:rsid w:val="000A0F62"/>
    <w:rsid w:val="000A3888"/>
    <w:rsid w:val="000A3B51"/>
    <w:rsid w:val="000A5509"/>
    <w:rsid w:val="000A5C76"/>
    <w:rsid w:val="000B29CC"/>
    <w:rsid w:val="000B2FDB"/>
    <w:rsid w:val="000B5DC5"/>
    <w:rsid w:val="000C1EBC"/>
    <w:rsid w:val="000C21E3"/>
    <w:rsid w:val="000C34F2"/>
    <w:rsid w:val="000C382C"/>
    <w:rsid w:val="000C4A3A"/>
    <w:rsid w:val="000C76D6"/>
    <w:rsid w:val="000D4359"/>
    <w:rsid w:val="000D5EA1"/>
    <w:rsid w:val="000D6DCE"/>
    <w:rsid w:val="000D75F8"/>
    <w:rsid w:val="000D7C2C"/>
    <w:rsid w:val="000E3AC9"/>
    <w:rsid w:val="000E5A12"/>
    <w:rsid w:val="000E6485"/>
    <w:rsid w:val="000E6C4D"/>
    <w:rsid w:val="000F046A"/>
    <w:rsid w:val="000F0CEC"/>
    <w:rsid w:val="000F42A0"/>
    <w:rsid w:val="00101095"/>
    <w:rsid w:val="00101650"/>
    <w:rsid w:val="001018AE"/>
    <w:rsid w:val="00103D2E"/>
    <w:rsid w:val="00104E5D"/>
    <w:rsid w:val="00110773"/>
    <w:rsid w:val="00110C2A"/>
    <w:rsid w:val="001123EC"/>
    <w:rsid w:val="00112EC5"/>
    <w:rsid w:val="0011453F"/>
    <w:rsid w:val="00117A2B"/>
    <w:rsid w:val="0012105C"/>
    <w:rsid w:val="0012492D"/>
    <w:rsid w:val="00125599"/>
    <w:rsid w:val="00131AB0"/>
    <w:rsid w:val="00132742"/>
    <w:rsid w:val="0013471A"/>
    <w:rsid w:val="00136130"/>
    <w:rsid w:val="00137EAE"/>
    <w:rsid w:val="00140186"/>
    <w:rsid w:val="00145DC0"/>
    <w:rsid w:val="00146057"/>
    <w:rsid w:val="00155E8F"/>
    <w:rsid w:val="001615B4"/>
    <w:rsid w:val="00161F83"/>
    <w:rsid w:val="001675AD"/>
    <w:rsid w:val="00170764"/>
    <w:rsid w:val="0017097A"/>
    <w:rsid w:val="00171AE9"/>
    <w:rsid w:val="00171D64"/>
    <w:rsid w:val="001732C8"/>
    <w:rsid w:val="00175CED"/>
    <w:rsid w:val="00175F0E"/>
    <w:rsid w:val="0018132A"/>
    <w:rsid w:val="00182C5E"/>
    <w:rsid w:val="00183968"/>
    <w:rsid w:val="001852E0"/>
    <w:rsid w:val="00186ACE"/>
    <w:rsid w:val="0019315B"/>
    <w:rsid w:val="0019435F"/>
    <w:rsid w:val="00194F4A"/>
    <w:rsid w:val="00195FFF"/>
    <w:rsid w:val="00196D22"/>
    <w:rsid w:val="001A599E"/>
    <w:rsid w:val="001A74D6"/>
    <w:rsid w:val="001A799F"/>
    <w:rsid w:val="001A7AA4"/>
    <w:rsid w:val="001B0027"/>
    <w:rsid w:val="001B345B"/>
    <w:rsid w:val="001B4508"/>
    <w:rsid w:val="001B75E7"/>
    <w:rsid w:val="001C18D7"/>
    <w:rsid w:val="001C4A44"/>
    <w:rsid w:val="001C738D"/>
    <w:rsid w:val="001D1026"/>
    <w:rsid w:val="001D2944"/>
    <w:rsid w:val="001D3116"/>
    <w:rsid w:val="001D3974"/>
    <w:rsid w:val="001D4757"/>
    <w:rsid w:val="001D6DA1"/>
    <w:rsid w:val="001E4A0E"/>
    <w:rsid w:val="001E6956"/>
    <w:rsid w:val="001E791F"/>
    <w:rsid w:val="001F107F"/>
    <w:rsid w:val="001F11AF"/>
    <w:rsid w:val="001F58A9"/>
    <w:rsid w:val="001F5E00"/>
    <w:rsid w:val="001F5FE6"/>
    <w:rsid w:val="0020358F"/>
    <w:rsid w:val="00203B4D"/>
    <w:rsid w:val="00203E74"/>
    <w:rsid w:val="002202ED"/>
    <w:rsid w:val="00220959"/>
    <w:rsid w:val="00221E0F"/>
    <w:rsid w:val="00222276"/>
    <w:rsid w:val="0022286B"/>
    <w:rsid w:val="00222B68"/>
    <w:rsid w:val="0022402A"/>
    <w:rsid w:val="0022489C"/>
    <w:rsid w:val="002265D9"/>
    <w:rsid w:val="00226E50"/>
    <w:rsid w:val="002468A5"/>
    <w:rsid w:val="00247E2F"/>
    <w:rsid w:val="00251185"/>
    <w:rsid w:val="00251AD4"/>
    <w:rsid w:val="00256CA8"/>
    <w:rsid w:val="0025DD00"/>
    <w:rsid w:val="00261C1B"/>
    <w:rsid w:val="00262A14"/>
    <w:rsid w:val="002635BD"/>
    <w:rsid w:val="00264EC6"/>
    <w:rsid w:val="00265076"/>
    <w:rsid w:val="002675A2"/>
    <w:rsid w:val="002703C9"/>
    <w:rsid w:val="00272180"/>
    <w:rsid w:val="0027287C"/>
    <w:rsid w:val="00273CA2"/>
    <w:rsid w:val="00273DC0"/>
    <w:rsid w:val="002752F6"/>
    <w:rsid w:val="00275338"/>
    <w:rsid w:val="002757F6"/>
    <w:rsid w:val="00275C9D"/>
    <w:rsid w:val="00280018"/>
    <w:rsid w:val="00280963"/>
    <w:rsid w:val="0028129A"/>
    <w:rsid w:val="002835EC"/>
    <w:rsid w:val="0028449D"/>
    <w:rsid w:val="00285A8C"/>
    <w:rsid w:val="0029229D"/>
    <w:rsid w:val="00295E0A"/>
    <w:rsid w:val="00296894"/>
    <w:rsid w:val="002A2AE6"/>
    <w:rsid w:val="002A32C6"/>
    <w:rsid w:val="002A3E31"/>
    <w:rsid w:val="002A4266"/>
    <w:rsid w:val="002A7FCC"/>
    <w:rsid w:val="002B1DE5"/>
    <w:rsid w:val="002B2CC8"/>
    <w:rsid w:val="002B4626"/>
    <w:rsid w:val="002C0754"/>
    <w:rsid w:val="002C39A1"/>
    <w:rsid w:val="002C5B9F"/>
    <w:rsid w:val="002C6244"/>
    <w:rsid w:val="002C651E"/>
    <w:rsid w:val="002C7A35"/>
    <w:rsid w:val="002D03A5"/>
    <w:rsid w:val="002D0D86"/>
    <w:rsid w:val="002D1025"/>
    <w:rsid w:val="002D11CB"/>
    <w:rsid w:val="002D6AA9"/>
    <w:rsid w:val="002D7F08"/>
    <w:rsid w:val="002E073E"/>
    <w:rsid w:val="002E779C"/>
    <w:rsid w:val="002F1CE6"/>
    <w:rsid w:val="002F2AFB"/>
    <w:rsid w:val="002F62EC"/>
    <w:rsid w:val="003007E5"/>
    <w:rsid w:val="0030146A"/>
    <w:rsid w:val="00305DAB"/>
    <w:rsid w:val="00313EAE"/>
    <w:rsid w:val="00314ABA"/>
    <w:rsid w:val="00317DA4"/>
    <w:rsid w:val="0032086E"/>
    <w:rsid w:val="003225FC"/>
    <w:rsid w:val="00325642"/>
    <w:rsid w:val="00334C30"/>
    <w:rsid w:val="00341856"/>
    <w:rsid w:val="0034342D"/>
    <w:rsid w:val="00344DD2"/>
    <w:rsid w:val="003460D0"/>
    <w:rsid w:val="00346785"/>
    <w:rsid w:val="003473DB"/>
    <w:rsid w:val="00347500"/>
    <w:rsid w:val="00350F09"/>
    <w:rsid w:val="00355773"/>
    <w:rsid w:val="00356571"/>
    <w:rsid w:val="00357420"/>
    <w:rsid w:val="00361C4C"/>
    <w:rsid w:val="003625CD"/>
    <w:rsid w:val="00364D28"/>
    <w:rsid w:val="00365896"/>
    <w:rsid w:val="00366ACE"/>
    <w:rsid w:val="003675B5"/>
    <w:rsid w:val="00367853"/>
    <w:rsid w:val="0037017F"/>
    <w:rsid w:val="00370B9B"/>
    <w:rsid w:val="0037756A"/>
    <w:rsid w:val="00377F38"/>
    <w:rsid w:val="0038337F"/>
    <w:rsid w:val="0038350E"/>
    <w:rsid w:val="00384BEE"/>
    <w:rsid w:val="0039316A"/>
    <w:rsid w:val="00393914"/>
    <w:rsid w:val="00393B82"/>
    <w:rsid w:val="00394B2D"/>
    <w:rsid w:val="003950A5"/>
    <w:rsid w:val="0039517E"/>
    <w:rsid w:val="00396B22"/>
    <w:rsid w:val="003A23A4"/>
    <w:rsid w:val="003A35E3"/>
    <w:rsid w:val="003A3BB7"/>
    <w:rsid w:val="003A4A08"/>
    <w:rsid w:val="003A666F"/>
    <w:rsid w:val="003B1666"/>
    <w:rsid w:val="003B2380"/>
    <w:rsid w:val="003B2DF3"/>
    <w:rsid w:val="003B3B88"/>
    <w:rsid w:val="003B54E4"/>
    <w:rsid w:val="003B68EA"/>
    <w:rsid w:val="003C032A"/>
    <w:rsid w:val="003C1953"/>
    <w:rsid w:val="003C2242"/>
    <w:rsid w:val="003C3105"/>
    <w:rsid w:val="003C495B"/>
    <w:rsid w:val="003D0138"/>
    <w:rsid w:val="003D49F2"/>
    <w:rsid w:val="003D70CE"/>
    <w:rsid w:val="003D72AA"/>
    <w:rsid w:val="003E2065"/>
    <w:rsid w:val="003E34AF"/>
    <w:rsid w:val="003E6EDE"/>
    <w:rsid w:val="003E7E77"/>
    <w:rsid w:val="003F298D"/>
    <w:rsid w:val="003F4272"/>
    <w:rsid w:val="003F52B3"/>
    <w:rsid w:val="003F678A"/>
    <w:rsid w:val="004049A6"/>
    <w:rsid w:val="00405003"/>
    <w:rsid w:val="004060CC"/>
    <w:rsid w:val="004113FC"/>
    <w:rsid w:val="00412964"/>
    <w:rsid w:val="004141E1"/>
    <w:rsid w:val="0041500D"/>
    <w:rsid w:val="004160A6"/>
    <w:rsid w:val="004207FE"/>
    <w:rsid w:val="004220CF"/>
    <w:rsid w:val="00423F78"/>
    <w:rsid w:val="00424022"/>
    <w:rsid w:val="00424650"/>
    <w:rsid w:val="00427E48"/>
    <w:rsid w:val="00431F63"/>
    <w:rsid w:val="004327D9"/>
    <w:rsid w:val="00432BC6"/>
    <w:rsid w:val="00434C99"/>
    <w:rsid w:val="00435DD4"/>
    <w:rsid w:val="00436ADA"/>
    <w:rsid w:val="00437A1D"/>
    <w:rsid w:val="004433D0"/>
    <w:rsid w:val="00451896"/>
    <w:rsid w:val="0045213B"/>
    <w:rsid w:val="00455C19"/>
    <w:rsid w:val="004639BB"/>
    <w:rsid w:val="004669C4"/>
    <w:rsid w:val="00466DE1"/>
    <w:rsid w:val="004711C3"/>
    <w:rsid w:val="00472161"/>
    <w:rsid w:val="004731E1"/>
    <w:rsid w:val="0047427F"/>
    <w:rsid w:val="00474D0B"/>
    <w:rsid w:val="00480091"/>
    <w:rsid w:val="00482312"/>
    <w:rsid w:val="004875B9"/>
    <w:rsid w:val="004876B4"/>
    <w:rsid w:val="00488A37"/>
    <w:rsid w:val="00490836"/>
    <w:rsid w:val="0049212D"/>
    <w:rsid w:val="00492F36"/>
    <w:rsid w:val="004976C1"/>
    <w:rsid w:val="004A224D"/>
    <w:rsid w:val="004A6EA6"/>
    <w:rsid w:val="004B0BBE"/>
    <w:rsid w:val="004B0D2A"/>
    <w:rsid w:val="004B1CA0"/>
    <w:rsid w:val="004B27CA"/>
    <w:rsid w:val="004B72F1"/>
    <w:rsid w:val="004B7381"/>
    <w:rsid w:val="004C036E"/>
    <w:rsid w:val="004C090D"/>
    <w:rsid w:val="004C0ACB"/>
    <w:rsid w:val="004C16C4"/>
    <w:rsid w:val="004C1FF9"/>
    <w:rsid w:val="004C242C"/>
    <w:rsid w:val="004C280A"/>
    <w:rsid w:val="004C2973"/>
    <w:rsid w:val="004C2A14"/>
    <w:rsid w:val="004C3250"/>
    <w:rsid w:val="004C5326"/>
    <w:rsid w:val="004C5B63"/>
    <w:rsid w:val="004D277F"/>
    <w:rsid w:val="004E323E"/>
    <w:rsid w:val="004E5CA8"/>
    <w:rsid w:val="004E62E8"/>
    <w:rsid w:val="004F0F51"/>
    <w:rsid w:val="004F2232"/>
    <w:rsid w:val="004F3AE0"/>
    <w:rsid w:val="004F6830"/>
    <w:rsid w:val="005025AE"/>
    <w:rsid w:val="00503B97"/>
    <w:rsid w:val="00503C9D"/>
    <w:rsid w:val="005050F0"/>
    <w:rsid w:val="00511316"/>
    <w:rsid w:val="00513238"/>
    <w:rsid w:val="005173F0"/>
    <w:rsid w:val="005203B5"/>
    <w:rsid w:val="0052343A"/>
    <w:rsid w:val="00523B63"/>
    <w:rsid w:val="00526156"/>
    <w:rsid w:val="005265E6"/>
    <w:rsid w:val="00527E6F"/>
    <w:rsid w:val="00530B21"/>
    <w:rsid w:val="00533CE2"/>
    <w:rsid w:val="00535E22"/>
    <w:rsid w:val="00540AB1"/>
    <w:rsid w:val="00541831"/>
    <w:rsid w:val="00541AB2"/>
    <w:rsid w:val="005442DB"/>
    <w:rsid w:val="00544748"/>
    <w:rsid w:val="0054654E"/>
    <w:rsid w:val="00546E3B"/>
    <w:rsid w:val="00547DA5"/>
    <w:rsid w:val="00550DFF"/>
    <w:rsid w:val="0055409F"/>
    <w:rsid w:val="00555334"/>
    <w:rsid w:val="005560B6"/>
    <w:rsid w:val="00556837"/>
    <w:rsid w:val="00556C49"/>
    <w:rsid w:val="00561589"/>
    <w:rsid w:val="00562188"/>
    <w:rsid w:val="005623CC"/>
    <w:rsid w:val="00566FC1"/>
    <w:rsid w:val="00567AB1"/>
    <w:rsid w:val="00570E5F"/>
    <w:rsid w:val="0057141A"/>
    <w:rsid w:val="00573225"/>
    <w:rsid w:val="00576265"/>
    <w:rsid w:val="005769AB"/>
    <w:rsid w:val="00580743"/>
    <w:rsid w:val="005812B7"/>
    <w:rsid w:val="0058727B"/>
    <w:rsid w:val="00591755"/>
    <w:rsid w:val="005A204E"/>
    <w:rsid w:val="005A699C"/>
    <w:rsid w:val="005A7CBC"/>
    <w:rsid w:val="005B0AC1"/>
    <w:rsid w:val="005B0EAF"/>
    <w:rsid w:val="005B142F"/>
    <w:rsid w:val="005B3D39"/>
    <w:rsid w:val="005B5FE3"/>
    <w:rsid w:val="005B7A0F"/>
    <w:rsid w:val="005C03D4"/>
    <w:rsid w:val="005C069A"/>
    <w:rsid w:val="005C2857"/>
    <w:rsid w:val="005C50DC"/>
    <w:rsid w:val="005C5860"/>
    <w:rsid w:val="005C61C2"/>
    <w:rsid w:val="005C6521"/>
    <w:rsid w:val="005D44EE"/>
    <w:rsid w:val="005D4774"/>
    <w:rsid w:val="005E08ED"/>
    <w:rsid w:val="005E3F94"/>
    <w:rsid w:val="005E43FA"/>
    <w:rsid w:val="005E7663"/>
    <w:rsid w:val="005E7D67"/>
    <w:rsid w:val="005F213E"/>
    <w:rsid w:val="005F42FB"/>
    <w:rsid w:val="005F49E9"/>
    <w:rsid w:val="005F4FBF"/>
    <w:rsid w:val="005F5A8D"/>
    <w:rsid w:val="005F6A96"/>
    <w:rsid w:val="005F7F3C"/>
    <w:rsid w:val="0060404D"/>
    <w:rsid w:val="006042CD"/>
    <w:rsid w:val="0061436D"/>
    <w:rsid w:val="00614400"/>
    <w:rsid w:val="0061485F"/>
    <w:rsid w:val="00614A8A"/>
    <w:rsid w:val="00614AB6"/>
    <w:rsid w:val="006157CD"/>
    <w:rsid w:val="00615DDB"/>
    <w:rsid w:val="00615E5F"/>
    <w:rsid w:val="00615FF6"/>
    <w:rsid w:val="006176B6"/>
    <w:rsid w:val="0062176C"/>
    <w:rsid w:val="0062378E"/>
    <w:rsid w:val="00627C46"/>
    <w:rsid w:val="00630A46"/>
    <w:rsid w:val="006351DB"/>
    <w:rsid w:val="00642D20"/>
    <w:rsid w:val="0064617F"/>
    <w:rsid w:val="00646B74"/>
    <w:rsid w:val="00650385"/>
    <w:rsid w:val="00651CA4"/>
    <w:rsid w:val="00652268"/>
    <w:rsid w:val="00652B3E"/>
    <w:rsid w:val="00660079"/>
    <w:rsid w:val="006604D6"/>
    <w:rsid w:val="00662105"/>
    <w:rsid w:val="00664338"/>
    <w:rsid w:val="00664AE4"/>
    <w:rsid w:val="006700E9"/>
    <w:rsid w:val="006713C1"/>
    <w:rsid w:val="006738BE"/>
    <w:rsid w:val="00676217"/>
    <w:rsid w:val="0067642B"/>
    <w:rsid w:val="00677E56"/>
    <w:rsid w:val="00680771"/>
    <w:rsid w:val="00682BA3"/>
    <w:rsid w:val="00683B98"/>
    <w:rsid w:val="0069084E"/>
    <w:rsid w:val="00690F6C"/>
    <w:rsid w:val="00691EE9"/>
    <w:rsid w:val="00696B38"/>
    <w:rsid w:val="006A639D"/>
    <w:rsid w:val="006A64DE"/>
    <w:rsid w:val="006A6BDC"/>
    <w:rsid w:val="006B4806"/>
    <w:rsid w:val="006B530A"/>
    <w:rsid w:val="006C1CF8"/>
    <w:rsid w:val="006C2567"/>
    <w:rsid w:val="006C5CCA"/>
    <w:rsid w:val="006C6156"/>
    <w:rsid w:val="006C6547"/>
    <w:rsid w:val="006C6D30"/>
    <w:rsid w:val="006D3D4A"/>
    <w:rsid w:val="006D5CC3"/>
    <w:rsid w:val="006D7239"/>
    <w:rsid w:val="006E264D"/>
    <w:rsid w:val="006E4B47"/>
    <w:rsid w:val="006E6B63"/>
    <w:rsid w:val="006F1418"/>
    <w:rsid w:val="006F1B84"/>
    <w:rsid w:val="006F3C74"/>
    <w:rsid w:val="006F412B"/>
    <w:rsid w:val="006F64B9"/>
    <w:rsid w:val="00703A99"/>
    <w:rsid w:val="00711047"/>
    <w:rsid w:val="007120DC"/>
    <w:rsid w:val="007150C7"/>
    <w:rsid w:val="007177FA"/>
    <w:rsid w:val="00722756"/>
    <w:rsid w:val="0072306E"/>
    <w:rsid w:val="0072346D"/>
    <w:rsid w:val="00731181"/>
    <w:rsid w:val="007320AD"/>
    <w:rsid w:val="00732916"/>
    <w:rsid w:val="00736CB8"/>
    <w:rsid w:val="00740EED"/>
    <w:rsid w:val="0074176C"/>
    <w:rsid w:val="00742326"/>
    <w:rsid w:val="00745281"/>
    <w:rsid w:val="00753A0E"/>
    <w:rsid w:val="0075412E"/>
    <w:rsid w:val="00760418"/>
    <w:rsid w:val="0076367A"/>
    <w:rsid w:val="00765827"/>
    <w:rsid w:val="00770F90"/>
    <w:rsid w:val="00772A75"/>
    <w:rsid w:val="007749C5"/>
    <w:rsid w:val="0077631E"/>
    <w:rsid w:val="00781A59"/>
    <w:rsid w:val="00783213"/>
    <w:rsid w:val="00784376"/>
    <w:rsid w:val="007846FD"/>
    <w:rsid w:val="00791912"/>
    <w:rsid w:val="007937D6"/>
    <w:rsid w:val="00793B85"/>
    <w:rsid w:val="00796AAE"/>
    <w:rsid w:val="00796DDC"/>
    <w:rsid w:val="007A1F66"/>
    <w:rsid w:val="007A34D0"/>
    <w:rsid w:val="007A4144"/>
    <w:rsid w:val="007A482D"/>
    <w:rsid w:val="007A5651"/>
    <w:rsid w:val="007A590D"/>
    <w:rsid w:val="007A6FBD"/>
    <w:rsid w:val="007B0EB5"/>
    <w:rsid w:val="007B1F54"/>
    <w:rsid w:val="007B4DDC"/>
    <w:rsid w:val="007B5365"/>
    <w:rsid w:val="007B5F11"/>
    <w:rsid w:val="007B6347"/>
    <w:rsid w:val="007B799B"/>
    <w:rsid w:val="007B79C4"/>
    <w:rsid w:val="007C1796"/>
    <w:rsid w:val="007C4678"/>
    <w:rsid w:val="007C5FBC"/>
    <w:rsid w:val="007D33B9"/>
    <w:rsid w:val="007D6343"/>
    <w:rsid w:val="007D77F7"/>
    <w:rsid w:val="007E0DEF"/>
    <w:rsid w:val="007F0476"/>
    <w:rsid w:val="007F2D27"/>
    <w:rsid w:val="007F3C07"/>
    <w:rsid w:val="007F6ECC"/>
    <w:rsid w:val="007F7582"/>
    <w:rsid w:val="007F7CCE"/>
    <w:rsid w:val="00800E50"/>
    <w:rsid w:val="00801C0F"/>
    <w:rsid w:val="008020A2"/>
    <w:rsid w:val="00806359"/>
    <w:rsid w:val="00806DCA"/>
    <w:rsid w:val="00817781"/>
    <w:rsid w:val="00820558"/>
    <w:rsid w:val="008213F0"/>
    <w:rsid w:val="0082484C"/>
    <w:rsid w:val="00824C6E"/>
    <w:rsid w:val="008255BD"/>
    <w:rsid w:val="00825A25"/>
    <w:rsid w:val="0082637A"/>
    <w:rsid w:val="00827C38"/>
    <w:rsid w:val="00827C5C"/>
    <w:rsid w:val="00830EFF"/>
    <w:rsid w:val="008363C7"/>
    <w:rsid w:val="00837AD9"/>
    <w:rsid w:val="00837F3D"/>
    <w:rsid w:val="00844D34"/>
    <w:rsid w:val="0084669F"/>
    <w:rsid w:val="0085199A"/>
    <w:rsid w:val="00851D8E"/>
    <w:rsid w:val="00852AB6"/>
    <w:rsid w:val="00853215"/>
    <w:rsid w:val="00853C98"/>
    <w:rsid w:val="008558D0"/>
    <w:rsid w:val="00857F7F"/>
    <w:rsid w:val="00860A40"/>
    <w:rsid w:val="008613BB"/>
    <w:rsid w:val="00861FF6"/>
    <w:rsid w:val="0086274D"/>
    <w:rsid w:val="00863CC7"/>
    <w:rsid w:val="00864D13"/>
    <w:rsid w:val="008718F0"/>
    <w:rsid w:val="008775AB"/>
    <w:rsid w:val="00877C33"/>
    <w:rsid w:val="00877DF5"/>
    <w:rsid w:val="00883002"/>
    <w:rsid w:val="008831DE"/>
    <w:rsid w:val="00884C5B"/>
    <w:rsid w:val="008852FA"/>
    <w:rsid w:val="00892D34"/>
    <w:rsid w:val="00893EA7"/>
    <w:rsid w:val="008A0F9C"/>
    <w:rsid w:val="008A173F"/>
    <w:rsid w:val="008A2606"/>
    <w:rsid w:val="008A5CF2"/>
    <w:rsid w:val="008A6162"/>
    <w:rsid w:val="008A73F0"/>
    <w:rsid w:val="008A7898"/>
    <w:rsid w:val="008B200E"/>
    <w:rsid w:val="008B2EFE"/>
    <w:rsid w:val="008B6478"/>
    <w:rsid w:val="008B6D7A"/>
    <w:rsid w:val="008B7314"/>
    <w:rsid w:val="008C09BD"/>
    <w:rsid w:val="008C3149"/>
    <w:rsid w:val="008C5697"/>
    <w:rsid w:val="008C5883"/>
    <w:rsid w:val="008D0DD2"/>
    <w:rsid w:val="008D2741"/>
    <w:rsid w:val="008D3DB4"/>
    <w:rsid w:val="008D4B6D"/>
    <w:rsid w:val="008D64A5"/>
    <w:rsid w:val="008D6F2F"/>
    <w:rsid w:val="008E05A3"/>
    <w:rsid w:val="008E3328"/>
    <w:rsid w:val="008E46FE"/>
    <w:rsid w:val="008F2234"/>
    <w:rsid w:val="008F4633"/>
    <w:rsid w:val="008F74B2"/>
    <w:rsid w:val="0090128E"/>
    <w:rsid w:val="00906C4C"/>
    <w:rsid w:val="00907D13"/>
    <w:rsid w:val="009119EA"/>
    <w:rsid w:val="00911F09"/>
    <w:rsid w:val="00914E34"/>
    <w:rsid w:val="00916EA0"/>
    <w:rsid w:val="00916EC2"/>
    <w:rsid w:val="00921E1C"/>
    <w:rsid w:val="0093541E"/>
    <w:rsid w:val="0093561F"/>
    <w:rsid w:val="00935F91"/>
    <w:rsid w:val="009374D6"/>
    <w:rsid w:val="00941B32"/>
    <w:rsid w:val="0094211A"/>
    <w:rsid w:val="009506F3"/>
    <w:rsid w:val="00952424"/>
    <w:rsid w:val="00955EFF"/>
    <w:rsid w:val="0095732C"/>
    <w:rsid w:val="00957F2A"/>
    <w:rsid w:val="009629A5"/>
    <w:rsid w:val="00962FF3"/>
    <w:rsid w:val="00965526"/>
    <w:rsid w:val="009663D4"/>
    <w:rsid w:val="0096642D"/>
    <w:rsid w:val="0097091B"/>
    <w:rsid w:val="0097115C"/>
    <w:rsid w:val="009718F0"/>
    <w:rsid w:val="00973C26"/>
    <w:rsid w:val="00974705"/>
    <w:rsid w:val="0097679B"/>
    <w:rsid w:val="00976E6E"/>
    <w:rsid w:val="009777D6"/>
    <w:rsid w:val="00980845"/>
    <w:rsid w:val="0098195A"/>
    <w:rsid w:val="0098203C"/>
    <w:rsid w:val="0098476E"/>
    <w:rsid w:val="00984F84"/>
    <w:rsid w:val="009869C1"/>
    <w:rsid w:val="009877C4"/>
    <w:rsid w:val="00991C1B"/>
    <w:rsid w:val="00991D88"/>
    <w:rsid w:val="00992752"/>
    <w:rsid w:val="009927FE"/>
    <w:rsid w:val="009933FE"/>
    <w:rsid w:val="00995E52"/>
    <w:rsid w:val="0099776E"/>
    <w:rsid w:val="009A0349"/>
    <w:rsid w:val="009A25B0"/>
    <w:rsid w:val="009A30B5"/>
    <w:rsid w:val="009A3374"/>
    <w:rsid w:val="009A3992"/>
    <w:rsid w:val="009A3DCA"/>
    <w:rsid w:val="009A4647"/>
    <w:rsid w:val="009A49D3"/>
    <w:rsid w:val="009A58D8"/>
    <w:rsid w:val="009A6F18"/>
    <w:rsid w:val="009B07A4"/>
    <w:rsid w:val="009B0DA1"/>
    <w:rsid w:val="009B1BFE"/>
    <w:rsid w:val="009B306A"/>
    <w:rsid w:val="009B4351"/>
    <w:rsid w:val="009C032C"/>
    <w:rsid w:val="009C09C6"/>
    <w:rsid w:val="009C5C07"/>
    <w:rsid w:val="009C5FF7"/>
    <w:rsid w:val="009C7C06"/>
    <w:rsid w:val="009D1EBA"/>
    <w:rsid w:val="009D25BE"/>
    <w:rsid w:val="009D3145"/>
    <w:rsid w:val="009D34A7"/>
    <w:rsid w:val="009D4D4B"/>
    <w:rsid w:val="009D6187"/>
    <w:rsid w:val="009D7559"/>
    <w:rsid w:val="009D798B"/>
    <w:rsid w:val="009E1BB2"/>
    <w:rsid w:val="009E345D"/>
    <w:rsid w:val="009E39A4"/>
    <w:rsid w:val="009E5164"/>
    <w:rsid w:val="009E61D2"/>
    <w:rsid w:val="009E7201"/>
    <w:rsid w:val="009E75A2"/>
    <w:rsid w:val="009F0298"/>
    <w:rsid w:val="009F24A6"/>
    <w:rsid w:val="009F393F"/>
    <w:rsid w:val="009F4B42"/>
    <w:rsid w:val="009F5E5B"/>
    <w:rsid w:val="009F6058"/>
    <w:rsid w:val="009F6168"/>
    <w:rsid w:val="009F7687"/>
    <w:rsid w:val="00A02D57"/>
    <w:rsid w:val="00A040B9"/>
    <w:rsid w:val="00A14A78"/>
    <w:rsid w:val="00A173BE"/>
    <w:rsid w:val="00A179CC"/>
    <w:rsid w:val="00A21FCD"/>
    <w:rsid w:val="00A23CE3"/>
    <w:rsid w:val="00A243B4"/>
    <w:rsid w:val="00A2458E"/>
    <w:rsid w:val="00A25C55"/>
    <w:rsid w:val="00A27B8D"/>
    <w:rsid w:val="00A337A5"/>
    <w:rsid w:val="00A34250"/>
    <w:rsid w:val="00A345A7"/>
    <w:rsid w:val="00A41876"/>
    <w:rsid w:val="00A4218D"/>
    <w:rsid w:val="00A43660"/>
    <w:rsid w:val="00A5067F"/>
    <w:rsid w:val="00A5187E"/>
    <w:rsid w:val="00A52AC0"/>
    <w:rsid w:val="00A53583"/>
    <w:rsid w:val="00A56F44"/>
    <w:rsid w:val="00A57CCD"/>
    <w:rsid w:val="00A62022"/>
    <w:rsid w:val="00A62C60"/>
    <w:rsid w:val="00A64389"/>
    <w:rsid w:val="00A66DA6"/>
    <w:rsid w:val="00A678A1"/>
    <w:rsid w:val="00A84AB0"/>
    <w:rsid w:val="00A86409"/>
    <w:rsid w:val="00A941E8"/>
    <w:rsid w:val="00A975C3"/>
    <w:rsid w:val="00AA2788"/>
    <w:rsid w:val="00AA2DAE"/>
    <w:rsid w:val="00AA320B"/>
    <w:rsid w:val="00AA53CA"/>
    <w:rsid w:val="00AA6409"/>
    <w:rsid w:val="00AA684F"/>
    <w:rsid w:val="00AA7242"/>
    <w:rsid w:val="00AB1DE5"/>
    <w:rsid w:val="00AB1FF4"/>
    <w:rsid w:val="00AB34CD"/>
    <w:rsid w:val="00AB3E46"/>
    <w:rsid w:val="00AB47A3"/>
    <w:rsid w:val="00AB5CA0"/>
    <w:rsid w:val="00AB651E"/>
    <w:rsid w:val="00AC00CA"/>
    <w:rsid w:val="00AC14AF"/>
    <w:rsid w:val="00AC1ACF"/>
    <w:rsid w:val="00AC3E5A"/>
    <w:rsid w:val="00AC6AB4"/>
    <w:rsid w:val="00AD0E23"/>
    <w:rsid w:val="00AD214F"/>
    <w:rsid w:val="00AD25DA"/>
    <w:rsid w:val="00AD3D64"/>
    <w:rsid w:val="00AD43D4"/>
    <w:rsid w:val="00AD5AB8"/>
    <w:rsid w:val="00AD6934"/>
    <w:rsid w:val="00AE0D52"/>
    <w:rsid w:val="00AE5432"/>
    <w:rsid w:val="00AF179D"/>
    <w:rsid w:val="00B11F5B"/>
    <w:rsid w:val="00B140C6"/>
    <w:rsid w:val="00B146FA"/>
    <w:rsid w:val="00B15F35"/>
    <w:rsid w:val="00B16849"/>
    <w:rsid w:val="00B17D08"/>
    <w:rsid w:val="00B20D9D"/>
    <w:rsid w:val="00B238E2"/>
    <w:rsid w:val="00B23A1A"/>
    <w:rsid w:val="00B30B73"/>
    <w:rsid w:val="00B334F5"/>
    <w:rsid w:val="00B338CD"/>
    <w:rsid w:val="00B364B1"/>
    <w:rsid w:val="00B40180"/>
    <w:rsid w:val="00B404A6"/>
    <w:rsid w:val="00B413FE"/>
    <w:rsid w:val="00B42C65"/>
    <w:rsid w:val="00B42EFF"/>
    <w:rsid w:val="00B436BF"/>
    <w:rsid w:val="00B43A88"/>
    <w:rsid w:val="00B46227"/>
    <w:rsid w:val="00B46F07"/>
    <w:rsid w:val="00B50480"/>
    <w:rsid w:val="00B552A4"/>
    <w:rsid w:val="00B613D6"/>
    <w:rsid w:val="00B625FA"/>
    <w:rsid w:val="00B6529B"/>
    <w:rsid w:val="00B66976"/>
    <w:rsid w:val="00B674C4"/>
    <w:rsid w:val="00B722D0"/>
    <w:rsid w:val="00B73E43"/>
    <w:rsid w:val="00B75BE5"/>
    <w:rsid w:val="00B773AE"/>
    <w:rsid w:val="00B81494"/>
    <w:rsid w:val="00B81F38"/>
    <w:rsid w:val="00B821CD"/>
    <w:rsid w:val="00B82951"/>
    <w:rsid w:val="00B86F15"/>
    <w:rsid w:val="00B8CAEA"/>
    <w:rsid w:val="00B95CFA"/>
    <w:rsid w:val="00B95E40"/>
    <w:rsid w:val="00B9622E"/>
    <w:rsid w:val="00B96C77"/>
    <w:rsid w:val="00BA24A2"/>
    <w:rsid w:val="00BA3D2C"/>
    <w:rsid w:val="00BB37CA"/>
    <w:rsid w:val="00BB396E"/>
    <w:rsid w:val="00BC05D6"/>
    <w:rsid w:val="00BC0FC3"/>
    <w:rsid w:val="00BC1B2A"/>
    <w:rsid w:val="00BC3847"/>
    <w:rsid w:val="00BC4B82"/>
    <w:rsid w:val="00BC7C10"/>
    <w:rsid w:val="00BD0DCB"/>
    <w:rsid w:val="00BD10E7"/>
    <w:rsid w:val="00BD1894"/>
    <w:rsid w:val="00BD285D"/>
    <w:rsid w:val="00BD2D10"/>
    <w:rsid w:val="00BD47D2"/>
    <w:rsid w:val="00BD5F08"/>
    <w:rsid w:val="00BD63A0"/>
    <w:rsid w:val="00BE09F1"/>
    <w:rsid w:val="00BE3461"/>
    <w:rsid w:val="00BE5349"/>
    <w:rsid w:val="00BF146B"/>
    <w:rsid w:val="00BF650A"/>
    <w:rsid w:val="00BF7D6F"/>
    <w:rsid w:val="00C038C0"/>
    <w:rsid w:val="00C03EFF"/>
    <w:rsid w:val="00C04B83"/>
    <w:rsid w:val="00C07D6E"/>
    <w:rsid w:val="00C10C17"/>
    <w:rsid w:val="00C12566"/>
    <w:rsid w:val="00C1285E"/>
    <w:rsid w:val="00C13A03"/>
    <w:rsid w:val="00C13F30"/>
    <w:rsid w:val="00C1450A"/>
    <w:rsid w:val="00C16098"/>
    <w:rsid w:val="00C168FA"/>
    <w:rsid w:val="00C21259"/>
    <w:rsid w:val="00C21FC1"/>
    <w:rsid w:val="00C2560D"/>
    <w:rsid w:val="00C260E0"/>
    <w:rsid w:val="00C26373"/>
    <w:rsid w:val="00C30F93"/>
    <w:rsid w:val="00C31D53"/>
    <w:rsid w:val="00C33147"/>
    <w:rsid w:val="00C37CC1"/>
    <w:rsid w:val="00C37F12"/>
    <w:rsid w:val="00C40479"/>
    <w:rsid w:val="00C423DA"/>
    <w:rsid w:val="00C43A77"/>
    <w:rsid w:val="00C45A10"/>
    <w:rsid w:val="00C46EE1"/>
    <w:rsid w:val="00C51350"/>
    <w:rsid w:val="00C5144D"/>
    <w:rsid w:val="00C57D7C"/>
    <w:rsid w:val="00C61287"/>
    <w:rsid w:val="00C653AC"/>
    <w:rsid w:val="00C66116"/>
    <w:rsid w:val="00C66DB2"/>
    <w:rsid w:val="00C66EFB"/>
    <w:rsid w:val="00C71C79"/>
    <w:rsid w:val="00C74E0B"/>
    <w:rsid w:val="00C7768A"/>
    <w:rsid w:val="00C816C3"/>
    <w:rsid w:val="00C81739"/>
    <w:rsid w:val="00C82F18"/>
    <w:rsid w:val="00C82FC1"/>
    <w:rsid w:val="00C841A8"/>
    <w:rsid w:val="00C87126"/>
    <w:rsid w:val="00C90F72"/>
    <w:rsid w:val="00C92DB9"/>
    <w:rsid w:val="00C93B74"/>
    <w:rsid w:val="00C93E4C"/>
    <w:rsid w:val="00C94E5F"/>
    <w:rsid w:val="00CA4614"/>
    <w:rsid w:val="00CA4D57"/>
    <w:rsid w:val="00CA574A"/>
    <w:rsid w:val="00CB10F4"/>
    <w:rsid w:val="00CB764E"/>
    <w:rsid w:val="00CC0092"/>
    <w:rsid w:val="00CC1522"/>
    <w:rsid w:val="00CC1C37"/>
    <w:rsid w:val="00CC25B7"/>
    <w:rsid w:val="00CC59A3"/>
    <w:rsid w:val="00CD0553"/>
    <w:rsid w:val="00CD0B6E"/>
    <w:rsid w:val="00CD1100"/>
    <w:rsid w:val="00CD2C1F"/>
    <w:rsid w:val="00CD3894"/>
    <w:rsid w:val="00CE1743"/>
    <w:rsid w:val="00CE19CD"/>
    <w:rsid w:val="00CE19E9"/>
    <w:rsid w:val="00CE3FBA"/>
    <w:rsid w:val="00CE5208"/>
    <w:rsid w:val="00CE6100"/>
    <w:rsid w:val="00CF274D"/>
    <w:rsid w:val="00CF70FD"/>
    <w:rsid w:val="00D0017D"/>
    <w:rsid w:val="00D00818"/>
    <w:rsid w:val="00D00F9C"/>
    <w:rsid w:val="00D02640"/>
    <w:rsid w:val="00D0354F"/>
    <w:rsid w:val="00D05D96"/>
    <w:rsid w:val="00D06415"/>
    <w:rsid w:val="00D074E2"/>
    <w:rsid w:val="00D07644"/>
    <w:rsid w:val="00D1058D"/>
    <w:rsid w:val="00D107BA"/>
    <w:rsid w:val="00D12184"/>
    <w:rsid w:val="00D125D2"/>
    <w:rsid w:val="00D131B0"/>
    <w:rsid w:val="00D1403F"/>
    <w:rsid w:val="00D159DF"/>
    <w:rsid w:val="00D20F10"/>
    <w:rsid w:val="00D26E3A"/>
    <w:rsid w:val="00D315EE"/>
    <w:rsid w:val="00D3168B"/>
    <w:rsid w:val="00D3182F"/>
    <w:rsid w:val="00D36574"/>
    <w:rsid w:val="00D40574"/>
    <w:rsid w:val="00D4606D"/>
    <w:rsid w:val="00D467F5"/>
    <w:rsid w:val="00D47DE0"/>
    <w:rsid w:val="00D50C9C"/>
    <w:rsid w:val="00D52242"/>
    <w:rsid w:val="00D54F51"/>
    <w:rsid w:val="00D557EB"/>
    <w:rsid w:val="00D55902"/>
    <w:rsid w:val="00D6074A"/>
    <w:rsid w:val="00D61D2D"/>
    <w:rsid w:val="00D712C3"/>
    <w:rsid w:val="00D71E0A"/>
    <w:rsid w:val="00D73DCC"/>
    <w:rsid w:val="00D7481A"/>
    <w:rsid w:val="00D764EA"/>
    <w:rsid w:val="00D84FBE"/>
    <w:rsid w:val="00D85564"/>
    <w:rsid w:val="00D86607"/>
    <w:rsid w:val="00D91356"/>
    <w:rsid w:val="00D91723"/>
    <w:rsid w:val="00D9431A"/>
    <w:rsid w:val="00D9525A"/>
    <w:rsid w:val="00D9741E"/>
    <w:rsid w:val="00DA0E35"/>
    <w:rsid w:val="00DB0E87"/>
    <w:rsid w:val="00DB1531"/>
    <w:rsid w:val="00DB1E49"/>
    <w:rsid w:val="00DB1F1F"/>
    <w:rsid w:val="00DB2ACE"/>
    <w:rsid w:val="00DB3579"/>
    <w:rsid w:val="00DB467A"/>
    <w:rsid w:val="00DB6E48"/>
    <w:rsid w:val="00DB7A0D"/>
    <w:rsid w:val="00DC264E"/>
    <w:rsid w:val="00DC38D3"/>
    <w:rsid w:val="00DC5290"/>
    <w:rsid w:val="00DC7DC6"/>
    <w:rsid w:val="00DD28D5"/>
    <w:rsid w:val="00DD3126"/>
    <w:rsid w:val="00DD64B5"/>
    <w:rsid w:val="00DE05FC"/>
    <w:rsid w:val="00DE39C6"/>
    <w:rsid w:val="00DE4E4B"/>
    <w:rsid w:val="00DE64EA"/>
    <w:rsid w:val="00DE733A"/>
    <w:rsid w:val="00DF2A2E"/>
    <w:rsid w:val="00DF2CDB"/>
    <w:rsid w:val="00DF3A16"/>
    <w:rsid w:val="00DF4061"/>
    <w:rsid w:val="00DF4BB6"/>
    <w:rsid w:val="00DF776B"/>
    <w:rsid w:val="00DF79E3"/>
    <w:rsid w:val="00E00F64"/>
    <w:rsid w:val="00E02A54"/>
    <w:rsid w:val="00E03671"/>
    <w:rsid w:val="00E03F77"/>
    <w:rsid w:val="00E05334"/>
    <w:rsid w:val="00E120B3"/>
    <w:rsid w:val="00E15D13"/>
    <w:rsid w:val="00E17E18"/>
    <w:rsid w:val="00E205D9"/>
    <w:rsid w:val="00E30B70"/>
    <w:rsid w:val="00E32541"/>
    <w:rsid w:val="00E34E0D"/>
    <w:rsid w:val="00E402B3"/>
    <w:rsid w:val="00E40ADE"/>
    <w:rsid w:val="00E437DE"/>
    <w:rsid w:val="00E43C53"/>
    <w:rsid w:val="00E4594C"/>
    <w:rsid w:val="00E46EC9"/>
    <w:rsid w:val="00E523D1"/>
    <w:rsid w:val="00E52CFF"/>
    <w:rsid w:val="00E53ACA"/>
    <w:rsid w:val="00E53ACC"/>
    <w:rsid w:val="00E55EB4"/>
    <w:rsid w:val="00E57EBF"/>
    <w:rsid w:val="00E66089"/>
    <w:rsid w:val="00E6676B"/>
    <w:rsid w:val="00E7204C"/>
    <w:rsid w:val="00E7451E"/>
    <w:rsid w:val="00E779ED"/>
    <w:rsid w:val="00E83CF2"/>
    <w:rsid w:val="00E840A3"/>
    <w:rsid w:val="00E85471"/>
    <w:rsid w:val="00E86F23"/>
    <w:rsid w:val="00E87CCA"/>
    <w:rsid w:val="00E90600"/>
    <w:rsid w:val="00E90975"/>
    <w:rsid w:val="00E92B52"/>
    <w:rsid w:val="00E92E01"/>
    <w:rsid w:val="00E96648"/>
    <w:rsid w:val="00E97866"/>
    <w:rsid w:val="00EA2593"/>
    <w:rsid w:val="00EA63E4"/>
    <w:rsid w:val="00EB0A0C"/>
    <w:rsid w:val="00EB0BFF"/>
    <w:rsid w:val="00EB3DE8"/>
    <w:rsid w:val="00EB435A"/>
    <w:rsid w:val="00EB562C"/>
    <w:rsid w:val="00EC35DC"/>
    <w:rsid w:val="00EC6309"/>
    <w:rsid w:val="00EC6D19"/>
    <w:rsid w:val="00EC78E9"/>
    <w:rsid w:val="00ED214C"/>
    <w:rsid w:val="00ED53B2"/>
    <w:rsid w:val="00EE6081"/>
    <w:rsid w:val="00EE61AA"/>
    <w:rsid w:val="00EF451E"/>
    <w:rsid w:val="00EF4931"/>
    <w:rsid w:val="00EF72CC"/>
    <w:rsid w:val="00EF7517"/>
    <w:rsid w:val="00F01F25"/>
    <w:rsid w:val="00F0286A"/>
    <w:rsid w:val="00F07395"/>
    <w:rsid w:val="00F11E0D"/>
    <w:rsid w:val="00F12350"/>
    <w:rsid w:val="00F16B36"/>
    <w:rsid w:val="00F204E4"/>
    <w:rsid w:val="00F22327"/>
    <w:rsid w:val="00F26D2C"/>
    <w:rsid w:val="00F330FE"/>
    <w:rsid w:val="00F3366E"/>
    <w:rsid w:val="00F33E8C"/>
    <w:rsid w:val="00F36FC0"/>
    <w:rsid w:val="00F37474"/>
    <w:rsid w:val="00F44331"/>
    <w:rsid w:val="00F44BB5"/>
    <w:rsid w:val="00F52318"/>
    <w:rsid w:val="00F53ABD"/>
    <w:rsid w:val="00F5403C"/>
    <w:rsid w:val="00F55540"/>
    <w:rsid w:val="00F6021D"/>
    <w:rsid w:val="00F604D3"/>
    <w:rsid w:val="00F63519"/>
    <w:rsid w:val="00F654A0"/>
    <w:rsid w:val="00F65577"/>
    <w:rsid w:val="00F72B71"/>
    <w:rsid w:val="00F757AC"/>
    <w:rsid w:val="00F76C92"/>
    <w:rsid w:val="00F80EFF"/>
    <w:rsid w:val="00F810FD"/>
    <w:rsid w:val="00F85676"/>
    <w:rsid w:val="00F856E0"/>
    <w:rsid w:val="00F85F3F"/>
    <w:rsid w:val="00F875BA"/>
    <w:rsid w:val="00F90316"/>
    <w:rsid w:val="00F91BBA"/>
    <w:rsid w:val="00F92FC1"/>
    <w:rsid w:val="00F94ADA"/>
    <w:rsid w:val="00F9758D"/>
    <w:rsid w:val="00F978EB"/>
    <w:rsid w:val="00F97DBB"/>
    <w:rsid w:val="00FA0643"/>
    <w:rsid w:val="00FA07E3"/>
    <w:rsid w:val="00FA422C"/>
    <w:rsid w:val="00FB3C7D"/>
    <w:rsid w:val="00FB4E93"/>
    <w:rsid w:val="00FC10A8"/>
    <w:rsid w:val="00FC5C02"/>
    <w:rsid w:val="00FC647A"/>
    <w:rsid w:val="00FC67AC"/>
    <w:rsid w:val="00FC73B4"/>
    <w:rsid w:val="00FC74F9"/>
    <w:rsid w:val="00FD0FA5"/>
    <w:rsid w:val="00FD3A60"/>
    <w:rsid w:val="00FD5181"/>
    <w:rsid w:val="00FD532E"/>
    <w:rsid w:val="00FD731E"/>
    <w:rsid w:val="00FD7AAF"/>
    <w:rsid w:val="00FE1B8C"/>
    <w:rsid w:val="00FE262E"/>
    <w:rsid w:val="00FF17ED"/>
    <w:rsid w:val="00FF189A"/>
    <w:rsid w:val="00FF4DC2"/>
    <w:rsid w:val="00FF6BA4"/>
    <w:rsid w:val="01C0D860"/>
    <w:rsid w:val="02228216"/>
    <w:rsid w:val="02255A7A"/>
    <w:rsid w:val="02573A22"/>
    <w:rsid w:val="0290DF15"/>
    <w:rsid w:val="02BA1FDD"/>
    <w:rsid w:val="02C74057"/>
    <w:rsid w:val="036F7459"/>
    <w:rsid w:val="0401F285"/>
    <w:rsid w:val="042232E7"/>
    <w:rsid w:val="04376F2E"/>
    <w:rsid w:val="04441C67"/>
    <w:rsid w:val="045B627E"/>
    <w:rsid w:val="04B32CF3"/>
    <w:rsid w:val="04B35A4E"/>
    <w:rsid w:val="04D6E522"/>
    <w:rsid w:val="04EB33E9"/>
    <w:rsid w:val="05113818"/>
    <w:rsid w:val="057103A0"/>
    <w:rsid w:val="05AF99B8"/>
    <w:rsid w:val="05D0B6FE"/>
    <w:rsid w:val="05D25F87"/>
    <w:rsid w:val="062403B4"/>
    <w:rsid w:val="06D22C04"/>
    <w:rsid w:val="06E5B789"/>
    <w:rsid w:val="075434D2"/>
    <w:rsid w:val="077507EC"/>
    <w:rsid w:val="079FD4E1"/>
    <w:rsid w:val="07E09A5C"/>
    <w:rsid w:val="07E63624"/>
    <w:rsid w:val="0861BE8B"/>
    <w:rsid w:val="08AAA8BB"/>
    <w:rsid w:val="09D7CC84"/>
    <w:rsid w:val="0A0DCB6B"/>
    <w:rsid w:val="0A5F71DD"/>
    <w:rsid w:val="0A821475"/>
    <w:rsid w:val="0A8943AE"/>
    <w:rsid w:val="0AB884F7"/>
    <w:rsid w:val="0AD7FB55"/>
    <w:rsid w:val="0AE9291B"/>
    <w:rsid w:val="0B23FE5E"/>
    <w:rsid w:val="0B4B1AAF"/>
    <w:rsid w:val="0B532A98"/>
    <w:rsid w:val="0B6E8FE9"/>
    <w:rsid w:val="0B75E37B"/>
    <w:rsid w:val="0BC08342"/>
    <w:rsid w:val="0C524F8A"/>
    <w:rsid w:val="0C5F8D3A"/>
    <w:rsid w:val="0C83411A"/>
    <w:rsid w:val="0CBF79B0"/>
    <w:rsid w:val="0CCEA4EF"/>
    <w:rsid w:val="0D10639B"/>
    <w:rsid w:val="0D4C09FC"/>
    <w:rsid w:val="0D5C2781"/>
    <w:rsid w:val="0DA1746C"/>
    <w:rsid w:val="0DAE673E"/>
    <w:rsid w:val="0DD5BECB"/>
    <w:rsid w:val="0E63DC37"/>
    <w:rsid w:val="0ED9DD30"/>
    <w:rsid w:val="0EF5FD60"/>
    <w:rsid w:val="0F31134F"/>
    <w:rsid w:val="0F6A7F27"/>
    <w:rsid w:val="0F82D5C4"/>
    <w:rsid w:val="119321E0"/>
    <w:rsid w:val="11CB5242"/>
    <w:rsid w:val="12693CA6"/>
    <w:rsid w:val="126F02A4"/>
    <w:rsid w:val="12B441CF"/>
    <w:rsid w:val="138B1FB0"/>
    <w:rsid w:val="13AC5546"/>
    <w:rsid w:val="140CA78C"/>
    <w:rsid w:val="14E990A2"/>
    <w:rsid w:val="14FFE518"/>
    <w:rsid w:val="15FC722F"/>
    <w:rsid w:val="1647E90A"/>
    <w:rsid w:val="16807139"/>
    <w:rsid w:val="16BEC456"/>
    <w:rsid w:val="174CBB71"/>
    <w:rsid w:val="178737BB"/>
    <w:rsid w:val="17CC8A55"/>
    <w:rsid w:val="180935A9"/>
    <w:rsid w:val="189B764A"/>
    <w:rsid w:val="18C15F26"/>
    <w:rsid w:val="18DF82EA"/>
    <w:rsid w:val="193F4342"/>
    <w:rsid w:val="1941C05E"/>
    <w:rsid w:val="199ADF3E"/>
    <w:rsid w:val="19C5A56D"/>
    <w:rsid w:val="19F02F77"/>
    <w:rsid w:val="1B02EF0F"/>
    <w:rsid w:val="1BF59A51"/>
    <w:rsid w:val="1CF3CFA4"/>
    <w:rsid w:val="1D097EA3"/>
    <w:rsid w:val="1D42D024"/>
    <w:rsid w:val="1D48B9C5"/>
    <w:rsid w:val="1E248C4E"/>
    <w:rsid w:val="1E6347D5"/>
    <w:rsid w:val="1E9AAB9C"/>
    <w:rsid w:val="1F7045F4"/>
    <w:rsid w:val="1FB301C3"/>
    <w:rsid w:val="204BD8E4"/>
    <w:rsid w:val="208049BA"/>
    <w:rsid w:val="20AF6FAB"/>
    <w:rsid w:val="20B40378"/>
    <w:rsid w:val="21C198F3"/>
    <w:rsid w:val="21D4148C"/>
    <w:rsid w:val="222AFA5D"/>
    <w:rsid w:val="2319F4CA"/>
    <w:rsid w:val="2399326C"/>
    <w:rsid w:val="23D24C9A"/>
    <w:rsid w:val="2461F3E1"/>
    <w:rsid w:val="24CC3962"/>
    <w:rsid w:val="24D31D6B"/>
    <w:rsid w:val="2576EC99"/>
    <w:rsid w:val="257F35EF"/>
    <w:rsid w:val="25B58ADA"/>
    <w:rsid w:val="25DB3AE3"/>
    <w:rsid w:val="25E6C4CC"/>
    <w:rsid w:val="26072EFC"/>
    <w:rsid w:val="2620B70A"/>
    <w:rsid w:val="262B6477"/>
    <w:rsid w:val="263B0EEB"/>
    <w:rsid w:val="270724CB"/>
    <w:rsid w:val="274872C4"/>
    <w:rsid w:val="275505C9"/>
    <w:rsid w:val="27928CD5"/>
    <w:rsid w:val="27950352"/>
    <w:rsid w:val="27E72316"/>
    <w:rsid w:val="27EEA862"/>
    <w:rsid w:val="2881ADDC"/>
    <w:rsid w:val="289634E5"/>
    <w:rsid w:val="29293262"/>
    <w:rsid w:val="296BBE5D"/>
    <w:rsid w:val="29A074F9"/>
    <w:rsid w:val="29E835FB"/>
    <w:rsid w:val="29F3E178"/>
    <w:rsid w:val="2ADC8A21"/>
    <w:rsid w:val="2B6DFF66"/>
    <w:rsid w:val="2B736C09"/>
    <w:rsid w:val="2B7566F5"/>
    <w:rsid w:val="2BBDD44E"/>
    <w:rsid w:val="2D5F47A7"/>
    <w:rsid w:val="2DAD4AE0"/>
    <w:rsid w:val="2DC21933"/>
    <w:rsid w:val="2E0C263B"/>
    <w:rsid w:val="2E869E69"/>
    <w:rsid w:val="2EBF1161"/>
    <w:rsid w:val="2F4E2F13"/>
    <w:rsid w:val="2F6D2DC6"/>
    <w:rsid w:val="2F96ACBC"/>
    <w:rsid w:val="301B209E"/>
    <w:rsid w:val="30536332"/>
    <w:rsid w:val="3139D515"/>
    <w:rsid w:val="31C3C838"/>
    <w:rsid w:val="31F3BAA2"/>
    <w:rsid w:val="3207E3B7"/>
    <w:rsid w:val="320ED388"/>
    <w:rsid w:val="32F1E84D"/>
    <w:rsid w:val="334477C6"/>
    <w:rsid w:val="33B2D8DC"/>
    <w:rsid w:val="33D5A58A"/>
    <w:rsid w:val="33E7CEF1"/>
    <w:rsid w:val="346CCEE8"/>
    <w:rsid w:val="34A0E49C"/>
    <w:rsid w:val="34B1D1E7"/>
    <w:rsid w:val="34F8FDB2"/>
    <w:rsid w:val="3526BC16"/>
    <w:rsid w:val="360EFC7D"/>
    <w:rsid w:val="363C6A5E"/>
    <w:rsid w:val="36F77197"/>
    <w:rsid w:val="37476E70"/>
    <w:rsid w:val="378A01E2"/>
    <w:rsid w:val="38624120"/>
    <w:rsid w:val="38965D3D"/>
    <w:rsid w:val="39117D7A"/>
    <w:rsid w:val="3AD15D8B"/>
    <w:rsid w:val="3AE42208"/>
    <w:rsid w:val="3B50D579"/>
    <w:rsid w:val="3BB6FA4E"/>
    <w:rsid w:val="3BB8388F"/>
    <w:rsid w:val="3BE9A006"/>
    <w:rsid w:val="3C28446D"/>
    <w:rsid w:val="3C98D6B2"/>
    <w:rsid w:val="3CDD37C6"/>
    <w:rsid w:val="3D7911E8"/>
    <w:rsid w:val="3DBF0295"/>
    <w:rsid w:val="3DD0D8BF"/>
    <w:rsid w:val="3E147AF0"/>
    <w:rsid w:val="3E1F83E1"/>
    <w:rsid w:val="3E75FB34"/>
    <w:rsid w:val="3F348ECC"/>
    <w:rsid w:val="3F88392C"/>
    <w:rsid w:val="3FB53965"/>
    <w:rsid w:val="404F1B0D"/>
    <w:rsid w:val="406C99B7"/>
    <w:rsid w:val="40AE557D"/>
    <w:rsid w:val="41365143"/>
    <w:rsid w:val="416F3521"/>
    <w:rsid w:val="418BDFBF"/>
    <w:rsid w:val="41A3DF5C"/>
    <w:rsid w:val="42432EEB"/>
    <w:rsid w:val="426BF3C2"/>
    <w:rsid w:val="4284FDCE"/>
    <w:rsid w:val="42B16236"/>
    <w:rsid w:val="42E65808"/>
    <w:rsid w:val="441A91CE"/>
    <w:rsid w:val="44548484"/>
    <w:rsid w:val="44906074"/>
    <w:rsid w:val="44C4F869"/>
    <w:rsid w:val="4529CFE5"/>
    <w:rsid w:val="460154EB"/>
    <w:rsid w:val="464A0F10"/>
    <w:rsid w:val="465886D5"/>
    <w:rsid w:val="46E52DFD"/>
    <w:rsid w:val="46E88C57"/>
    <w:rsid w:val="47A1700A"/>
    <w:rsid w:val="47F19059"/>
    <w:rsid w:val="483DF347"/>
    <w:rsid w:val="484F7480"/>
    <w:rsid w:val="4854F068"/>
    <w:rsid w:val="488A5CE2"/>
    <w:rsid w:val="48B3352E"/>
    <w:rsid w:val="48B43D84"/>
    <w:rsid w:val="4923D299"/>
    <w:rsid w:val="495341D9"/>
    <w:rsid w:val="4A171823"/>
    <w:rsid w:val="4A1B7152"/>
    <w:rsid w:val="4A2D10B9"/>
    <w:rsid w:val="4AE5FE76"/>
    <w:rsid w:val="4B10EFEC"/>
    <w:rsid w:val="4B1E9995"/>
    <w:rsid w:val="4B4F95B5"/>
    <w:rsid w:val="4BB8A1C4"/>
    <w:rsid w:val="4BFF8F41"/>
    <w:rsid w:val="4C025E0D"/>
    <w:rsid w:val="4C25AA93"/>
    <w:rsid w:val="4D0DE1CE"/>
    <w:rsid w:val="4D44522C"/>
    <w:rsid w:val="4D4D6C82"/>
    <w:rsid w:val="4E225CB0"/>
    <w:rsid w:val="4EDAA2DB"/>
    <w:rsid w:val="4FCC9375"/>
    <w:rsid w:val="507D5808"/>
    <w:rsid w:val="509E0B48"/>
    <w:rsid w:val="514CA80F"/>
    <w:rsid w:val="519F5998"/>
    <w:rsid w:val="52012C06"/>
    <w:rsid w:val="528C8559"/>
    <w:rsid w:val="528EE1BF"/>
    <w:rsid w:val="529413D3"/>
    <w:rsid w:val="5346A6FE"/>
    <w:rsid w:val="534BA9B7"/>
    <w:rsid w:val="538DDC9B"/>
    <w:rsid w:val="539D8DE5"/>
    <w:rsid w:val="54E1948D"/>
    <w:rsid w:val="5516271E"/>
    <w:rsid w:val="557E3C50"/>
    <w:rsid w:val="55E53734"/>
    <w:rsid w:val="560B799E"/>
    <w:rsid w:val="563C312A"/>
    <w:rsid w:val="5656F9E2"/>
    <w:rsid w:val="573D1048"/>
    <w:rsid w:val="5744CD5F"/>
    <w:rsid w:val="57CCF0D2"/>
    <w:rsid w:val="586AC852"/>
    <w:rsid w:val="58828E72"/>
    <w:rsid w:val="58D84F15"/>
    <w:rsid w:val="5A50B29B"/>
    <w:rsid w:val="5A7E00BF"/>
    <w:rsid w:val="5A920816"/>
    <w:rsid w:val="5AAAB760"/>
    <w:rsid w:val="5B60E506"/>
    <w:rsid w:val="5B79E9B9"/>
    <w:rsid w:val="5B7AF8AE"/>
    <w:rsid w:val="5B902B46"/>
    <w:rsid w:val="5BE1B65A"/>
    <w:rsid w:val="5C4DEB0B"/>
    <w:rsid w:val="5CE771F1"/>
    <w:rsid w:val="5CEEF523"/>
    <w:rsid w:val="5D9515C3"/>
    <w:rsid w:val="5DBFBD6C"/>
    <w:rsid w:val="5F499A3F"/>
    <w:rsid w:val="5FBBDB9A"/>
    <w:rsid w:val="6050B2EB"/>
    <w:rsid w:val="608E74BF"/>
    <w:rsid w:val="60F0B96C"/>
    <w:rsid w:val="6209464C"/>
    <w:rsid w:val="6381B405"/>
    <w:rsid w:val="63923E03"/>
    <w:rsid w:val="6458D412"/>
    <w:rsid w:val="64922565"/>
    <w:rsid w:val="64EAEEE4"/>
    <w:rsid w:val="650178CC"/>
    <w:rsid w:val="6522E8A4"/>
    <w:rsid w:val="655E3CE7"/>
    <w:rsid w:val="656DA0A1"/>
    <w:rsid w:val="659D0103"/>
    <w:rsid w:val="65BD156A"/>
    <w:rsid w:val="67B798CD"/>
    <w:rsid w:val="67E971DB"/>
    <w:rsid w:val="68F8AEF0"/>
    <w:rsid w:val="6901D81E"/>
    <w:rsid w:val="694BEF44"/>
    <w:rsid w:val="694F468A"/>
    <w:rsid w:val="69DA32E4"/>
    <w:rsid w:val="69E07939"/>
    <w:rsid w:val="6A109C46"/>
    <w:rsid w:val="6A1BACF4"/>
    <w:rsid w:val="6A6C5A93"/>
    <w:rsid w:val="6A8D4254"/>
    <w:rsid w:val="6AB84137"/>
    <w:rsid w:val="6ACC6EC6"/>
    <w:rsid w:val="6B28D43A"/>
    <w:rsid w:val="6B45043F"/>
    <w:rsid w:val="6B636404"/>
    <w:rsid w:val="6C24FCFE"/>
    <w:rsid w:val="6C56CA77"/>
    <w:rsid w:val="6C7B0AD7"/>
    <w:rsid w:val="6CEEB13B"/>
    <w:rsid w:val="6CF8CCDB"/>
    <w:rsid w:val="6D6F41DB"/>
    <w:rsid w:val="6DEF114D"/>
    <w:rsid w:val="6E2FE7C2"/>
    <w:rsid w:val="6E44A380"/>
    <w:rsid w:val="6EA047AB"/>
    <w:rsid w:val="6F29D016"/>
    <w:rsid w:val="6F2C6EDF"/>
    <w:rsid w:val="6F437466"/>
    <w:rsid w:val="6F4CA7D8"/>
    <w:rsid w:val="6F82AF21"/>
    <w:rsid w:val="6F88A9FE"/>
    <w:rsid w:val="70ACAD89"/>
    <w:rsid w:val="70B2D109"/>
    <w:rsid w:val="70CA0505"/>
    <w:rsid w:val="70FD6864"/>
    <w:rsid w:val="710DFEAB"/>
    <w:rsid w:val="7151DC0F"/>
    <w:rsid w:val="71CD27F6"/>
    <w:rsid w:val="72529E0E"/>
    <w:rsid w:val="728706F9"/>
    <w:rsid w:val="72B16B2E"/>
    <w:rsid w:val="72DC36B4"/>
    <w:rsid w:val="73299E95"/>
    <w:rsid w:val="7351683F"/>
    <w:rsid w:val="737447A0"/>
    <w:rsid w:val="7384C03B"/>
    <w:rsid w:val="738F0C1C"/>
    <w:rsid w:val="74010315"/>
    <w:rsid w:val="744A510B"/>
    <w:rsid w:val="74AB41C0"/>
    <w:rsid w:val="74EE9AEE"/>
    <w:rsid w:val="751BF7EF"/>
    <w:rsid w:val="75A55672"/>
    <w:rsid w:val="75A98743"/>
    <w:rsid w:val="75B2B8AD"/>
    <w:rsid w:val="76052630"/>
    <w:rsid w:val="7614DAD0"/>
    <w:rsid w:val="76646D83"/>
    <w:rsid w:val="76E93B3F"/>
    <w:rsid w:val="77088D8F"/>
    <w:rsid w:val="772754C6"/>
    <w:rsid w:val="780F8307"/>
    <w:rsid w:val="78243382"/>
    <w:rsid w:val="785FA6D3"/>
    <w:rsid w:val="78A6308A"/>
    <w:rsid w:val="79CA2574"/>
    <w:rsid w:val="7A07747E"/>
    <w:rsid w:val="7A41B6D8"/>
    <w:rsid w:val="7A54F500"/>
    <w:rsid w:val="7A5C0D7E"/>
    <w:rsid w:val="7A713F45"/>
    <w:rsid w:val="7A78AA93"/>
    <w:rsid w:val="7A7DBD38"/>
    <w:rsid w:val="7AC660D1"/>
    <w:rsid w:val="7B91672C"/>
    <w:rsid w:val="7C424F12"/>
    <w:rsid w:val="7CD931C5"/>
    <w:rsid w:val="7D4CA071"/>
    <w:rsid w:val="7DB2AB36"/>
    <w:rsid w:val="7EA33A69"/>
    <w:rsid w:val="7ECD168E"/>
    <w:rsid w:val="7F132D24"/>
    <w:rsid w:val="7F2D095D"/>
    <w:rsid w:val="7F39BF98"/>
    <w:rsid w:val="7F767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4DD8FF7E-5F4B-4430-BCA2-25AACAE5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B8"/>
    <w:pPr>
      <w:spacing w:before="120" w:line="240" w:lineRule="auto"/>
    </w:pPr>
    <w:rPr>
      <w:rFonts w:ascii="Arial" w:hAnsi="Arial"/>
    </w:rPr>
  </w:style>
  <w:style w:type="paragraph" w:styleId="Heading1">
    <w:name w:val="heading 1"/>
    <w:basedOn w:val="Normal"/>
    <w:next w:val="Normal"/>
    <w:link w:val="Heading1Char"/>
    <w:uiPriority w:val="9"/>
    <w:qFormat/>
    <w:rsid w:val="00BD2D10"/>
    <w:pPr>
      <w:keepNext/>
      <w:keepLines/>
      <w:numPr>
        <w:numId w:val="11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E53ACC"/>
    <w:pPr>
      <w:keepNext/>
      <w:keepLines/>
      <w:numPr>
        <w:ilvl w:val="1"/>
        <w:numId w:val="2"/>
      </w:numPr>
      <w:shd w:val="clear" w:color="auto" w:fill="FFFFFF" w:themeFill="background1"/>
      <w:spacing w:before="160" w:after="80"/>
      <w:outlineLvl w:val="1"/>
    </w:pPr>
    <w:rPr>
      <w:rFonts w:eastAsiaTheme="majorEastAsia" w:cstheme="majorBidi"/>
      <w:lang w:val="en-US" w:eastAsia="en-GB"/>
    </w:rPr>
  </w:style>
  <w:style w:type="paragraph" w:styleId="Heading3">
    <w:name w:val="heading 3"/>
    <w:basedOn w:val="Normal"/>
    <w:next w:val="Normal"/>
    <w:link w:val="Heading3Char"/>
    <w:uiPriority w:val="9"/>
    <w:unhideWhenUsed/>
    <w:qFormat/>
    <w:rsid w:val="00F63519"/>
    <w:pPr>
      <w:keepNext/>
      <w:keepLines/>
      <w:numPr>
        <w:ilvl w:val="2"/>
        <w:numId w:val="114"/>
      </w:numPr>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ACC"/>
    <w:rPr>
      <w:rFonts w:ascii="Arial" w:eastAsiaTheme="majorEastAsia" w:hAnsi="Arial" w:cstheme="majorBidi"/>
      <w:shd w:val="clear" w:color="auto" w:fill="FFFFFF" w:themeFill="background1"/>
      <w:lang w:val="en-US" w:eastAsia="en-GB"/>
    </w:rPr>
  </w:style>
  <w:style w:type="character" w:customStyle="1" w:styleId="Heading3Char">
    <w:name w:val="Heading 3 Char"/>
    <w:basedOn w:val="DefaultParagraphFont"/>
    <w:link w:val="Heading3"/>
    <w:uiPriority w:val="9"/>
    <w:rsid w:val="00F63519"/>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aliases w:val="List Paragraph spacing,Numbered Para 1,Dot pt,No Spacing1,List Paragraph Char Char Char,Indicator Text,List Paragraph1,Bullet Points,MAIN CONTENT,F5 List Paragraph,List Paragraph12,Colorful List - Accent 11,Normal numbered,OBC Bullet,L"/>
    <w:basedOn w:val="Normal"/>
    <w:link w:val="ListParagraphChar"/>
    <w:uiPriority w:val="34"/>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character" w:styleId="PlaceholderText">
    <w:name w:val="Placeholder Text"/>
    <w:uiPriority w:val="99"/>
    <w:semiHidden/>
    <w:rsid w:val="009E61D2"/>
    <w:rPr>
      <w:color w:val="808080"/>
    </w:rPr>
  </w:style>
  <w:style w:type="character" w:styleId="UnresolvedMention">
    <w:name w:val="Unresolved Mention"/>
    <w:basedOn w:val="DefaultParagraphFont"/>
    <w:uiPriority w:val="99"/>
    <w:semiHidden/>
    <w:unhideWhenUsed/>
    <w:rsid w:val="00384BEE"/>
    <w:rPr>
      <w:color w:val="605E5C"/>
      <w:shd w:val="clear" w:color="auto" w:fill="E1DFDD"/>
    </w:rPr>
  </w:style>
  <w:style w:type="paragraph" w:styleId="TOC3">
    <w:name w:val="toc 3"/>
    <w:basedOn w:val="Normal"/>
    <w:next w:val="Normal"/>
    <w:autoRedefine/>
    <w:uiPriority w:val="39"/>
    <w:unhideWhenUsed/>
    <w:rsid w:val="00B146FA"/>
    <w:pPr>
      <w:spacing w:before="0" w:after="100" w:line="259" w:lineRule="auto"/>
      <w:ind w:left="440"/>
    </w:pPr>
    <w:rPr>
      <w:rFonts w:asciiTheme="minorHAnsi" w:eastAsiaTheme="minorEastAsia" w:hAnsiTheme="minorHAnsi" w:cs="Times New Roman"/>
      <w:kern w:val="0"/>
      <w:lang w:val="en-US"/>
      <w14:ligatures w14:val="none"/>
    </w:rPr>
  </w:style>
  <w:style w:type="character" w:styleId="Mention">
    <w:name w:val="Mention"/>
    <w:basedOn w:val="DefaultParagraphFont"/>
    <w:uiPriority w:val="99"/>
    <w:unhideWhenUsed/>
    <w:rsid w:val="007749C5"/>
    <w:rPr>
      <w:color w:val="2B579A"/>
      <w:shd w:val="clear" w:color="auto" w:fill="E1DFDD"/>
    </w:rPr>
  </w:style>
  <w:style w:type="paragraph" w:customStyle="1" w:styleId="Default">
    <w:name w:val="Default"/>
    <w:rsid w:val="00877DF5"/>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List Paragraph spacing Char,Numbered Para 1 Char,Dot pt Char,No Spacing1 Char,List Paragraph Char Char Char Char,Indicator Text Char,List Paragraph1 Char,Bullet Points Char,MAIN CONTENT Char,F5 List Paragraph Char,OBC Bullet Char"/>
    <w:link w:val="ListParagraph"/>
    <w:uiPriority w:val="34"/>
    <w:qFormat/>
    <w:rsid w:val="00C423DA"/>
    <w:rPr>
      <w:rFonts w:ascii="Arial" w:hAnsi="Arial"/>
    </w:rPr>
  </w:style>
  <w:style w:type="paragraph" w:styleId="FootnoteText">
    <w:name w:val="footnote text"/>
    <w:aliases w:val="Footnote Text Char1 Char,Footnote Text Char Char Char,fn"/>
    <w:basedOn w:val="Normal"/>
    <w:link w:val="FootnoteTextChar"/>
    <w:uiPriority w:val="99"/>
    <w:unhideWhenUsed/>
    <w:rsid w:val="009869C1"/>
    <w:pPr>
      <w:spacing w:before="0" w:after="0"/>
    </w:pPr>
    <w:rPr>
      <w:rFonts w:asciiTheme="minorHAnsi" w:eastAsia="Calibri" w:hAnsiTheme="minorHAnsi" w:cs="Times New Roman"/>
      <w:kern w:val="0"/>
      <w:sz w:val="20"/>
      <w:szCs w:val="20"/>
      <w:lang w:val="x-none"/>
      <w14:ligatures w14:val="none"/>
    </w:rPr>
  </w:style>
  <w:style w:type="character" w:customStyle="1" w:styleId="FootnoteTextChar">
    <w:name w:val="Footnote Text Char"/>
    <w:aliases w:val="Footnote Text Char1 Char Char,Footnote Text Char Char Char Char,fn Char"/>
    <w:basedOn w:val="DefaultParagraphFont"/>
    <w:link w:val="FootnoteText"/>
    <w:uiPriority w:val="99"/>
    <w:rsid w:val="009869C1"/>
    <w:rPr>
      <w:rFonts w:eastAsia="Calibri" w:cs="Times New Roman"/>
      <w:kern w:val="0"/>
      <w:sz w:val="20"/>
      <w:szCs w:val="20"/>
      <w:lang w:val="x-none"/>
      <w14:ligatures w14:val="none"/>
    </w:rPr>
  </w:style>
  <w:style w:type="character" w:styleId="FootnoteReference">
    <w:name w:val="footnote reference"/>
    <w:uiPriority w:val="99"/>
    <w:unhideWhenUsed/>
    <w:rsid w:val="009869C1"/>
    <w:rPr>
      <w:vertAlign w:val="superscript"/>
    </w:rPr>
  </w:style>
  <w:style w:type="table" w:customStyle="1" w:styleId="TableGrid1">
    <w:name w:val="Table Grid1"/>
    <w:basedOn w:val="TableNormal"/>
    <w:next w:val="TableGrid"/>
    <w:uiPriority w:val="39"/>
    <w:rsid w:val="003D49F2"/>
    <w:pPr>
      <w:spacing w:after="200" w:line="276"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3E4C"/>
    <w:pPr>
      <w:spacing w:after="200" w:line="276"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494"/>
    <w:pPr>
      <w:spacing w:after="0" w:line="240" w:lineRule="auto"/>
    </w:pPr>
    <w:rPr>
      <w:rFonts w:ascii="Arial" w:hAnsi="Arial"/>
    </w:rPr>
  </w:style>
  <w:style w:type="character" w:customStyle="1" w:styleId="normaltextrun">
    <w:name w:val="normaltextrun"/>
    <w:basedOn w:val="DefaultParagraphFont"/>
    <w:rsid w:val="00682BA3"/>
  </w:style>
  <w:style w:type="character" w:customStyle="1" w:styleId="eop">
    <w:name w:val="eop"/>
    <w:basedOn w:val="DefaultParagraphFont"/>
    <w:rsid w:val="00682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238">
      <w:bodyDiv w:val="1"/>
      <w:marLeft w:val="0"/>
      <w:marRight w:val="0"/>
      <w:marTop w:val="0"/>
      <w:marBottom w:val="0"/>
      <w:divBdr>
        <w:top w:val="none" w:sz="0" w:space="0" w:color="auto"/>
        <w:left w:val="none" w:sz="0" w:space="0" w:color="auto"/>
        <w:bottom w:val="none" w:sz="0" w:space="0" w:color="auto"/>
        <w:right w:val="none" w:sz="0" w:space="0" w:color="auto"/>
      </w:divBdr>
    </w:div>
    <w:div w:id="838275105">
      <w:bodyDiv w:val="1"/>
      <w:marLeft w:val="0"/>
      <w:marRight w:val="0"/>
      <w:marTop w:val="0"/>
      <w:marBottom w:val="0"/>
      <w:divBdr>
        <w:top w:val="none" w:sz="0" w:space="0" w:color="auto"/>
        <w:left w:val="none" w:sz="0" w:space="0" w:color="auto"/>
        <w:bottom w:val="none" w:sz="0" w:space="0" w:color="auto"/>
        <w:right w:val="none" w:sz="0" w:space="0" w:color="auto"/>
      </w:divBdr>
      <w:divsChild>
        <w:div w:id="8340669">
          <w:marLeft w:val="0"/>
          <w:marRight w:val="0"/>
          <w:marTop w:val="0"/>
          <w:marBottom w:val="0"/>
          <w:divBdr>
            <w:top w:val="none" w:sz="0" w:space="0" w:color="auto"/>
            <w:left w:val="none" w:sz="0" w:space="0" w:color="auto"/>
            <w:bottom w:val="none" w:sz="0" w:space="0" w:color="auto"/>
            <w:right w:val="none" w:sz="0" w:space="0" w:color="auto"/>
          </w:divBdr>
          <w:divsChild>
            <w:div w:id="624889967">
              <w:marLeft w:val="-75"/>
              <w:marRight w:val="0"/>
              <w:marTop w:val="30"/>
              <w:marBottom w:val="30"/>
              <w:divBdr>
                <w:top w:val="none" w:sz="0" w:space="0" w:color="auto"/>
                <w:left w:val="none" w:sz="0" w:space="0" w:color="auto"/>
                <w:bottom w:val="none" w:sz="0" w:space="0" w:color="auto"/>
                <w:right w:val="none" w:sz="0" w:space="0" w:color="auto"/>
              </w:divBdr>
              <w:divsChild>
                <w:div w:id="355491">
                  <w:marLeft w:val="0"/>
                  <w:marRight w:val="0"/>
                  <w:marTop w:val="0"/>
                  <w:marBottom w:val="0"/>
                  <w:divBdr>
                    <w:top w:val="none" w:sz="0" w:space="0" w:color="auto"/>
                    <w:left w:val="none" w:sz="0" w:space="0" w:color="auto"/>
                    <w:bottom w:val="none" w:sz="0" w:space="0" w:color="auto"/>
                    <w:right w:val="none" w:sz="0" w:space="0" w:color="auto"/>
                  </w:divBdr>
                  <w:divsChild>
                    <w:div w:id="1019359285">
                      <w:marLeft w:val="0"/>
                      <w:marRight w:val="0"/>
                      <w:marTop w:val="0"/>
                      <w:marBottom w:val="0"/>
                      <w:divBdr>
                        <w:top w:val="none" w:sz="0" w:space="0" w:color="auto"/>
                        <w:left w:val="none" w:sz="0" w:space="0" w:color="auto"/>
                        <w:bottom w:val="none" w:sz="0" w:space="0" w:color="auto"/>
                        <w:right w:val="none" w:sz="0" w:space="0" w:color="auto"/>
                      </w:divBdr>
                    </w:div>
                  </w:divsChild>
                </w:div>
                <w:div w:id="116611698">
                  <w:marLeft w:val="0"/>
                  <w:marRight w:val="0"/>
                  <w:marTop w:val="0"/>
                  <w:marBottom w:val="0"/>
                  <w:divBdr>
                    <w:top w:val="none" w:sz="0" w:space="0" w:color="auto"/>
                    <w:left w:val="none" w:sz="0" w:space="0" w:color="auto"/>
                    <w:bottom w:val="none" w:sz="0" w:space="0" w:color="auto"/>
                    <w:right w:val="none" w:sz="0" w:space="0" w:color="auto"/>
                  </w:divBdr>
                  <w:divsChild>
                    <w:div w:id="1477842292">
                      <w:marLeft w:val="0"/>
                      <w:marRight w:val="0"/>
                      <w:marTop w:val="0"/>
                      <w:marBottom w:val="0"/>
                      <w:divBdr>
                        <w:top w:val="none" w:sz="0" w:space="0" w:color="auto"/>
                        <w:left w:val="none" w:sz="0" w:space="0" w:color="auto"/>
                        <w:bottom w:val="none" w:sz="0" w:space="0" w:color="auto"/>
                        <w:right w:val="none" w:sz="0" w:space="0" w:color="auto"/>
                      </w:divBdr>
                    </w:div>
                  </w:divsChild>
                </w:div>
                <w:div w:id="728724663">
                  <w:marLeft w:val="0"/>
                  <w:marRight w:val="0"/>
                  <w:marTop w:val="0"/>
                  <w:marBottom w:val="0"/>
                  <w:divBdr>
                    <w:top w:val="none" w:sz="0" w:space="0" w:color="auto"/>
                    <w:left w:val="none" w:sz="0" w:space="0" w:color="auto"/>
                    <w:bottom w:val="none" w:sz="0" w:space="0" w:color="auto"/>
                    <w:right w:val="none" w:sz="0" w:space="0" w:color="auto"/>
                  </w:divBdr>
                  <w:divsChild>
                    <w:div w:id="853418541">
                      <w:marLeft w:val="0"/>
                      <w:marRight w:val="0"/>
                      <w:marTop w:val="0"/>
                      <w:marBottom w:val="0"/>
                      <w:divBdr>
                        <w:top w:val="none" w:sz="0" w:space="0" w:color="auto"/>
                        <w:left w:val="none" w:sz="0" w:space="0" w:color="auto"/>
                        <w:bottom w:val="none" w:sz="0" w:space="0" w:color="auto"/>
                        <w:right w:val="none" w:sz="0" w:space="0" w:color="auto"/>
                      </w:divBdr>
                    </w:div>
                  </w:divsChild>
                </w:div>
                <w:div w:id="869269865">
                  <w:marLeft w:val="0"/>
                  <w:marRight w:val="0"/>
                  <w:marTop w:val="0"/>
                  <w:marBottom w:val="0"/>
                  <w:divBdr>
                    <w:top w:val="none" w:sz="0" w:space="0" w:color="auto"/>
                    <w:left w:val="none" w:sz="0" w:space="0" w:color="auto"/>
                    <w:bottom w:val="none" w:sz="0" w:space="0" w:color="auto"/>
                    <w:right w:val="none" w:sz="0" w:space="0" w:color="auto"/>
                  </w:divBdr>
                  <w:divsChild>
                    <w:div w:id="857236685">
                      <w:marLeft w:val="0"/>
                      <w:marRight w:val="0"/>
                      <w:marTop w:val="0"/>
                      <w:marBottom w:val="0"/>
                      <w:divBdr>
                        <w:top w:val="none" w:sz="0" w:space="0" w:color="auto"/>
                        <w:left w:val="none" w:sz="0" w:space="0" w:color="auto"/>
                        <w:bottom w:val="none" w:sz="0" w:space="0" w:color="auto"/>
                        <w:right w:val="none" w:sz="0" w:space="0" w:color="auto"/>
                      </w:divBdr>
                    </w:div>
                  </w:divsChild>
                </w:div>
                <w:div w:id="1185171396">
                  <w:marLeft w:val="0"/>
                  <w:marRight w:val="0"/>
                  <w:marTop w:val="0"/>
                  <w:marBottom w:val="0"/>
                  <w:divBdr>
                    <w:top w:val="none" w:sz="0" w:space="0" w:color="auto"/>
                    <w:left w:val="none" w:sz="0" w:space="0" w:color="auto"/>
                    <w:bottom w:val="none" w:sz="0" w:space="0" w:color="auto"/>
                    <w:right w:val="none" w:sz="0" w:space="0" w:color="auto"/>
                  </w:divBdr>
                  <w:divsChild>
                    <w:div w:id="1587613275">
                      <w:marLeft w:val="0"/>
                      <w:marRight w:val="0"/>
                      <w:marTop w:val="0"/>
                      <w:marBottom w:val="0"/>
                      <w:divBdr>
                        <w:top w:val="none" w:sz="0" w:space="0" w:color="auto"/>
                        <w:left w:val="none" w:sz="0" w:space="0" w:color="auto"/>
                        <w:bottom w:val="none" w:sz="0" w:space="0" w:color="auto"/>
                        <w:right w:val="none" w:sz="0" w:space="0" w:color="auto"/>
                      </w:divBdr>
                    </w:div>
                  </w:divsChild>
                </w:div>
                <w:div w:id="1329019853">
                  <w:marLeft w:val="0"/>
                  <w:marRight w:val="0"/>
                  <w:marTop w:val="0"/>
                  <w:marBottom w:val="0"/>
                  <w:divBdr>
                    <w:top w:val="none" w:sz="0" w:space="0" w:color="auto"/>
                    <w:left w:val="none" w:sz="0" w:space="0" w:color="auto"/>
                    <w:bottom w:val="none" w:sz="0" w:space="0" w:color="auto"/>
                    <w:right w:val="none" w:sz="0" w:space="0" w:color="auto"/>
                  </w:divBdr>
                  <w:divsChild>
                    <w:div w:id="8282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62">
          <w:marLeft w:val="0"/>
          <w:marRight w:val="0"/>
          <w:marTop w:val="0"/>
          <w:marBottom w:val="0"/>
          <w:divBdr>
            <w:top w:val="none" w:sz="0" w:space="0" w:color="auto"/>
            <w:left w:val="none" w:sz="0" w:space="0" w:color="auto"/>
            <w:bottom w:val="none" w:sz="0" w:space="0" w:color="auto"/>
            <w:right w:val="none" w:sz="0" w:space="0" w:color="auto"/>
          </w:divBdr>
          <w:divsChild>
            <w:div w:id="1718896375">
              <w:marLeft w:val="-75"/>
              <w:marRight w:val="0"/>
              <w:marTop w:val="30"/>
              <w:marBottom w:val="30"/>
              <w:divBdr>
                <w:top w:val="none" w:sz="0" w:space="0" w:color="auto"/>
                <w:left w:val="none" w:sz="0" w:space="0" w:color="auto"/>
                <w:bottom w:val="none" w:sz="0" w:space="0" w:color="auto"/>
                <w:right w:val="none" w:sz="0" w:space="0" w:color="auto"/>
              </w:divBdr>
              <w:divsChild>
                <w:div w:id="43529938">
                  <w:marLeft w:val="0"/>
                  <w:marRight w:val="0"/>
                  <w:marTop w:val="0"/>
                  <w:marBottom w:val="0"/>
                  <w:divBdr>
                    <w:top w:val="none" w:sz="0" w:space="0" w:color="auto"/>
                    <w:left w:val="none" w:sz="0" w:space="0" w:color="auto"/>
                    <w:bottom w:val="none" w:sz="0" w:space="0" w:color="auto"/>
                    <w:right w:val="none" w:sz="0" w:space="0" w:color="auto"/>
                  </w:divBdr>
                  <w:divsChild>
                    <w:div w:id="426540841">
                      <w:marLeft w:val="0"/>
                      <w:marRight w:val="0"/>
                      <w:marTop w:val="0"/>
                      <w:marBottom w:val="0"/>
                      <w:divBdr>
                        <w:top w:val="none" w:sz="0" w:space="0" w:color="auto"/>
                        <w:left w:val="none" w:sz="0" w:space="0" w:color="auto"/>
                        <w:bottom w:val="none" w:sz="0" w:space="0" w:color="auto"/>
                        <w:right w:val="none" w:sz="0" w:space="0" w:color="auto"/>
                      </w:divBdr>
                    </w:div>
                  </w:divsChild>
                </w:div>
                <w:div w:id="192109016">
                  <w:marLeft w:val="0"/>
                  <w:marRight w:val="0"/>
                  <w:marTop w:val="0"/>
                  <w:marBottom w:val="0"/>
                  <w:divBdr>
                    <w:top w:val="none" w:sz="0" w:space="0" w:color="auto"/>
                    <w:left w:val="none" w:sz="0" w:space="0" w:color="auto"/>
                    <w:bottom w:val="none" w:sz="0" w:space="0" w:color="auto"/>
                    <w:right w:val="none" w:sz="0" w:space="0" w:color="auto"/>
                  </w:divBdr>
                  <w:divsChild>
                    <w:div w:id="810289993">
                      <w:marLeft w:val="0"/>
                      <w:marRight w:val="0"/>
                      <w:marTop w:val="0"/>
                      <w:marBottom w:val="0"/>
                      <w:divBdr>
                        <w:top w:val="none" w:sz="0" w:space="0" w:color="auto"/>
                        <w:left w:val="none" w:sz="0" w:space="0" w:color="auto"/>
                        <w:bottom w:val="none" w:sz="0" w:space="0" w:color="auto"/>
                        <w:right w:val="none" w:sz="0" w:space="0" w:color="auto"/>
                      </w:divBdr>
                    </w:div>
                  </w:divsChild>
                </w:div>
                <w:div w:id="259291186">
                  <w:marLeft w:val="0"/>
                  <w:marRight w:val="0"/>
                  <w:marTop w:val="0"/>
                  <w:marBottom w:val="0"/>
                  <w:divBdr>
                    <w:top w:val="none" w:sz="0" w:space="0" w:color="auto"/>
                    <w:left w:val="none" w:sz="0" w:space="0" w:color="auto"/>
                    <w:bottom w:val="none" w:sz="0" w:space="0" w:color="auto"/>
                    <w:right w:val="none" w:sz="0" w:space="0" w:color="auto"/>
                  </w:divBdr>
                  <w:divsChild>
                    <w:div w:id="1306741028">
                      <w:marLeft w:val="0"/>
                      <w:marRight w:val="0"/>
                      <w:marTop w:val="0"/>
                      <w:marBottom w:val="0"/>
                      <w:divBdr>
                        <w:top w:val="none" w:sz="0" w:space="0" w:color="auto"/>
                        <w:left w:val="none" w:sz="0" w:space="0" w:color="auto"/>
                        <w:bottom w:val="none" w:sz="0" w:space="0" w:color="auto"/>
                        <w:right w:val="none" w:sz="0" w:space="0" w:color="auto"/>
                      </w:divBdr>
                    </w:div>
                  </w:divsChild>
                </w:div>
                <w:div w:id="348871036">
                  <w:marLeft w:val="0"/>
                  <w:marRight w:val="0"/>
                  <w:marTop w:val="0"/>
                  <w:marBottom w:val="0"/>
                  <w:divBdr>
                    <w:top w:val="none" w:sz="0" w:space="0" w:color="auto"/>
                    <w:left w:val="none" w:sz="0" w:space="0" w:color="auto"/>
                    <w:bottom w:val="none" w:sz="0" w:space="0" w:color="auto"/>
                    <w:right w:val="none" w:sz="0" w:space="0" w:color="auto"/>
                  </w:divBdr>
                  <w:divsChild>
                    <w:div w:id="1209994458">
                      <w:marLeft w:val="0"/>
                      <w:marRight w:val="0"/>
                      <w:marTop w:val="0"/>
                      <w:marBottom w:val="0"/>
                      <w:divBdr>
                        <w:top w:val="none" w:sz="0" w:space="0" w:color="auto"/>
                        <w:left w:val="none" w:sz="0" w:space="0" w:color="auto"/>
                        <w:bottom w:val="none" w:sz="0" w:space="0" w:color="auto"/>
                        <w:right w:val="none" w:sz="0" w:space="0" w:color="auto"/>
                      </w:divBdr>
                    </w:div>
                  </w:divsChild>
                </w:div>
                <w:div w:id="439109721">
                  <w:marLeft w:val="0"/>
                  <w:marRight w:val="0"/>
                  <w:marTop w:val="0"/>
                  <w:marBottom w:val="0"/>
                  <w:divBdr>
                    <w:top w:val="none" w:sz="0" w:space="0" w:color="auto"/>
                    <w:left w:val="none" w:sz="0" w:space="0" w:color="auto"/>
                    <w:bottom w:val="none" w:sz="0" w:space="0" w:color="auto"/>
                    <w:right w:val="none" w:sz="0" w:space="0" w:color="auto"/>
                  </w:divBdr>
                  <w:divsChild>
                    <w:div w:id="429742037">
                      <w:marLeft w:val="0"/>
                      <w:marRight w:val="0"/>
                      <w:marTop w:val="0"/>
                      <w:marBottom w:val="0"/>
                      <w:divBdr>
                        <w:top w:val="none" w:sz="0" w:space="0" w:color="auto"/>
                        <w:left w:val="none" w:sz="0" w:space="0" w:color="auto"/>
                        <w:bottom w:val="none" w:sz="0" w:space="0" w:color="auto"/>
                        <w:right w:val="none" w:sz="0" w:space="0" w:color="auto"/>
                      </w:divBdr>
                    </w:div>
                  </w:divsChild>
                </w:div>
                <w:div w:id="445662936">
                  <w:marLeft w:val="0"/>
                  <w:marRight w:val="0"/>
                  <w:marTop w:val="0"/>
                  <w:marBottom w:val="0"/>
                  <w:divBdr>
                    <w:top w:val="none" w:sz="0" w:space="0" w:color="auto"/>
                    <w:left w:val="none" w:sz="0" w:space="0" w:color="auto"/>
                    <w:bottom w:val="none" w:sz="0" w:space="0" w:color="auto"/>
                    <w:right w:val="none" w:sz="0" w:space="0" w:color="auto"/>
                  </w:divBdr>
                  <w:divsChild>
                    <w:div w:id="989015848">
                      <w:marLeft w:val="0"/>
                      <w:marRight w:val="0"/>
                      <w:marTop w:val="0"/>
                      <w:marBottom w:val="0"/>
                      <w:divBdr>
                        <w:top w:val="none" w:sz="0" w:space="0" w:color="auto"/>
                        <w:left w:val="none" w:sz="0" w:space="0" w:color="auto"/>
                        <w:bottom w:val="none" w:sz="0" w:space="0" w:color="auto"/>
                        <w:right w:val="none" w:sz="0" w:space="0" w:color="auto"/>
                      </w:divBdr>
                    </w:div>
                  </w:divsChild>
                </w:div>
                <w:div w:id="562563998">
                  <w:marLeft w:val="0"/>
                  <w:marRight w:val="0"/>
                  <w:marTop w:val="0"/>
                  <w:marBottom w:val="0"/>
                  <w:divBdr>
                    <w:top w:val="none" w:sz="0" w:space="0" w:color="auto"/>
                    <w:left w:val="none" w:sz="0" w:space="0" w:color="auto"/>
                    <w:bottom w:val="none" w:sz="0" w:space="0" w:color="auto"/>
                    <w:right w:val="none" w:sz="0" w:space="0" w:color="auto"/>
                  </w:divBdr>
                  <w:divsChild>
                    <w:div w:id="778791420">
                      <w:marLeft w:val="0"/>
                      <w:marRight w:val="0"/>
                      <w:marTop w:val="0"/>
                      <w:marBottom w:val="0"/>
                      <w:divBdr>
                        <w:top w:val="none" w:sz="0" w:space="0" w:color="auto"/>
                        <w:left w:val="none" w:sz="0" w:space="0" w:color="auto"/>
                        <w:bottom w:val="none" w:sz="0" w:space="0" w:color="auto"/>
                        <w:right w:val="none" w:sz="0" w:space="0" w:color="auto"/>
                      </w:divBdr>
                    </w:div>
                  </w:divsChild>
                </w:div>
                <w:div w:id="648360938">
                  <w:marLeft w:val="0"/>
                  <w:marRight w:val="0"/>
                  <w:marTop w:val="0"/>
                  <w:marBottom w:val="0"/>
                  <w:divBdr>
                    <w:top w:val="none" w:sz="0" w:space="0" w:color="auto"/>
                    <w:left w:val="none" w:sz="0" w:space="0" w:color="auto"/>
                    <w:bottom w:val="none" w:sz="0" w:space="0" w:color="auto"/>
                    <w:right w:val="none" w:sz="0" w:space="0" w:color="auto"/>
                  </w:divBdr>
                  <w:divsChild>
                    <w:div w:id="1802648668">
                      <w:marLeft w:val="0"/>
                      <w:marRight w:val="0"/>
                      <w:marTop w:val="0"/>
                      <w:marBottom w:val="0"/>
                      <w:divBdr>
                        <w:top w:val="none" w:sz="0" w:space="0" w:color="auto"/>
                        <w:left w:val="none" w:sz="0" w:space="0" w:color="auto"/>
                        <w:bottom w:val="none" w:sz="0" w:space="0" w:color="auto"/>
                        <w:right w:val="none" w:sz="0" w:space="0" w:color="auto"/>
                      </w:divBdr>
                    </w:div>
                  </w:divsChild>
                </w:div>
                <w:div w:id="727461500">
                  <w:marLeft w:val="0"/>
                  <w:marRight w:val="0"/>
                  <w:marTop w:val="0"/>
                  <w:marBottom w:val="0"/>
                  <w:divBdr>
                    <w:top w:val="none" w:sz="0" w:space="0" w:color="auto"/>
                    <w:left w:val="none" w:sz="0" w:space="0" w:color="auto"/>
                    <w:bottom w:val="none" w:sz="0" w:space="0" w:color="auto"/>
                    <w:right w:val="none" w:sz="0" w:space="0" w:color="auto"/>
                  </w:divBdr>
                  <w:divsChild>
                    <w:div w:id="1148209392">
                      <w:marLeft w:val="0"/>
                      <w:marRight w:val="0"/>
                      <w:marTop w:val="0"/>
                      <w:marBottom w:val="0"/>
                      <w:divBdr>
                        <w:top w:val="none" w:sz="0" w:space="0" w:color="auto"/>
                        <w:left w:val="none" w:sz="0" w:space="0" w:color="auto"/>
                        <w:bottom w:val="none" w:sz="0" w:space="0" w:color="auto"/>
                        <w:right w:val="none" w:sz="0" w:space="0" w:color="auto"/>
                      </w:divBdr>
                    </w:div>
                  </w:divsChild>
                </w:div>
                <w:div w:id="924000408">
                  <w:marLeft w:val="0"/>
                  <w:marRight w:val="0"/>
                  <w:marTop w:val="0"/>
                  <w:marBottom w:val="0"/>
                  <w:divBdr>
                    <w:top w:val="none" w:sz="0" w:space="0" w:color="auto"/>
                    <w:left w:val="none" w:sz="0" w:space="0" w:color="auto"/>
                    <w:bottom w:val="none" w:sz="0" w:space="0" w:color="auto"/>
                    <w:right w:val="none" w:sz="0" w:space="0" w:color="auto"/>
                  </w:divBdr>
                  <w:divsChild>
                    <w:div w:id="1905216288">
                      <w:marLeft w:val="0"/>
                      <w:marRight w:val="0"/>
                      <w:marTop w:val="0"/>
                      <w:marBottom w:val="0"/>
                      <w:divBdr>
                        <w:top w:val="none" w:sz="0" w:space="0" w:color="auto"/>
                        <w:left w:val="none" w:sz="0" w:space="0" w:color="auto"/>
                        <w:bottom w:val="none" w:sz="0" w:space="0" w:color="auto"/>
                        <w:right w:val="none" w:sz="0" w:space="0" w:color="auto"/>
                      </w:divBdr>
                    </w:div>
                  </w:divsChild>
                </w:div>
                <w:div w:id="954943033">
                  <w:marLeft w:val="0"/>
                  <w:marRight w:val="0"/>
                  <w:marTop w:val="0"/>
                  <w:marBottom w:val="0"/>
                  <w:divBdr>
                    <w:top w:val="none" w:sz="0" w:space="0" w:color="auto"/>
                    <w:left w:val="none" w:sz="0" w:space="0" w:color="auto"/>
                    <w:bottom w:val="none" w:sz="0" w:space="0" w:color="auto"/>
                    <w:right w:val="none" w:sz="0" w:space="0" w:color="auto"/>
                  </w:divBdr>
                  <w:divsChild>
                    <w:div w:id="432018832">
                      <w:marLeft w:val="0"/>
                      <w:marRight w:val="0"/>
                      <w:marTop w:val="0"/>
                      <w:marBottom w:val="0"/>
                      <w:divBdr>
                        <w:top w:val="none" w:sz="0" w:space="0" w:color="auto"/>
                        <w:left w:val="none" w:sz="0" w:space="0" w:color="auto"/>
                        <w:bottom w:val="none" w:sz="0" w:space="0" w:color="auto"/>
                        <w:right w:val="none" w:sz="0" w:space="0" w:color="auto"/>
                      </w:divBdr>
                    </w:div>
                  </w:divsChild>
                </w:div>
                <w:div w:id="974749379">
                  <w:marLeft w:val="0"/>
                  <w:marRight w:val="0"/>
                  <w:marTop w:val="0"/>
                  <w:marBottom w:val="0"/>
                  <w:divBdr>
                    <w:top w:val="none" w:sz="0" w:space="0" w:color="auto"/>
                    <w:left w:val="none" w:sz="0" w:space="0" w:color="auto"/>
                    <w:bottom w:val="none" w:sz="0" w:space="0" w:color="auto"/>
                    <w:right w:val="none" w:sz="0" w:space="0" w:color="auto"/>
                  </w:divBdr>
                  <w:divsChild>
                    <w:div w:id="740326407">
                      <w:marLeft w:val="0"/>
                      <w:marRight w:val="0"/>
                      <w:marTop w:val="0"/>
                      <w:marBottom w:val="0"/>
                      <w:divBdr>
                        <w:top w:val="none" w:sz="0" w:space="0" w:color="auto"/>
                        <w:left w:val="none" w:sz="0" w:space="0" w:color="auto"/>
                        <w:bottom w:val="none" w:sz="0" w:space="0" w:color="auto"/>
                        <w:right w:val="none" w:sz="0" w:space="0" w:color="auto"/>
                      </w:divBdr>
                    </w:div>
                  </w:divsChild>
                </w:div>
                <w:div w:id="991446906">
                  <w:marLeft w:val="0"/>
                  <w:marRight w:val="0"/>
                  <w:marTop w:val="0"/>
                  <w:marBottom w:val="0"/>
                  <w:divBdr>
                    <w:top w:val="none" w:sz="0" w:space="0" w:color="auto"/>
                    <w:left w:val="none" w:sz="0" w:space="0" w:color="auto"/>
                    <w:bottom w:val="none" w:sz="0" w:space="0" w:color="auto"/>
                    <w:right w:val="none" w:sz="0" w:space="0" w:color="auto"/>
                  </w:divBdr>
                  <w:divsChild>
                    <w:div w:id="1589729268">
                      <w:marLeft w:val="0"/>
                      <w:marRight w:val="0"/>
                      <w:marTop w:val="0"/>
                      <w:marBottom w:val="0"/>
                      <w:divBdr>
                        <w:top w:val="none" w:sz="0" w:space="0" w:color="auto"/>
                        <w:left w:val="none" w:sz="0" w:space="0" w:color="auto"/>
                        <w:bottom w:val="none" w:sz="0" w:space="0" w:color="auto"/>
                        <w:right w:val="none" w:sz="0" w:space="0" w:color="auto"/>
                      </w:divBdr>
                    </w:div>
                  </w:divsChild>
                </w:div>
                <w:div w:id="1001271876">
                  <w:marLeft w:val="0"/>
                  <w:marRight w:val="0"/>
                  <w:marTop w:val="0"/>
                  <w:marBottom w:val="0"/>
                  <w:divBdr>
                    <w:top w:val="none" w:sz="0" w:space="0" w:color="auto"/>
                    <w:left w:val="none" w:sz="0" w:space="0" w:color="auto"/>
                    <w:bottom w:val="none" w:sz="0" w:space="0" w:color="auto"/>
                    <w:right w:val="none" w:sz="0" w:space="0" w:color="auto"/>
                  </w:divBdr>
                  <w:divsChild>
                    <w:div w:id="953294808">
                      <w:marLeft w:val="0"/>
                      <w:marRight w:val="0"/>
                      <w:marTop w:val="0"/>
                      <w:marBottom w:val="0"/>
                      <w:divBdr>
                        <w:top w:val="none" w:sz="0" w:space="0" w:color="auto"/>
                        <w:left w:val="none" w:sz="0" w:space="0" w:color="auto"/>
                        <w:bottom w:val="none" w:sz="0" w:space="0" w:color="auto"/>
                        <w:right w:val="none" w:sz="0" w:space="0" w:color="auto"/>
                      </w:divBdr>
                    </w:div>
                  </w:divsChild>
                </w:div>
                <w:div w:id="1427581970">
                  <w:marLeft w:val="0"/>
                  <w:marRight w:val="0"/>
                  <w:marTop w:val="0"/>
                  <w:marBottom w:val="0"/>
                  <w:divBdr>
                    <w:top w:val="none" w:sz="0" w:space="0" w:color="auto"/>
                    <w:left w:val="none" w:sz="0" w:space="0" w:color="auto"/>
                    <w:bottom w:val="none" w:sz="0" w:space="0" w:color="auto"/>
                    <w:right w:val="none" w:sz="0" w:space="0" w:color="auto"/>
                  </w:divBdr>
                  <w:divsChild>
                    <w:div w:id="1860925337">
                      <w:marLeft w:val="0"/>
                      <w:marRight w:val="0"/>
                      <w:marTop w:val="0"/>
                      <w:marBottom w:val="0"/>
                      <w:divBdr>
                        <w:top w:val="none" w:sz="0" w:space="0" w:color="auto"/>
                        <w:left w:val="none" w:sz="0" w:space="0" w:color="auto"/>
                        <w:bottom w:val="none" w:sz="0" w:space="0" w:color="auto"/>
                        <w:right w:val="none" w:sz="0" w:space="0" w:color="auto"/>
                      </w:divBdr>
                    </w:div>
                  </w:divsChild>
                </w:div>
                <w:div w:id="1441531201">
                  <w:marLeft w:val="0"/>
                  <w:marRight w:val="0"/>
                  <w:marTop w:val="0"/>
                  <w:marBottom w:val="0"/>
                  <w:divBdr>
                    <w:top w:val="none" w:sz="0" w:space="0" w:color="auto"/>
                    <w:left w:val="none" w:sz="0" w:space="0" w:color="auto"/>
                    <w:bottom w:val="none" w:sz="0" w:space="0" w:color="auto"/>
                    <w:right w:val="none" w:sz="0" w:space="0" w:color="auto"/>
                  </w:divBdr>
                  <w:divsChild>
                    <w:div w:id="16277383">
                      <w:marLeft w:val="0"/>
                      <w:marRight w:val="0"/>
                      <w:marTop w:val="0"/>
                      <w:marBottom w:val="0"/>
                      <w:divBdr>
                        <w:top w:val="none" w:sz="0" w:space="0" w:color="auto"/>
                        <w:left w:val="none" w:sz="0" w:space="0" w:color="auto"/>
                        <w:bottom w:val="none" w:sz="0" w:space="0" w:color="auto"/>
                        <w:right w:val="none" w:sz="0" w:space="0" w:color="auto"/>
                      </w:divBdr>
                    </w:div>
                  </w:divsChild>
                </w:div>
                <w:div w:id="1443301086">
                  <w:marLeft w:val="0"/>
                  <w:marRight w:val="0"/>
                  <w:marTop w:val="0"/>
                  <w:marBottom w:val="0"/>
                  <w:divBdr>
                    <w:top w:val="none" w:sz="0" w:space="0" w:color="auto"/>
                    <w:left w:val="none" w:sz="0" w:space="0" w:color="auto"/>
                    <w:bottom w:val="none" w:sz="0" w:space="0" w:color="auto"/>
                    <w:right w:val="none" w:sz="0" w:space="0" w:color="auto"/>
                  </w:divBdr>
                  <w:divsChild>
                    <w:div w:id="354619035">
                      <w:marLeft w:val="0"/>
                      <w:marRight w:val="0"/>
                      <w:marTop w:val="0"/>
                      <w:marBottom w:val="0"/>
                      <w:divBdr>
                        <w:top w:val="none" w:sz="0" w:space="0" w:color="auto"/>
                        <w:left w:val="none" w:sz="0" w:space="0" w:color="auto"/>
                        <w:bottom w:val="none" w:sz="0" w:space="0" w:color="auto"/>
                        <w:right w:val="none" w:sz="0" w:space="0" w:color="auto"/>
                      </w:divBdr>
                    </w:div>
                  </w:divsChild>
                </w:div>
                <w:div w:id="1545098235">
                  <w:marLeft w:val="0"/>
                  <w:marRight w:val="0"/>
                  <w:marTop w:val="0"/>
                  <w:marBottom w:val="0"/>
                  <w:divBdr>
                    <w:top w:val="none" w:sz="0" w:space="0" w:color="auto"/>
                    <w:left w:val="none" w:sz="0" w:space="0" w:color="auto"/>
                    <w:bottom w:val="none" w:sz="0" w:space="0" w:color="auto"/>
                    <w:right w:val="none" w:sz="0" w:space="0" w:color="auto"/>
                  </w:divBdr>
                  <w:divsChild>
                    <w:div w:id="1032992764">
                      <w:marLeft w:val="0"/>
                      <w:marRight w:val="0"/>
                      <w:marTop w:val="0"/>
                      <w:marBottom w:val="0"/>
                      <w:divBdr>
                        <w:top w:val="none" w:sz="0" w:space="0" w:color="auto"/>
                        <w:left w:val="none" w:sz="0" w:space="0" w:color="auto"/>
                        <w:bottom w:val="none" w:sz="0" w:space="0" w:color="auto"/>
                        <w:right w:val="none" w:sz="0" w:space="0" w:color="auto"/>
                      </w:divBdr>
                    </w:div>
                  </w:divsChild>
                </w:div>
                <w:div w:id="1670863574">
                  <w:marLeft w:val="0"/>
                  <w:marRight w:val="0"/>
                  <w:marTop w:val="0"/>
                  <w:marBottom w:val="0"/>
                  <w:divBdr>
                    <w:top w:val="none" w:sz="0" w:space="0" w:color="auto"/>
                    <w:left w:val="none" w:sz="0" w:space="0" w:color="auto"/>
                    <w:bottom w:val="none" w:sz="0" w:space="0" w:color="auto"/>
                    <w:right w:val="none" w:sz="0" w:space="0" w:color="auto"/>
                  </w:divBdr>
                  <w:divsChild>
                    <w:div w:id="2072388329">
                      <w:marLeft w:val="0"/>
                      <w:marRight w:val="0"/>
                      <w:marTop w:val="0"/>
                      <w:marBottom w:val="0"/>
                      <w:divBdr>
                        <w:top w:val="none" w:sz="0" w:space="0" w:color="auto"/>
                        <w:left w:val="none" w:sz="0" w:space="0" w:color="auto"/>
                        <w:bottom w:val="none" w:sz="0" w:space="0" w:color="auto"/>
                        <w:right w:val="none" w:sz="0" w:space="0" w:color="auto"/>
                      </w:divBdr>
                    </w:div>
                  </w:divsChild>
                </w:div>
                <w:div w:id="1722631730">
                  <w:marLeft w:val="0"/>
                  <w:marRight w:val="0"/>
                  <w:marTop w:val="0"/>
                  <w:marBottom w:val="0"/>
                  <w:divBdr>
                    <w:top w:val="none" w:sz="0" w:space="0" w:color="auto"/>
                    <w:left w:val="none" w:sz="0" w:space="0" w:color="auto"/>
                    <w:bottom w:val="none" w:sz="0" w:space="0" w:color="auto"/>
                    <w:right w:val="none" w:sz="0" w:space="0" w:color="auto"/>
                  </w:divBdr>
                  <w:divsChild>
                    <w:div w:id="1466460930">
                      <w:marLeft w:val="0"/>
                      <w:marRight w:val="0"/>
                      <w:marTop w:val="0"/>
                      <w:marBottom w:val="0"/>
                      <w:divBdr>
                        <w:top w:val="none" w:sz="0" w:space="0" w:color="auto"/>
                        <w:left w:val="none" w:sz="0" w:space="0" w:color="auto"/>
                        <w:bottom w:val="none" w:sz="0" w:space="0" w:color="auto"/>
                        <w:right w:val="none" w:sz="0" w:space="0" w:color="auto"/>
                      </w:divBdr>
                    </w:div>
                  </w:divsChild>
                </w:div>
                <w:div w:id="1727954388">
                  <w:marLeft w:val="0"/>
                  <w:marRight w:val="0"/>
                  <w:marTop w:val="0"/>
                  <w:marBottom w:val="0"/>
                  <w:divBdr>
                    <w:top w:val="none" w:sz="0" w:space="0" w:color="auto"/>
                    <w:left w:val="none" w:sz="0" w:space="0" w:color="auto"/>
                    <w:bottom w:val="none" w:sz="0" w:space="0" w:color="auto"/>
                    <w:right w:val="none" w:sz="0" w:space="0" w:color="auto"/>
                  </w:divBdr>
                  <w:divsChild>
                    <w:div w:id="1833443429">
                      <w:marLeft w:val="0"/>
                      <w:marRight w:val="0"/>
                      <w:marTop w:val="0"/>
                      <w:marBottom w:val="0"/>
                      <w:divBdr>
                        <w:top w:val="none" w:sz="0" w:space="0" w:color="auto"/>
                        <w:left w:val="none" w:sz="0" w:space="0" w:color="auto"/>
                        <w:bottom w:val="none" w:sz="0" w:space="0" w:color="auto"/>
                        <w:right w:val="none" w:sz="0" w:space="0" w:color="auto"/>
                      </w:divBdr>
                    </w:div>
                  </w:divsChild>
                </w:div>
                <w:div w:id="1743139951">
                  <w:marLeft w:val="0"/>
                  <w:marRight w:val="0"/>
                  <w:marTop w:val="0"/>
                  <w:marBottom w:val="0"/>
                  <w:divBdr>
                    <w:top w:val="none" w:sz="0" w:space="0" w:color="auto"/>
                    <w:left w:val="none" w:sz="0" w:space="0" w:color="auto"/>
                    <w:bottom w:val="none" w:sz="0" w:space="0" w:color="auto"/>
                    <w:right w:val="none" w:sz="0" w:space="0" w:color="auto"/>
                  </w:divBdr>
                  <w:divsChild>
                    <w:div w:id="1470634575">
                      <w:marLeft w:val="0"/>
                      <w:marRight w:val="0"/>
                      <w:marTop w:val="0"/>
                      <w:marBottom w:val="0"/>
                      <w:divBdr>
                        <w:top w:val="none" w:sz="0" w:space="0" w:color="auto"/>
                        <w:left w:val="none" w:sz="0" w:space="0" w:color="auto"/>
                        <w:bottom w:val="none" w:sz="0" w:space="0" w:color="auto"/>
                        <w:right w:val="none" w:sz="0" w:space="0" w:color="auto"/>
                      </w:divBdr>
                    </w:div>
                  </w:divsChild>
                </w:div>
                <w:div w:id="1935045743">
                  <w:marLeft w:val="0"/>
                  <w:marRight w:val="0"/>
                  <w:marTop w:val="0"/>
                  <w:marBottom w:val="0"/>
                  <w:divBdr>
                    <w:top w:val="none" w:sz="0" w:space="0" w:color="auto"/>
                    <w:left w:val="none" w:sz="0" w:space="0" w:color="auto"/>
                    <w:bottom w:val="none" w:sz="0" w:space="0" w:color="auto"/>
                    <w:right w:val="none" w:sz="0" w:space="0" w:color="auto"/>
                  </w:divBdr>
                  <w:divsChild>
                    <w:div w:id="1057897846">
                      <w:marLeft w:val="0"/>
                      <w:marRight w:val="0"/>
                      <w:marTop w:val="0"/>
                      <w:marBottom w:val="0"/>
                      <w:divBdr>
                        <w:top w:val="none" w:sz="0" w:space="0" w:color="auto"/>
                        <w:left w:val="none" w:sz="0" w:space="0" w:color="auto"/>
                        <w:bottom w:val="none" w:sz="0" w:space="0" w:color="auto"/>
                        <w:right w:val="none" w:sz="0" w:space="0" w:color="auto"/>
                      </w:divBdr>
                    </w:div>
                  </w:divsChild>
                </w:div>
                <w:div w:id="2004042241">
                  <w:marLeft w:val="0"/>
                  <w:marRight w:val="0"/>
                  <w:marTop w:val="0"/>
                  <w:marBottom w:val="0"/>
                  <w:divBdr>
                    <w:top w:val="none" w:sz="0" w:space="0" w:color="auto"/>
                    <w:left w:val="none" w:sz="0" w:space="0" w:color="auto"/>
                    <w:bottom w:val="none" w:sz="0" w:space="0" w:color="auto"/>
                    <w:right w:val="none" w:sz="0" w:space="0" w:color="auto"/>
                  </w:divBdr>
                  <w:divsChild>
                    <w:div w:id="927231320">
                      <w:marLeft w:val="0"/>
                      <w:marRight w:val="0"/>
                      <w:marTop w:val="0"/>
                      <w:marBottom w:val="0"/>
                      <w:divBdr>
                        <w:top w:val="none" w:sz="0" w:space="0" w:color="auto"/>
                        <w:left w:val="none" w:sz="0" w:space="0" w:color="auto"/>
                        <w:bottom w:val="none" w:sz="0" w:space="0" w:color="auto"/>
                        <w:right w:val="none" w:sz="0" w:space="0" w:color="auto"/>
                      </w:divBdr>
                    </w:div>
                  </w:divsChild>
                </w:div>
                <w:div w:id="2014993503">
                  <w:marLeft w:val="0"/>
                  <w:marRight w:val="0"/>
                  <w:marTop w:val="0"/>
                  <w:marBottom w:val="0"/>
                  <w:divBdr>
                    <w:top w:val="none" w:sz="0" w:space="0" w:color="auto"/>
                    <w:left w:val="none" w:sz="0" w:space="0" w:color="auto"/>
                    <w:bottom w:val="none" w:sz="0" w:space="0" w:color="auto"/>
                    <w:right w:val="none" w:sz="0" w:space="0" w:color="auto"/>
                  </w:divBdr>
                  <w:divsChild>
                    <w:div w:id="17327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2623">
          <w:marLeft w:val="0"/>
          <w:marRight w:val="0"/>
          <w:marTop w:val="0"/>
          <w:marBottom w:val="0"/>
          <w:divBdr>
            <w:top w:val="none" w:sz="0" w:space="0" w:color="auto"/>
            <w:left w:val="none" w:sz="0" w:space="0" w:color="auto"/>
            <w:bottom w:val="none" w:sz="0" w:space="0" w:color="auto"/>
            <w:right w:val="none" w:sz="0" w:space="0" w:color="auto"/>
          </w:divBdr>
        </w:div>
        <w:div w:id="429089822">
          <w:marLeft w:val="0"/>
          <w:marRight w:val="0"/>
          <w:marTop w:val="0"/>
          <w:marBottom w:val="0"/>
          <w:divBdr>
            <w:top w:val="none" w:sz="0" w:space="0" w:color="auto"/>
            <w:left w:val="none" w:sz="0" w:space="0" w:color="auto"/>
            <w:bottom w:val="none" w:sz="0" w:space="0" w:color="auto"/>
            <w:right w:val="none" w:sz="0" w:space="0" w:color="auto"/>
          </w:divBdr>
        </w:div>
        <w:div w:id="539785409">
          <w:marLeft w:val="0"/>
          <w:marRight w:val="0"/>
          <w:marTop w:val="0"/>
          <w:marBottom w:val="0"/>
          <w:divBdr>
            <w:top w:val="none" w:sz="0" w:space="0" w:color="auto"/>
            <w:left w:val="none" w:sz="0" w:space="0" w:color="auto"/>
            <w:bottom w:val="none" w:sz="0" w:space="0" w:color="auto"/>
            <w:right w:val="none" w:sz="0" w:space="0" w:color="auto"/>
          </w:divBdr>
        </w:div>
        <w:div w:id="770318995">
          <w:marLeft w:val="0"/>
          <w:marRight w:val="0"/>
          <w:marTop w:val="0"/>
          <w:marBottom w:val="0"/>
          <w:divBdr>
            <w:top w:val="none" w:sz="0" w:space="0" w:color="auto"/>
            <w:left w:val="none" w:sz="0" w:space="0" w:color="auto"/>
            <w:bottom w:val="none" w:sz="0" w:space="0" w:color="auto"/>
            <w:right w:val="none" w:sz="0" w:space="0" w:color="auto"/>
          </w:divBdr>
          <w:divsChild>
            <w:div w:id="1454712125">
              <w:marLeft w:val="-75"/>
              <w:marRight w:val="0"/>
              <w:marTop w:val="30"/>
              <w:marBottom w:val="30"/>
              <w:divBdr>
                <w:top w:val="none" w:sz="0" w:space="0" w:color="auto"/>
                <w:left w:val="none" w:sz="0" w:space="0" w:color="auto"/>
                <w:bottom w:val="none" w:sz="0" w:space="0" w:color="auto"/>
                <w:right w:val="none" w:sz="0" w:space="0" w:color="auto"/>
              </w:divBdr>
              <w:divsChild>
                <w:div w:id="120392459">
                  <w:marLeft w:val="0"/>
                  <w:marRight w:val="0"/>
                  <w:marTop w:val="0"/>
                  <w:marBottom w:val="0"/>
                  <w:divBdr>
                    <w:top w:val="none" w:sz="0" w:space="0" w:color="auto"/>
                    <w:left w:val="none" w:sz="0" w:space="0" w:color="auto"/>
                    <w:bottom w:val="none" w:sz="0" w:space="0" w:color="auto"/>
                    <w:right w:val="none" w:sz="0" w:space="0" w:color="auto"/>
                  </w:divBdr>
                  <w:divsChild>
                    <w:div w:id="1399286455">
                      <w:marLeft w:val="0"/>
                      <w:marRight w:val="0"/>
                      <w:marTop w:val="0"/>
                      <w:marBottom w:val="0"/>
                      <w:divBdr>
                        <w:top w:val="none" w:sz="0" w:space="0" w:color="auto"/>
                        <w:left w:val="none" w:sz="0" w:space="0" w:color="auto"/>
                        <w:bottom w:val="none" w:sz="0" w:space="0" w:color="auto"/>
                        <w:right w:val="none" w:sz="0" w:space="0" w:color="auto"/>
                      </w:divBdr>
                    </w:div>
                  </w:divsChild>
                </w:div>
                <w:div w:id="401102792">
                  <w:marLeft w:val="0"/>
                  <w:marRight w:val="0"/>
                  <w:marTop w:val="0"/>
                  <w:marBottom w:val="0"/>
                  <w:divBdr>
                    <w:top w:val="none" w:sz="0" w:space="0" w:color="auto"/>
                    <w:left w:val="none" w:sz="0" w:space="0" w:color="auto"/>
                    <w:bottom w:val="none" w:sz="0" w:space="0" w:color="auto"/>
                    <w:right w:val="none" w:sz="0" w:space="0" w:color="auto"/>
                  </w:divBdr>
                  <w:divsChild>
                    <w:div w:id="1022899171">
                      <w:marLeft w:val="0"/>
                      <w:marRight w:val="0"/>
                      <w:marTop w:val="0"/>
                      <w:marBottom w:val="0"/>
                      <w:divBdr>
                        <w:top w:val="none" w:sz="0" w:space="0" w:color="auto"/>
                        <w:left w:val="none" w:sz="0" w:space="0" w:color="auto"/>
                        <w:bottom w:val="none" w:sz="0" w:space="0" w:color="auto"/>
                        <w:right w:val="none" w:sz="0" w:space="0" w:color="auto"/>
                      </w:divBdr>
                    </w:div>
                  </w:divsChild>
                </w:div>
                <w:div w:id="527180315">
                  <w:marLeft w:val="0"/>
                  <w:marRight w:val="0"/>
                  <w:marTop w:val="0"/>
                  <w:marBottom w:val="0"/>
                  <w:divBdr>
                    <w:top w:val="none" w:sz="0" w:space="0" w:color="auto"/>
                    <w:left w:val="none" w:sz="0" w:space="0" w:color="auto"/>
                    <w:bottom w:val="none" w:sz="0" w:space="0" w:color="auto"/>
                    <w:right w:val="none" w:sz="0" w:space="0" w:color="auto"/>
                  </w:divBdr>
                  <w:divsChild>
                    <w:div w:id="1192458246">
                      <w:marLeft w:val="0"/>
                      <w:marRight w:val="0"/>
                      <w:marTop w:val="0"/>
                      <w:marBottom w:val="0"/>
                      <w:divBdr>
                        <w:top w:val="none" w:sz="0" w:space="0" w:color="auto"/>
                        <w:left w:val="none" w:sz="0" w:space="0" w:color="auto"/>
                        <w:bottom w:val="none" w:sz="0" w:space="0" w:color="auto"/>
                        <w:right w:val="none" w:sz="0" w:space="0" w:color="auto"/>
                      </w:divBdr>
                    </w:div>
                  </w:divsChild>
                </w:div>
                <w:div w:id="800657790">
                  <w:marLeft w:val="0"/>
                  <w:marRight w:val="0"/>
                  <w:marTop w:val="0"/>
                  <w:marBottom w:val="0"/>
                  <w:divBdr>
                    <w:top w:val="none" w:sz="0" w:space="0" w:color="auto"/>
                    <w:left w:val="none" w:sz="0" w:space="0" w:color="auto"/>
                    <w:bottom w:val="none" w:sz="0" w:space="0" w:color="auto"/>
                    <w:right w:val="none" w:sz="0" w:space="0" w:color="auto"/>
                  </w:divBdr>
                  <w:divsChild>
                    <w:div w:id="21178202">
                      <w:marLeft w:val="0"/>
                      <w:marRight w:val="0"/>
                      <w:marTop w:val="0"/>
                      <w:marBottom w:val="0"/>
                      <w:divBdr>
                        <w:top w:val="none" w:sz="0" w:space="0" w:color="auto"/>
                        <w:left w:val="none" w:sz="0" w:space="0" w:color="auto"/>
                        <w:bottom w:val="none" w:sz="0" w:space="0" w:color="auto"/>
                        <w:right w:val="none" w:sz="0" w:space="0" w:color="auto"/>
                      </w:divBdr>
                    </w:div>
                  </w:divsChild>
                </w:div>
                <w:div w:id="893538322">
                  <w:marLeft w:val="0"/>
                  <w:marRight w:val="0"/>
                  <w:marTop w:val="0"/>
                  <w:marBottom w:val="0"/>
                  <w:divBdr>
                    <w:top w:val="none" w:sz="0" w:space="0" w:color="auto"/>
                    <w:left w:val="none" w:sz="0" w:space="0" w:color="auto"/>
                    <w:bottom w:val="none" w:sz="0" w:space="0" w:color="auto"/>
                    <w:right w:val="none" w:sz="0" w:space="0" w:color="auto"/>
                  </w:divBdr>
                  <w:divsChild>
                    <w:div w:id="1992825816">
                      <w:marLeft w:val="0"/>
                      <w:marRight w:val="0"/>
                      <w:marTop w:val="0"/>
                      <w:marBottom w:val="0"/>
                      <w:divBdr>
                        <w:top w:val="none" w:sz="0" w:space="0" w:color="auto"/>
                        <w:left w:val="none" w:sz="0" w:space="0" w:color="auto"/>
                        <w:bottom w:val="none" w:sz="0" w:space="0" w:color="auto"/>
                        <w:right w:val="none" w:sz="0" w:space="0" w:color="auto"/>
                      </w:divBdr>
                    </w:div>
                  </w:divsChild>
                </w:div>
                <w:div w:id="1013609325">
                  <w:marLeft w:val="0"/>
                  <w:marRight w:val="0"/>
                  <w:marTop w:val="0"/>
                  <w:marBottom w:val="0"/>
                  <w:divBdr>
                    <w:top w:val="none" w:sz="0" w:space="0" w:color="auto"/>
                    <w:left w:val="none" w:sz="0" w:space="0" w:color="auto"/>
                    <w:bottom w:val="none" w:sz="0" w:space="0" w:color="auto"/>
                    <w:right w:val="none" w:sz="0" w:space="0" w:color="auto"/>
                  </w:divBdr>
                  <w:divsChild>
                    <w:div w:id="1606423371">
                      <w:marLeft w:val="0"/>
                      <w:marRight w:val="0"/>
                      <w:marTop w:val="0"/>
                      <w:marBottom w:val="0"/>
                      <w:divBdr>
                        <w:top w:val="none" w:sz="0" w:space="0" w:color="auto"/>
                        <w:left w:val="none" w:sz="0" w:space="0" w:color="auto"/>
                        <w:bottom w:val="none" w:sz="0" w:space="0" w:color="auto"/>
                        <w:right w:val="none" w:sz="0" w:space="0" w:color="auto"/>
                      </w:divBdr>
                    </w:div>
                  </w:divsChild>
                </w:div>
                <w:div w:id="1038168365">
                  <w:marLeft w:val="0"/>
                  <w:marRight w:val="0"/>
                  <w:marTop w:val="0"/>
                  <w:marBottom w:val="0"/>
                  <w:divBdr>
                    <w:top w:val="none" w:sz="0" w:space="0" w:color="auto"/>
                    <w:left w:val="none" w:sz="0" w:space="0" w:color="auto"/>
                    <w:bottom w:val="none" w:sz="0" w:space="0" w:color="auto"/>
                    <w:right w:val="none" w:sz="0" w:space="0" w:color="auto"/>
                  </w:divBdr>
                  <w:divsChild>
                    <w:div w:id="1179155173">
                      <w:marLeft w:val="0"/>
                      <w:marRight w:val="0"/>
                      <w:marTop w:val="0"/>
                      <w:marBottom w:val="0"/>
                      <w:divBdr>
                        <w:top w:val="none" w:sz="0" w:space="0" w:color="auto"/>
                        <w:left w:val="none" w:sz="0" w:space="0" w:color="auto"/>
                        <w:bottom w:val="none" w:sz="0" w:space="0" w:color="auto"/>
                        <w:right w:val="none" w:sz="0" w:space="0" w:color="auto"/>
                      </w:divBdr>
                    </w:div>
                  </w:divsChild>
                </w:div>
                <w:div w:id="1039545673">
                  <w:marLeft w:val="0"/>
                  <w:marRight w:val="0"/>
                  <w:marTop w:val="0"/>
                  <w:marBottom w:val="0"/>
                  <w:divBdr>
                    <w:top w:val="none" w:sz="0" w:space="0" w:color="auto"/>
                    <w:left w:val="none" w:sz="0" w:space="0" w:color="auto"/>
                    <w:bottom w:val="none" w:sz="0" w:space="0" w:color="auto"/>
                    <w:right w:val="none" w:sz="0" w:space="0" w:color="auto"/>
                  </w:divBdr>
                  <w:divsChild>
                    <w:div w:id="1090197220">
                      <w:marLeft w:val="0"/>
                      <w:marRight w:val="0"/>
                      <w:marTop w:val="0"/>
                      <w:marBottom w:val="0"/>
                      <w:divBdr>
                        <w:top w:val="none" w:sz="0" w:space="0" w:color="auto"/>
                        <w:left w:val="none" w:sz="0" w:space="0" w:color="auto"/>
                        <w:bottom w:val="none" w:sz="0" w:space="0" w:color="auto"/>
                        <w:right w:val="none" w:sz="0" w:space="0" w:color="auto"/>
                      </w:divBdr>
                    </w:div>
                  </w:divsChild>
                </w:div>
                <w:div w:id="1079209409">
                  <w:marLeft w:val="0"/>
                  <w:marRight w:val="0"/>
                  <w:marTop w:val="0"/>
                  <w:marBottom w:val="0"/>
                  <w:divBdr>
                    <w:top w:val="none" w:sz="0" w:space="0" w:color="auto"/>
                    <w:left w:val="none" w:sz="0" w:space="0" w:color="auto"/>
                    <w:bottom w:val="none" w:sz="0" w:space="0" w:color="auto"/>
                    <w:right w:val="none" w:sz="0" w:space="0" w:color="auto"/>
                  </w:divBdr>
                  <w:divsChild>
                    <w:div w:id="257254068">
                      <w:marLeft w:val="0"/>
                      <w:marRight w:val="0"/>
                      <w:marTop w:val="0"/>
                      <w:marBottom w:val="0"/>
                      <w:divBdr>
                        <w:top w:val="none" w:sz="0" w:space="0" w:color="auto"/>
                        <w:left w:val="none" w:sz="0" w:space="0" w:color="auto"/>
                        <w:bottom w:val="none" w:sz="0" w:space="0" w:color="auto"/>
                        <w:right w:val="none" w:sz="0" w:space="0" w:color="auto"/>
                      </w:divBdr>
                    </w:div>
                  </w:divsChild>
                </w:div>
                <w:div w:id="1187907928">
                  <w:marLeft w:val="0"/>
                  <w:marRight w:val="0"/>
                  <w:marTop w:val="0"/>
                  <w:marBottom w:val="0"/>
                  <w:divBdr>
                    <w:top w:val="none" w:sz="0" w:space="0" w:color="auto"/>
                    <w:left w:val="none" w:sz="0" w:space="0" w:color="auto"/>
                    <w:bottom w:val="none" w:sz="0" w:space="0" w:color="auto"/>
                    <w:right w:val="none" w:sz="0" w:space="0" w:color="auto"/>
                  </w:divBdr>
                  <w:divsChild>
                    <w:div w:id="948007485">
                      <w:marLeft w:val="0"/>
                      <w:marRight w:val="0"/>
                      <w:marTop w:val="0"/>
                      <w:marBottom w:val="0"/>
                      <w:divBdr>
                        <w:top w:val="none" w:sz="0" w:space="0" w:color="auto"/>
                        <w:left w:val="none" w:sz="0" w:space="0" w:color="auto"/>
                        <w:bottom w:val="none" w:sz="0" w:space="0" w:color="auto"/>
                        <w:right w:val="none" w:sz="0" w:space="0" w:color="auto"/>
                      </w:divBdr>
                    </w:div>
                  </w:divsChild>
                </w:div>
                <w:div w:id="1221551377">
                  <w:marLeft w:val="0"/>
                  <w:marRight w:val="0"/>
                  <w:marTop w:val="0"/>
                  <w:marBottom w:val="0"/>
                  <w:divBdr>
                    <w:top w:val="none" w:sz="0" w:space="0" w:color="auto"/>
                    <w:left w:val="none" w:sz="0" w:space="0" w:color="auto"/>
                    <w:bottom w:val="none" w:sz="0" w:space="0" w:color="auto"/>
                    <w:right w:val="none" w:sz="0" w:space="0" w:color="auto"/>
                  </w:divBdr>
                  <w:divsChild>
                    <w:div w:id="1903904428">
                      <w:marLeft w:val="0"/>
                      <w:marRight w:val="0"/>
                      <w:marTop w:val="0"/>
                      <w:marBottom w:val="0"/>
                      <w:divBdr>
                        <w:top w:val="none" w:sz="0" w:space="0" w:color="auto"/>
                        <w:left w:val="none" w:sz="0" w:space="0" w:color="auto"/>
                        <w:bottom w:val="none" w:sz="0" w:space="0" w:color="auto"/>
                        <w:right w:val="none" w:sz="0" w:space="0" w:color="auto"/>
                      </w:divBdr>
                    </w:div>
                  </w:divsChild>
                </w:div>
                <w:div w:id="1308317445">
                  <w:marLeft w:val="0"/>
                  <w:marRight w:val="0"/>
                  <w:marTop w:val="0"/>
                  <w:marBottom w:val="0"/>
                  <w:divBdr>
                    <w:top w:val="none" w:sz="0" w:space="0" w:color="auto"/>
                    <w:left w:val="none" w:sz="0" w:space="0" w:color="auto"/>
                    <w:bottom w:val="none" w:sz="0" w:space="0" w:color="auto"/>
                    <w:right w:val="none" w:sz="0" w:space="0" w:color="auto"/>
                  </w:divBdr>
                  <w:divsChild>
                    <w:div w:id="1464082646">
                      <w:marLeft w:val="0"/>
                      <w:marRight w:val="0"/>
                      <w:marTop w:val="0"/>
                      <w:marBottom w:val="0"/>
                      <w:divBdr>
                        <w:top w:val="none" w:sz="0" w:space="0" w:color="auto"/>
                        <w:left w:val="none" w:sz="0" w:space="0" w:color="auto"/>
                        <w:bottom w:val="none" w:sz="0" w:space="0" w:color="auto"/>
                        <w:right w:val="none" w:sz="0" w:space="0" w:color="auto"/>
                      </w:divBdr>
                    </w:div>
                  </w:divsChild>
                </w:div>
                <w:div w:id="1336151621">
                  <w:marLeft w:val="0"/>
                  <w:marRight w:val="0"/>
                  <w:marTop w:val="0"/>
                  <w:marBottom w:val="0"/>
                  <w:divBdr>
                    <w:top w:val="none" w:sz="0" w:space="0" w:color="auto"/>
                    <w:left w:val="none" w:sz="0" w:space="0" w:color="auto"/>
                    <w:bottom w:val="none" w:sz="0" w:space="0" w:color="auto"/>
                    <w:right w:val="none" w:sz="0" w:space="0" w:color="auto"/>
                  </w:divBdr>
                  <w:divsChild>
                    <w:div w:id="2034189042">
                      <w:marLeft w:val="0"/>
                      <w:marRight w:val="0"/>
                      <w:marTop w:val="0"/>
                      <w:marBottom w:val="0"/>
                      <w:divBdr>
                        <w:top w:val="none" w:sz="0" w:space="0" w:color="auto"/>
                        <w:left w:val="none" w:sz="0" w:space="0" w:color="auto"/>
                        <w:bottom w:val="none" w:sz="0" w:space="0" w:color="auto"/>
                        <w:right w:val="none" w:sz="0" w:space="0" w:color="auto"/>
                      </w:divBdr>
                    </w:div>
                  </w:divsChild>
                </w:div>
                <w:div w:id="1486320766">
                  <w:marLeft w:val="0"/>
                  <w:marRight w:val="0"/>
                  <w:marTop w:val="0"/>
                  <w:marBottom w:val="0"/>
                  <w:divBdr>
                    <w:top w:val="none" w:sz="0" w:space="0" w:color="auto"/>
                    <w:left w:val="none" w:sz="0" w:space="0" w:color="auto"/>
                    <w:bottom w:val="none" w:sz="0" w:space="0" w:color="auto"/>
                    <w:right w:val="none" w:sz="0" w:space="0" w:color="auto"/>
                  </w:divBdr>
                  <w:divsChild>
                    <w:div w:id="688684113">
                      <w:marLeft w:val="0"/>
                      <w:marRight w:val="0"/>
                      <w:marTop w:val="0"/>
                      <w:marBottom w:val="0"/>
                      <w:divBdr>
                        <w:top w:val="none" w:sz="0" w:space="0" w:color="auto"/>
                        <w:left w:val="none" w:sz="0" w:space="0" w:color="auto"/>
                        <w:bottom w:val="none" w:sz="0" w:space="0" w:color="auto"/>
                        <w:right w:val="none" w:sz="0" w:space="0" w:color="auto"/>
                      </w:divBdr>
                    </w:div>
                  </w:divsChild>
                </w:div>
                <w:div w:id="1718621615">
                  <w:marLeft w:val="0"/>
                  <w:marRight w:val="0"/>
                  <w:marTop w:val="0"/>
                  <w:marBottom w:val="0"/>
                  <w:divBdr>
                    <w:top w:val="none" w:sz="0" w:space="0" w:color="auto"/>
                    <w:left w:val="none" w:sz="0" w:space="0" w:color="auto"/>
                    <w:bottom w:val="none" w:sz="0" w:space="0" w:color="auto"/>
                    <w:right w:val="none" w:sz="0" w:space="0" w:color="auto"/>
                  </w:divBdr>
                  <w:divsChild>
                    <w:div w:id="791100019">
                      <w:marLeft w:val="0"/>
                      <w:marRight w:val="0"/>
                      <w:marTop w:val="0"/>
                      <w:marBottom w:val="0"/>
                      <w:divBdr>
                        <w:top w:val="none" w:sz="0" w:space="0" w:color="auto"/>
                        <w:left w:val="none" w:sz="0" w:space="0" w:color="auto"/>
                        <w:bottom w:val="none" w:sz="0" w:space="0" w:color="auto"/>
                        <w:right w:val="none" w:sz="0" w:space="0" w:color="auto"/>
                      </w:divBdr>
                    </w:div>
                  </w:divsChild>
                </w:div>
                <w:div w:id="1790933226">
                  <w:marLeft w:val="0"/>
                  <w:marRight w:val="0"/>
                  <w:marTop w:val="0"/>
                  <w:marBottom w:val="0"/>
                  <w:divBdr>
                    <w:top w:val="none" w:sz="0" w:space="0" w:color="auto"/>
                    <w:left w:val="none" w:sz="0" w:space="0" w:color="auto"/>
                    <w:bottom w:val="none" w:sz="0" w:space="0" w:color="auto"/>
                    <w:right w:val="none" w:sz="0" w:space="0" w:color="auto"/>
                  </w:divBdr>
                  <w:divsChild>
                    <w:div w:id="1968780498">
                      <w:marLeft w:val="0"/>
                      <w:marRight w:val="0"/>
                      <w:marTop w:val="0"/>
                      <w:marBottom w:val="0"/>
                      <w:divBdr>
                        <w:top w:val="none" w:sz="0" w:space="0" w:color="auto"/>
                        <w:left w:val="none" w:sz="0" w:space="0" w:color="auto"/>
                        <w:bottom w:val="none" w:sz="0" w:space="0" w:color="auto"/>
                        <w:right w:val="none" w:sz="0" w:space="0" w:color="auto"/>
                      </w:divBdr>
                    </w:div>
                  </w:divsChild>
                </w:div>
                <w:div w:id="1838569486">
                  <w:marLeft w:val="0"/>
                  <w:marRight w:val="0"/>
                  <w:marTop w:val="0"/>
                  <w:marBottom w:val="0"/>
                  <w:divBdr>
                    <w:top w:val="none" w:sz="0" w:space="0" w:color="auto"/>
                    <w:left w:val="none" w:sz="0" w:space="0" w:color="auto"/>
                    <w:bottom w:val="none" w:sz="0" w:space="0" w:color="auto"/>
                    <w:right w:val="none" w:sz="0" w:space="0" w:color="auto"/>
                  </w:divBdr>
                  <w:divsChild>
                    <w:div w:id="2032300490">
                      <w:marLeft w:val="0"/>
                      <w:marRight w:val="0"/>
                      <w:marTop w:val="0"/>
                      <w:marBottom w:val="0"/>
                      <w:divBdr>
                        <w:top w:val="none" w:sz="0" w:space="0" w:color="auto"/>
                        <w:left w:val="none" w:sz="0" w:space="0" w:color="auto"/>
                        <w:bottom w:val="none" w:sz="0" w:space="0" w:color="auto"/>
                        <w:right w:val="none" w:sz="0" w:space="0" w:color="auto"/>
                      </w:divBdr>
                    </w:div>
                  </w:divsChild>
                </w:div>
                <w:div w:id="1892375428">
                  <w:marLeft w:val="0"/>
                  <w:marRight w:val="0"/>
                  <w:marTop w:val="0"/>
                  <w:marBottom w:val="0"/>
                  <w:divBdr>
                    <w:top w:val="none" w:sz="0" w:space="0" w:color="auto"/>
                    <w:left w:val="none" w:sz="0" w:space="0" w:color="auto"/>
                    <w:bottom w:val="none" w:sz="0" w:space="0" w:color="auto"/>
                    <w:right w:val="none" w:sz="0" w:space="0" w:color="auto"/>
                  </w:divBdr>
                  <w:divsChild>
                    <w:div w:id="1907300386">
                      <w:marLeft w:val="0"/>
                      <w:marRight w:val="0"/>
                      <w:marTop w:val="0"/>
                      <w:marBottom w:val="0"/>
                      <w:divBdr>
                        <w:top w:val="none" w:sz="0" w:space="0" w:color="auto"/>
                        <w:left w:val="none" w:sz="0" w:space="0" w:color="auto"/>
                        <w:bottom w:val="none" w:sz="0" w:space="0" w:color="auto"/>
                        <w:right w:val="none" w:sz="0" w:space="0" w:color="auto"/>
                      </w:divBdr>
                    </w:div>
                  </w:divsChild>
                </w:div>
                <w:div w:id="1929997023">
                  <w:marLeft w:val="0"/>
                  <w:marRight w:val="0"/>
                  <w:marTop w:val="0"/>
                  <w:marBottom w:val="0"/>
                  <w:divBdr>
                    <w:top w:val="none" w:sz="0" w:space="0" w:color="auto"/>
                    <w:left w:val="none" w:sz="0" w:space="0" w:color="auto"/>
                    <w:bottom w:val="none" w:sz="0" w:space="0" w:color="auto"/>
                    <w:right w:val="none" w:sz="0" w:space="0" w:color="auto"/>
                  </w:divBdr>
                  <w:divsChild>
                    <w:div w:id="1628388072">
                      <w:marLeft w:val="0"/>
                      <w:marRight w:val="0"/>
                      <w:marTop w:val="0"/>
                      <w:marBottom w:val="0"/>
                      <w:divBdr>
                        <w:top w:val="none" w:sz="0" w:space="0" w:color="auto"/>
                        <w:left w:val="none" w:sz="0" w:space="0" w:color="auto"/>
                        <w:bottom w:val="none" w:sz="0" w:space="0" w:color="auto"/>
                        <w:right w:val="none" w:sz="0" w:space="0" w:color="auto"/>
                      </w:divBdr>
                    </w:div>
                  </w:divsChild>
                </w:div>
                <w:div w:id="1960213274">
                  <w:marLeft w:val="0"/>
                  <w:marRight w:val="0"/>
                  <w:marTop w:val="0"/>
                  <w:marBottom w:val="0"/>
                  <w:divBdr>
                    <w:top w:val="none" w:sz="0" w:space="0" w:color="auto"/>
                    <w:left w:val="none" w:sz="0" w:space="0" w:color="auto"/>
                    <w:bottom w:val="none" w:sz="0" w:space="0" w:color="auto"/>
                    <w:right w:val="none" w:sz="0" w:space="0" w:color="auto"/>
                  </w:divBdr>
                  <w:divsChild>
                    <w:div w:id="910844100">
                      <w:marLeft w:val="0"/>
                      <w:marRight w:val="0"/>
                      <w:marTop w:val="0"/>
                      <w:marBottom w:val="0"/>
                      <w:divBdr>
                        <w:top w:val="none" w:sz="0" w:space="0" w:color="auto"/>
                        <w:left w:val="none" w:sz="0" w:space="0" w:color="auto"/>
                        <w:bottom w:val="none" w:sz="0" w:space="0" w:color="auto"/>
                        <w:right w:val="none" w:sz="0" w:space="0" w:color="auto"/>
                      </w:divBdr>
                    </w:div>
                  </w:divsChild>
                </w:div>
                <w:div w:id="2118090647">
                  <w:marLeft w:val="0"/>
                  <w:marRight w:val="0"/>
                  <w:marTop w:val="0"/>
                  <w:marBottom w:val="0"/>
                  <w:divBdr>
                    <w:top w:val="none" w:sz="0" w:space="0" w:color="auto"/>
                    <w:left w:val="none" w:sz="0" w:space="0" w:color="auto"/>
                    <w:bottom w:val="none" w:sz="0" w:space="0" w:color="auto"/>
                    <w:right w:val="none" w:sz="0" w:space="0" w:color="auto"/>
                  </w:divBdr>
                  <w:divsChild>
                    <w:div w:id="4697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4199">
          <w:marLeft w:val="0"/>
          <w:marRight w:val="0"/>
          <w:marTop w:val="0"/>
          <w:marBottom w:val="0"/>
          <w:divBdr>
            <w:top w:val="none" w:sz="0" w:space="0" w:color="auto"/>
            <w:left w:val="none" w:sz="0" w:space="0" w:color="auto"/>
            <w:bottom w:val="none" w:sz="0" w:space="0" w:color="auto"/>
            <w:right w:val="none" w:sz="0" w:space="0" w:color="auto"/>
          </w:divBdr>
        </w:div>
        <w:div w:id="1290552292">
          <w:marLeft w:val="0"/>
          <w:marRight w:val="0"/>
          <w:marTop w:val="0"/>
          <w:marBottom w:val="0"/>
          <w:divBdr>
            <w:top w:val="none" w:sz="0" w:space="0" w:color="auto"/>
            <w:left w:val="none" w:sz="0" w:space="0" w:color="auto"/>
            <w:bottom w:val="none" w:sz="0" w:space="0" w:color="auto"/>
            <w:right w:val="none" w:sz="0" w:space="0" w:color="auto"/>
          </w:divBdr>
          <w:divsChild>
            <w:div w:id="1566912120">
              <w:marLeft w:val="-75"/>
              <w:marRight w:val="0"/>
              <w:marTop w:val="30"/>
              <w:marBottom w:val="30"/>
              <w:divBdr>
                <w:top w:val="none" w:sz="0" w:space="0" w:color="auto"/>
                <w:left w:val="none" w:sz="0" w:space="0" w:color="auto"/>
                <w:bottom w:val="none" w:sz="0" w:space="0" w:color="auto"/>
                <w:right w:val="none" w:sz="0" w:space="0" w:color="auto"/>
              </w:divBdr>
              <w:divsChild>
                <w:div w:id="361247674">
                  <w:marLeft w:val="0"/>
                  <w:marRight w:val="0"/>
                  <w:marTop w:val="0"/>
                  <w:marBottom w:val="0"/>
                  <w:divBdr>
                    <w:top w:val="none" w:sz="0" w:space="0" w:color="auto"/>
                    <w:left w:val="none" w:sz="0" w:space="0" w:color="auto"/>
                    <w:bottom w:val="none" w:sz="0" w:space="0" w:color="auto"/>
                    <w:right w:val="none" w:sz="0" w:space="0" w:color="auto"/>
                  </w:divBdr>
                  <w:divsChild>
                    <w:div w:id="1130587334">
                      <w:marLeft w:val="0"/>
                      <w:marRight w:val="0"/>
                      <w:marTop w:val="0"/>
                      <w:marBottom w:val="0"/>
                      <w:divBdr>
                        <w:top w:val="none" w:sz="0" w:space="0" w:color="auto"/>
                        <w:left w:val="none" w:sz="0" w:space="0" w:color="auto"/>
                        <w:bottom w:val="none" w:sz="0" w:space="0" w:color="auto"/>
                        <w:right w:val="none" w:sz="0" w:space="0" w:color="auto"/>
                      </w:divBdr>
                    </w:div>
                  </w:divsChild>
                </w:div>
                <w:div w:id="996225135">
                  <w:marLeft w:val="0"/>
                  <w:marRight w:val="0"/>
                  <w:marTop w:val="0"/>
                  <w:marBottom w:val="0"/>
                  <w:divBdr>
                    <w:top w:val="none" w:sz="0" w:space="0" w:color="auto"/>
                    <w:left w:val="none" w:sz="0" w:space="0" w:color="auto"/>
                    <w:bottom w:val="none" w:sz="0" w:space="0" w:color="auto"/>
                    <w:right w:val="none" w:sz="0" w:space="0" w:color="auto"/>
                  </w:divBdr>
                  <w:divsChild>
                    <w:div w:id="313487910">
                      <w:marLeft w:val="0"/>
                      <w:marRight w:val="0"/>
                      <w:marTop w:val="0"/>
                      <w:marBottom w:val="0"/>
                      <w:divBdr>
                        <w:top w:val="none" w:sz="0" w:space="0" w:color="auto"/>
                        <w:left w:val="none" w:sz="0" w:space="0" w:color="auto"/>
                        <w:bottom w:val="none" w:sz="0" w:space="0" w:color="auto"/>
                        <w:right w:val="none" w:sz="0" w:space="0" w:color="auto"/>
                      </w:divBdr>
                    </w:div>
                  </w:divsChild>
                </w:div>
                <w:div w:id="1272203433">
                  <w:marLeft w:val="0"/>
                  <w:marRight w:val="0"/>
                  <w:marTop w:val="0"/>
                  <w:marBottom w:val="0"/>
                  <w:divBdr>
                    <w:top w:val="none" w:sz="0" w:space="0" w:color="auto"/>
                    <w:left w:val="none" w:sz="0" w:space="0" w:color="auto"/>
                    <w:bottom w:val="none" w:sz="0" w:space="0" w:color="auto"/>
                    <w:right w:val="none" w:sz="0" w:space="0" w:color="auto"/>
                  </w:divBdr>
                  <w:divsChild>
                    <w:div w:id="1852455338">
                      <w:marLeft w:val="0"/>
                      <w:marRight w:val="0"/>
                      <w:marTop w:val="0"/>
                      <w:marBottom w:val="0"/>
                      <w:divBdr>
                        <w:top w:val="none" w:sz="0" w:space="0" w:color="auto"/>
                        <w:left w:val="none" w:sz="0" w:space="0" w:color="auto"/>
                        <w:bottom w:val="none" w:sz="0" w:space="0" w:color="auto"/>
                        <w:right w:val="none" w:sz="0" w:space="0" w:color="auto"/>
                      </w:divBdr>
                    </w:div>
                  </w:divsChild>
                </w:div>
                <w:div w:id="1415586473">
                  <w:marLeft w:val="0"/>
                  <w:marRight w:val="0"/>
                  <w:marTop w:val="0"/>
                  <w:marBottom w:val="0"/>
                  <w:divBdr>
                    <w:top w:val="none" w:sz="0" w:space="0" w:color="auto"/>
                    <w:left w:val="none" w:sz="0" w:space="0" w:color="auto"/>
                    <w:bottom w:val="none" w:sz="0" w:space="0" w:color="auto"/>
                    <w:right w:val="none" w:sz="0" w:space="0" w:color="auto"/>
                  </w:divBdr>
                  <w:divsChild>
                    <w:div w:id="5246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7763">
          <w:marLeft w:val="0"/>
          <w:marRight w:val="0"/>
          <w:marTop w:val="0"/>
          <w:marBottom w:val="0"/>
          <w:divBdr>
            <w:top w:val="none" w:sz="0" w:space="0" w:color="auto"/>
            <w:left w:val="none" w:sz="0" w:space="0" w:color="auto"/>
            <w:bottom w:val="none" w:sz="0" w:space="0" w:color="auto"/>
            <w:right w:val="none" w:sz="0" w:space="0" w:color="auto"/>
          </w:divBdr>
        </w:div>
      </w:divsChild>
    </w:div>
    <w:div w:id="1064832628">
      <w:bodyDiv w:val="1"/>
      <w:marLeft w:val="0"/>
      <w:marRight w:val="0"/>
      <w:marTop w:val="0"/>
      <w:marBottom w:val="0"/>
      <w:divBdr>
        <w:top w:val="none" w:sz="0" w:space="0" w:color="auto"/>
        <w:left w:val="none" w:sz="0" w:space="0" w:color="auto"/>
        <w:bottom w:val="none" w:sz="0" w:space="0" w:color="auto"/>
        <w:right w:val="none" w:sz="0" w:space="0" w:color="auto"/>
      </w:divBdr>
      <w:divsChild>
        <w:div w:id="51511357">
          <w:marLeft w:val="0"/>
          <w:marRight w:val="0"/>
          <w:marTop w:val="0"/>
          <w:marBottom w:val="0"/>
          <w:divBdr>
            <w:top w:val="none" w:sz="0" w:space="0" w:color="auto"/>
            <w:left w:val="none" w:sz="0" w:space="0" w:color="auto"/>
            <w:bottom w:val="none" w:sz="0" w:space="0" w:color="auto"/>
            <w:right w:val="none" w:sz="0" w:space="0" w:color="auto"/>
          </w:divBdr>
        </w:div>
        <w:div w:id="54472369">
          <w:marLeft w:val="0"/>
          <w:marRight w:val="0"/>
          <w:marTop w:val="0"/>
          <w:marBottom w:val="0"/>
          <w:divBdr>
            <w:top w:val="none" w:sz="0" w:space="0" w:color="auto"/>
            <w:left w:val="none" w:sz="0" w:space="0" w:color="auto"/>
            <w:bottom w:val="none" w:sz="0" w:space="0" w:color="auto"/>
            <w:right w:val="none" w:sz="0" w:space="0" w:color="auto"/>
          </w:divBdr>
        </w:div>
        <w:div w:id="197933597">
          <w:marLeft w:val="0"/>
          <w:marRight w:val="0"/>
          <w:marTop w:val="0"/>
          <w:marBottom w:val="0"/>
          <w:divBdr>
            <w:top w:val="none" w:sz="0" w:space="0" w:color="auto"/>
            <w:left w:val="none" w:sz="0" w:space="0" w:color="auto"/>
            <w:bottom w:val="none" w:sz="0" w:space="0" w:color="auto"/>
            <w:right w:val="none" w:sz="0" w:space="0" w:color="auto"/>
          </w:divBdr>
          <w:divsChild>
            <w:div w:id="1553073780">
              <w:marLeft w:val="-75"/>
              <w:marRight w:val="0"/>
              <w:marTop w:val="30"/>
              <w:marBottom w:val="30"/>
              <w:divBdr>
                <w:top w:val="none" w:sz="0" w:space="0" w:color="auto"/>
                <w:left w:val="none" w:sz="0" w:space="0" w:color="auto"/>
                <w:bottom w:val="none" w:sz="0" w:space="0" w:color="auto"/>
                <w:right w:val="none" w:sz="0" w:space="0" w:color="auto"/>
              </w:divBdr>
              <w:divsChild>
                <w:div w:id="212692408">
                  <w:marLeft w:val="0"/>
                  <w:marRight w:val="0"/>
                  <w:marTop w:val="0"/>
                  <w:marBottom w:val="0"/>
                  <w:divBdr>
                    <w:top w:val="none" w:sz="0" w:space="0" w:color="auto"/>
                    <w:left w:val="none" w:sz="0" w:space="0" w:color="auto"/>
                    <w:bottom w:val="none" w:sz="0" w:space="0" w:color="auto"/>
                    <w:right w:val="none" w:sz="0" w:space="0" w:color="auto"/>
                  </w:divBdr>
                  <w:divsChild>
                    <w:div w:id="174661501">
                      <w:marLeft w:val="0"/>
                      <w:marRight w:val="0"/>
                      <w:marTop w:val="0"/>
                      <w:marBottom w:val="0"/>
                      <w:divBdr>
                        <w:top w:val="none" w:sz="0" w:space="0" w:color="auto"/>
                        <w:left w:val="none" w:sz="0" w:space="0" w:color="auto"/>
                        <w:bottom w:val="none" w:sz="0" w:space="0" w:color="auto"/>
                        <w:right w:val="none" w:sz="0" w:space="0" w:color="auto"/>
                      </w:divBdr>
                    </w:div>
                  </w:divsChild>
                </w:div>
                <w:div w:id="374043196">
                  <w:marLeft w:val="0"/>
                  <w:marRight w:val="0"/>
                  <w:marTop w:val="0"/>
                  <w:marBottom w:val="0"/>
                  <w:divBdr>
                    <w:top w:val="none" w:sz="0" w:space="0" w:color="auto"/>
                    <w:left w:val="none" w:sz="0" w:space="0" w:color="auto"/>
                    <w:bottom w:val="none" w:sz="0" w:space="0" w:color="auto"/>
                    <w:right w:val="none" w:sz="0" w:space="0" w:color="auto"/>
                  </w:divBdr>
                  <w:divsChild>
                    <w:div w:id="1948385878">
                      <w:marLeft w:val="0"/>
                      <w:marRight w:val="0"/>
                      <w:marTop w:val="0"/>
                      <w:marBottom w:val="0"/>
                      <w:divBdr>
                        <w:top w:val="none" w:sz="0" w:space="0" w:color="auto"/>
                        <w:left w:val="none" w:sz="0" w:space="0" w:color="auto"/>
                        <w:bottom w:val="none" w:sz="0" w:space="0" w:color="auto"/>
                        <w:right w:val="none" w:sz="0" w:space="0" w:color="auto"/>
                      </w:divBdr>
                    </w:div>
                  </w:divsChild>
                </w:div>
                <w:div w:id="841553551">
                  <w:marLeft w:val="0"/>
                  <w:marRight w:val="0"/>
                  <w:marTop w:val="0"/>
                  <w:marBottom w:val="0"/>
                  <w:divBdr>
                    <w:top w:val="none" w:sz="0" w:space="0" w:color="auto"/>
                    <w:left w:val="none" w:sz="0" w:space="0" w:color="auto"/>
                    <w:bottom w:val="none" w:sz="0" w:space="0" w:color="auto"/>
                    <w:right w:val="none" w:sz="0" w:space="0" w:color="auto"/>
                  </w:divBdr>
                  <w:divsChild>
                    <w:div w:id="1175654863">
                      <w:marLeft w:val="0"/>
                      <w:marRight w:val="0"/>
                      <w:marTop w:val="0"/>
                      <w:marBottom w:val="0"/>
                      <w:divBdr>
                        <w:top w:val="none" w:sz="0" w:space="0" w:color="auto"/>
                        <w:left w:val="none" w:sz="0" w:space="0" w:color="auto"/>
                        <w:bottom w:val="none" w:sz="0" w:space="0" w:color="auto"/>
                        <w:right w:val="none" w:sz="0" w:space="0" w:color="auto"/>
                      </w:divBdr>
                    </w:div>
                  </w:divsChild>
                </w:div>
                <w:div w:id="1641693615">
                  <w:marLeft w:val="0"/>
                  <w:marRight w:val="0"/>
                  <w:marTop w:val="0"/>
                  <w:marBottom w:val="0"/>
                  <w:divBdr>
                    <w:top w:val="none" w:sz="0" w:space="0" w:color="auto"/>
                    <w:left w:val="none" w:sz="0" w:space="0" w:color="auto"/>
                    <w:bottom w:val="none" w:sz="0" w:space="0" w:color="auto"/>
                    <w:right w:val="none" w:sz="0" w:space="0" w:color="auto"/>
                  </w:divBdr>
                  <w:divsChild>
                    <w:div w:id="21431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6980">
          <w:marLeft w:val="0"/>
          <w:marRight w:val="0"/>
          <w:marTop w:val="0"/>
          <w:marBottom w:val="0"/>
          <w:divBdr>
            <w:top w:val="none" w:sz="0" w:space="0" w:color="auto"/>
            <w:left w:val="none" w:sz="0" w:space="0" w:color="auto"/>
            <w:bottom w:val="none" w:sz="0" w:space="0" w:color="auto"/>
            <w:right w:val="none" w:sz="0" w:space="0" w:color="auto"/>
          </w:divBdr>
        </w:div>
        <w:div w:id="1394888286">
          <w:marLeft w:val="0"/>
          <w:marRight w:val="0"/>
          <w:marTop w:val="0"/>
          <w:marBottom w:val="0"/>
          <w:divBdr>
            <w:top w:val="none" w:sz="0" w:space="0" w:color="auto"/>
            <w:left w:val="none" w:sz="0" w:space="0" w:color="auto"/>
            <w:bottom w:val="none" w:sz="0" w:space="0" w:color="auto"/>
            <w:right w:val="none" w:sz="0" w:space="0" w:color="auto"/>
          </w:divBdr>
          <w:divsChild>
            <w:div w:id="1377045577">
              <w:marLeft w:val="-75"/>
              <w:marRight w:val="0"/>
              <w:marTop w:val="30"/>
              <w:marBottom w:val="30"/>
              <w:divBdr>
                <w:top w:val="none" w:sz="0" w:space="0" w:color="auto"/>
                <w:left w:val="none" w:sz="0" w:space="0" w:color="auto"/>
                <w:bottom w:val="none" w:sz="0" w:space="0" w:color="auto"/>
                <w:right w:val="none" w:sz="0" w:space="0" w:color="auto"/>
              </w:divBdr>
              <w:divsChild>
                <w:div w:id="51511714">
                  <w:marLeft w:val="0"/>
                  <w:marRight w:val="0"/>
                  <w:marTop w:val="0"/>
                  <w:marBottom w:val="0"/>
                  <w:divBdr>
                    <w:top w:val="none" w:sz="0" w:space="0" w:color="auto"/>
                    <w:left w:val="none" w:sz="0" w:space="0" w:color="auto"/>
                    <w:bottom w:val="none" w:sz="0" w:space="0" w:color="auto"/>
                    <w:right w:val="none" w:sz="0" w:space="0" w:color="auto"/>
                  </w:divBdr>
                  <w:divsChild>
                    <w:div w:id="133177710">
                      <w:marLeft w:val="0"/>
                      <w:marRight w:val="0"/>
                      <w:marTop w:val="0"/>
                      <w:marBottom w:val="0"/>
                      <w:divBdr>
                        <w:top w:val="none" w:sz="0" w:space="0" w:color="auto"/>
                        <w:left w:val="none" w:sz="0" w:space="0" w:color="auto"/>
                        <w:bottom w:val="none" w:sz="0" w:space="0" w:color="auto"/>
                        <w:right w:val="none" w:sz="0" w:space="0" w:color="auto"/>
                      </w:divBdr>
                    </w:div>
                  </w:divsChild>
                </w:div>
                <w:div w:id="69281335">
                  <w:marLeft w:val="0"/>
                  <w:marRight w:val="0"/>
                  <w:marTop w:val="0"/>
                  <w:marBottom w:val="0"/>
                  <w:divBdr>
                    <w:top w:val="none" w:sz="0" w:space="0" w:color="auto"/>
                    <w:left w:val="none" w:sz="0" w:space="0" w:color="auto"/>
                    <w:bottom w:val="none" w:sz="0" w:space="0" w:color="auto"/>
                    <w:right w:val="none" w:sz="0" w:space="0" w:color="auto"/>
                  </w:divBdr>
                  <w:divsChild>
                    <w:div w:id="1956399806">
                      <w:marLeft w:val="0"/>
                      <w:marRight w:val="0"/>
                      <w:marTop w:val="0"/>
                      <w:marBottom w:val="0"/>
                      <w:divBdr>
                        <w:top w:val="none" w:sz="0" w:space="0" w:color="auto"/>
                        <w:left w:val="none" w:sz="0" w:space="0" w:color="auto"/>
                        <w:bottom w:val="none" w:sz="0" w:space="0" w:color="auto"/>
                        <w:right w:val="none" w:sz="0" w:space="0" w:color="auto"/>
                      </w:divBdr>
                    </w:div>
                  </w:divsChild>
                </w:div>
                <w:div w:id="80375564">
                  <w:marLeft w:val="0"/>
                  <w:marRight w:val="0"/>
                  <w:marTop w:val="0"/>
                  <w:marBottom w:val="0"/>
                  <w:divBdr>
                    <w:top w:val="none" w:sz="0" w:space="0" w:color="auto"/>
                    <w:left w:val="none" w:sz="0" w:space="0" w:color="auto"/>
                    <w:bottom w:val="none" w:sz="0" w:space="0" w:color="auto"/>
                    <w:right w:val="none" w:sz="0" w:space="0" w:color="auto"/>
                  </w:divBdr>
                  <w:divsChild>
                    <w:div w:id="1714578282">
                      <w:marLeft w:val="0"/>
                      <w:marRight w:val="0"/>
                      <w:marTop w:val="0"/>
                      <w:marBottom w:val="0"/>
                      <w:divBdr>
                        <w:top w:val="none" w:sz="0" w:space="0" w:color="auto"/>
                        <w:left w:val="none" w:sz="0" w:space="0" w:color="auto"/>
                        <w:bottom w:val="none" w:sz="0" w:space="0" w:color="auto"/>
                        <w:right w:val="none" w:sz="0" w:space="0" w:color="auto"/>
                      </w:divBdr>
                    </w:div>
                  </w:divsChild>
                </w:div>
                <w:div w:id="92559464">
                  <w:marLeft w:val="0"/>
                  <w:marRight w:val="0"/>
                  <w:marTop w:val="0"/>
                  <w:marBottom w:val="0"/>
                  <w:divBdr>
                    <w:top w:val="none" w:sz="0" w:space="0" w:color="auto"/>
                    <w:left w:val="none" w:sz="0" w:space="0" w:color="auto"/>
                    <w:bottom w:val="none" w:sz="0" w:space="0" w:color="auto"/>
                    <w:right w:val="none" w:sz="0" w:space="0" w:color="auto"/>
                  </w:divBdr>
                  <w:divsChild>
                    <w:div w:id="700013664">
                      <w:marLeft w:val="0"/>
                      <w:marRight w:val="0"/>
                      <w:marTop w:val="0"/>
                      <w:marBottom w:val="0"/>
                      <w:divBdr>
                        <w:top w:val="none" w:sz="0" w:space="0" w:color="auto"/>
                        <w:left w:val="none" w:sz="0" w:space="0" w:color="auto"/>
                        <w:bottom w:val="none" w:sz="0" w:space="0" w:color="auto"/>
                        <w:right w:val="none" w:sz="0" w:space="0" w:color="auto"/>
                      </w:divBdr>
                    </w:div>
                  </w:divsChild>
                </w:div>
                <w:div w:id="170873855">
                  <w:marLeft w:val="0"/>
                  <w:marRight w:val="0"/>
                  <w:marTop w:val="0"/>
                  <w:marBottom w:val="0"/>
                  <w:divBdr>
                    <w:top w:val="none" w:sz="0" w:space="0" w:color="auto"/>
                    <w:left w:val="none" w:sz="0" w:space="0" w:color="auto"/>
                    <w:bottom w:val="none" w:sz="0" w:space="0" w:color="auto"/>
                    <w:right w:val="none" w:sz="0" w:space="0" w:color="auto"/>
                  </w:divBdr>
                  <w:divsChild>
                    <w:div w:id="2012219236">
                      <w:marLeft w:val="0"/>
                      <w:marRight w:val="0"/>
                      <w:marTop w:val="0"/>
                      <w:marBottom w:val="0"/>
                      <w:divBdr>
                        <w:top w:val="none" w:sz="0" w:space="0" w:color="auto"/>
                        <w:left w:val="none" w:sz="0" w:space="0" w:color="auto"/>
                        <w:bottom w:val="none" w:sz="0" w:space="0" w:color="auto"/>
                        <w:right w:val="none" w:sz="0" w:space="0" w:color="auto"/>
                      </w:divBdr>
                    </w:div>
                  </w:divsChild>
                </w:div>
                <w:div w:id="275454654">
                  <w:marLeft w:val="0"/>
                  <w:marRight w:val="0"/>
                  <w:marTop w:val="0"/>
                  <w:marBottom w:val="0"/>
                  <w:divBdr>
                    <w:top w:val="none" w:sz="0" w:space="0" w:color="auto"/>
                    <w:left w:val="none" w:sz="0" w:space="0" w:color="auto"/>
                    <w:bottom w:val="none" w:sz="0" w:space="0" w:color="auto"/>
                    <w:right w:val="none" w:sz="0" w:space="0" w:color="auto"/>
                  </w:divBdr>
                  <w:divsChild>
                    <w:div w:id="1674796976">
                      <w:marLeft w:val="0"/>
                      <w:marRight w:val="0"/>
                      <w:marTop w:val="0"/>
                      <w:marBottom w:val="0"/>
                      <w:divBdr>
                        <w:top w:val="none" w:sz="0" w:space="0" w:color="auto"/>
                        <w:left w:val="none" w:sz="0" w:space="0" w:color="auto"/>
                        <w:bottom w:val="none" w:sz="0" w:space="0" w:color="auto"/>
                        <w:right w:val="none" w:sz="0" w:space="0" w:color="auto"/>
                      </w:divBdr>
                    </w:div>
                  </w:divsChild>
                </w:div>
                <w:div w:id="637607591">
                  <w:marLeft w:val="0"/>
                  <w:marRight w:val="0"/>
                  <w:marTop w:val="0"/>
                  <w:marBottom w:val="0"/>
                  <w:divBdr>
                    <w:top w:val="none" w:sz="0" w:space="0" w:color="auto"/>
                    <w:left w:val="none" w:sz="0" w:space="0" w:color="auto"/>
                    <w:bottom w:val="none" w:sz="0" w:space="0" w:color="auto"/>
                    <w:right w:val="none" w:sz="0" w:space="0" w:color="auto"/>
                  </w:divBdr>
                  <w:divsChild>
                    <w:div w:id="1079672488">
                      <w:marLeft w:val="0"/>
                      <w:marRight w:val="0"/>
                      <w:marTop w:val="0"/>
                      <w:marBottom w:val="0"/>
                      <w:divBdr>
                        <w:top w:val="none" w:sz="0" w:space="0" w:color="auto"/>
                        <w:left w:val="none" w:sz="0" w:space="0" w:color="auto"/>
                        <w:bottom w:val="none" w:sz="0" w:space="0" w:color="auto"/>
                        <w:right w:val="none" w:sz="0" w:space="0" w:color="auto"/>
                      </w:divBdr>
                    </w:div>
                  </w:divsChild>
                </w:div>
                <w:div w:id="646782530">
                  <w:marLeft w:val="0"/>
                  <w:marRight w:val="0"/>
                  <w:marTop w:val="0"/>
                  <w:marBottom w:val="0"/>
                  <w:divBdr>
                    <w:top w:val="none" w:sz="0" w:space="0" w:color="auto"/>
                    <w:left w:val="none" w:sz="0" w:space="0" w:color="auto"/>
                    <w:bottom w:val="none" w:sz="0" w:space="0" w:color="auto"/>
                    <w:right w:val="none" w:sz="0" w:space="0" w:color="auto"/>
                  </w:divBdr>
                  <w:divsChild>
                    <w:div w:id="1422871592">
                      <w:marLeft w:val="0"/>
                      <w:marRight w:val="0"/>
                      <w:marTop w:val="0"/>
                      <w:marBottom w:val="0"/>
                      <w:divBdr>
                        <w:top w:val="none" w:sz="0" w:space="0" w:color="auto"/>
                        <w:left w:val="none" w:sz="0" w:space="0" w:color="auto"/>
                        <w:bottom w:val="none" w:sz="0" w:space="0" w:color="auto"/>
                        <w:right w:val="none" w:sz="0" w:space="0" w:color="auto"/>
                      </w:divBdr>
                    </w:div>
                  </w:divsChild>
                </w:div>
                <w:div w:id="665596759">
                  <w:marLeft w:val="0"/>
                  <w:marRight w:val="0"/>
                  <w:marTop w:val="0"/>
                  <w:marBottom w:val="0"/>
                  <w:divBdr>
                    <w:top w:val="none" w:sz="0" w:space="0" w:color="auto"/>
                    <w:left w:val="none" w:sz="0" w:space="0" w:color="auto"/>
                    <w:bottom w:val="none" w:sz="0" w:space="0" w:color="auto"/>
                    <w:right w:val="none" w:sz="0" w:space="0" w:color="auto"/>
                  </w:divBdr>
                  <w:divsChild>
                    <w:div w:id="210268346">
                      <w:marLeft w:val="0"/>
                      <w:marRight w:val="0"/>
                      <w:marTop w:val="0"/>
                      <w:marBottom w:val="0"/>
                      <w:divBdr>
                        <w:top w:val="none" w:sz="0" w:space="0" w:color="auto"/>
                        <w:left w:val="none" w:sz="0" w:space="0" w:color="auto"/>
                        <w:bottom w:val="none" w:sz="0" w:space="0" w:color="auto"/>
                        <w:right w:val="none" w:sz="0" w:space="0" w:color="auto"/>
                      </w:divBdr>
                    </w:div>
                  </w:divsChild>
                </w:div>
                <w:div w:id="844632296">
                  <w:marLeft w:val="0"/>
                  <w:marRight w:val="0"/>
                  <w:marTop w:val="0"/>
                  <w:marBottom w:val="0"/>
                  <w:divBdr>
                    <w:top w:val="none" w:sz="0" w:space="0" w:color="auto"/>
                    <w:left w:val="none" w:sz="0" w:space="0" w:color="auto"/>
                    <w:bottom w:val="none" w:sz="0" w:space="0" w:color="auto"/>
                    <w:right w:val="none" w:sz="0" w:space="0" w:color="auto"/>
                  </w:divBdr>
                  <w:divsChild>
                    <w:div w:id="26372738">
                      <w:marLeft w:val="0"/>
                      <w:marRight w:val="0"/>
                      <w:marTop w:val="0"/>
                      <w:marBottom w:val="0"/>
                      <w:divBdr>
                        <w:top w:val="none" w:sz="0" w:space="0" w:color="auto"/>
                        <w:left w:val="none" w:sz="0" w:space="0" w:color="auto"/>
                        <w:bottom w:val="none" w:sz="0" w:space="0" w:color="auto"/>
                        <w:right w:val="none" w:sz="0" w:space="0" w:color="auto"/>
                      </w:divBdr>
                    </w:div>
                  </w:divsChild>
                </w:div>
                <w:div w:id="894002704">
                  <w:marLeft w:val="0"/>
                  <w:marRight w:val="0"/>
                  <w:marTop w:val="0"/>
                  <w:marBottom w:val="0"/>
                  <w:divBdr>
                    <w:top w:val="none" w:sz="0" w:space="0" w:color="auto"/>
                    <w:left w:val="none" w:sz="0" w:space="0" w:color="auto"/>
                    <w:bottom w:val="none" w:sz="0" w:space="0" w:color="auto"/>
                    <w:right w:val="none" w:sz="0" w:space="0" w:color="auto"/>
                  </w:divBdr>
                  <w:divsChild>
                    <w:div w:id="2085489559">
                      <w:marLeft w:val="0"/>
                      <w:marRight w:val="0"/>
                      <w:marTop w:val="0"/>
                      <w:marBottom w:val="0"/>
                      <w:divBdr>
                        <w:top w:val="none" w:sz="0" w:space="0" w:color="auto"/>
                        <w:left w:val="none" w:sz="0" w:space="0" w:color="auto"/>
                        <w:bottom w:val="none" w:sz="0" w:space="0" w:color="auto"/>
                        <w:right w:val="none" w:sz="0" w:space="0" w:color="auto"/>
                      </w:divBdr>
                    </w:div>
                  </w:divsChild>
                </w:div>
                <w:div w:id="894584795">
                  <w:marLeft w:val="0"/>
                  <w:marRight w:val="0"/>
                  <w:marTop w:val="0"/>
                  <w:marBottom w:val="0"/>
                  <w:divBdr>
                    <w:top w:val="none" w:sz="0" w:space="0" w:color="auto"/>
                    <w:left w:val="none" w:sz="0" w:space="0" w:color="auto"/>
                    <w:bottom w:val="none" w:sz="0" w:space="0" w:color="auto"/>
                    <w:right w:val="none" w:sz="0" w:space="0" w:color="auto"/>
                  </w:divBdr>
                  <w:divsChild>
                    <w:div w:id="728385082">
                      <w:marLeft w:val="0"/>
                      <w:marRight w:val="0"/>
                      <w:marTop w:val="0"/>
                      <w:marBottom w:val="0"/>
                      <w:divBdr>
                        <w:top w:val="none" w:sz="0" w:space="0" w:color="auto"/>
                        <w:left w:val="none" w:sz="0" w:space="0" w:color="auto"/>
                        <w:bottom w:val="none" w:sz="0" w:space="0" w:color="auto"/>
                        <w:right w:val="none" w:sz="0" w:space="0" w:color="auto"/>
                      </w:divBdr>
                    </w:div>
                  </w:divsChild>
                </w:div>
                <w:div w:id="975910482">
                  <w:marLeft w:val="0"/>
                  <w:marRight w:val="0"/>
                  <w:marTop w:val="0"/>
                  <w:marBottom w:val="0"/>
                  <w:divBdr>
                    <w:top w:val="none" w:sz="0" w:space="0" w:color="auto"/>
                    <w:left w:val="none" w:sz="0" w:space="0" w:color="auto"/>
                    <w:bottom w:val="none" w:sz="0" w:space="0" w:color="auto"/>
                    <w:right w:val="none" w:sz="0" w:space="0" w:color="auto"/>
                  </w:divBdr>
                  <w:divsChild>
                    <w:div w:id="234362503">
                      <w:marLeft w:val="0"/>
                      <w:marRight w:val="0"/>
                      <w:marTop w:val="0"/>
                      <w:marBottom w:val="0"/>
                      <w:divBdr>
                        <w:top w:val="none" w:sz="0" w:space="0" w:color="auto"/>
                        <w:left w:val="none" w:sz="0" w:space="0" w:color="auto"/>
                        <w:bottom w:val="none" w:sz="0" w:space="0" w:color="auto"/>
                        <w:right w:val="none" w:sz="0" w:space="0" w:color="auto"/>
                      </w:divBdr>
                    </w:div>
                  </w:divsChild>
                </w:div>
                <w:div w:id="1127237810">
                  <w:marLeft w:val="0"/>
                  <w:marRight w:val="0"/>
                  <w:marTop w:val="0"/>
                  <w:marBottom w:val="0"/>
                  <w:divBdr>
                    <w:top w:val="none" w:sz="0" w:space="0" w:color="auto"/>
                    <w:left w:val="none" w:sz="0" w:space="0" w:color="auto"/>
                    <w:bottom w:val="none" w:sz="0" w:space="0" w:color="auto"/>
                    <w:right w:val="none" w:sz="0" w:space="0" w:color="auto"/>
                  </w:divBdr>
                  <w:divsChild>
                    <w:div w:id="1267692060">
                      <w:marLeft w:val="0"/>
                      <w:marRight w:val="0"/>
                      <w:marTop w:val="0"/>
                      <w:marBottom w:val="0"/>
                      <w:divBdr>
                        <w:top w:val="none" w:sz="0" w:space="0" w:color="auto"/>
                        <w:left w:val="none" w:sz="0" w:space="0" w:color="auto"/>
                        <w:bottom w:val="none" w:sz="0" w:space="0" w:color="auto"/>
                        <w:right w:val="none" w:sz="0" w:space="0" w:color="auto"/>
                      </w:divBdr>
                    </w:div>
                  </w:divsChild>
                </w:div>
                <w:div w:id="1240556336">
                  <w:marLeft w:val="0"/>
                  <w:marRight w:val="0"/>
                  <w:marTop w:val="0"/>
                  <w:marBottom w:val="0"/>
                  <w:divBdr>
                    <w:top w:val="none" w:sz="0" w:space="0" w:color="auto"/>
                    <w:left w:val="none" w:sz="0" w:space="0" w:color="auto"/>
                    <w:bottom w:val="none" w:sz="0" w:space="0" w:color="auto"/>
                    <w:right w:val="none" w:sz="0" w:space="0" w:color="auto"/>
                  </w:divBdr>
                  <w:divsChild>
                    <w:div w:id="608703244">
                      <w:marLeft w:val="0"/>
                      <w:marRight w:val="0"/>
                      <w:marTop w:val="0"/>
                      <w:marBottom w:val="0"/>
                      <w:divBdr>
                        <w:top w:val="none" w:sz="0" w:space="0" w:color="auto"/>
                        <w:left w:val="none" w:sz="0" w:space="0" w:color="auto"/>
                        <w:bottom w:val="none" w:sz="0" w:space="0" w:color="auto"/>
                        <w:right w:val="none" w:sz="0" w:space="0" w:color="auto"/>
                      </w:divBdr>
                    </w:div>
                  </w:divsChild>
                </w:div>
                <w:div w:id="1466462665">
                  <w:marLeft w:val="0"/>
                  <w:marRight w:val="0"/>
                  <w:marTop w:val="0"/>
                  <w:marBottom w:val="0"/>
                  <w:divBdr>
                    <w:top w:val="none" w:sz="0" w:space="0" w:color="auto"/>
                    <w:left w:val="none" w:sz="0" w:space="0" w:color="auto"/>
                    <w:bottom w:val="none" w:sz="0" w:space="0" w:color="auto"/>
                    <w:right w:val="none" w:sz="0" w:space="0" w:color="auto"/>
                  </w:divBdr>
                  <w:divsChild>
                    <w:div w:id="115102821">
                      <w:marLeft w:val="0"/>
                      <w:marRight w:val="0"/>
                      <w:marTop w:val="0"/>
                      <w:marBottom w:val="0"/>
                      <w:divBdr>
                        <w:top w:val="none" w:sz="0" w:space="0" w:color="auto"/>
                        <w:left w:val="none" w:sz="0" w:space="0" w:color="auto"/>
                        <w:bottom w:val="none" w:sz="0" w:space="0" w:color="auto"/>
                        <w:right w:val="none" w:sz="0" w:space="0" w:color="auto"/>
                      </w:divBdr>
                    </w:div>
                  </w:divsChild>
                </w:div>
                <w:div w:id="1507136641">
                  <w:marLeft w:val="0"/>
                  <w:marRight w:val="0"/>
                  <w:marTop w:val="0"/>
                  <w:marBottom w:val="0"/>
                  <w:divBdr>
                    <w:top w:val="none" w:sz="0" w:space="0" w:color="auto"/>
                    <w:left w:val="none" w:sz="0" w:space="0" w:color="auto"/>
                    <w:bottom w:val="none" w:sz="0" w:space="0" w:color="auto"/>
                    <w:right w:val="none" w:sz="0" w:space="0" w:color="auto"/>
                  </w:divBdr>
                  <w:divsChild>
                    <w:div w:id="577444294">
                      <w:marLeft w:val="0"/>
                      <w:marRight w:val="0"/>
                      <w:marTop w:val="0"/>
                      <w:marBottom w:val="0"/>
                      <w:divBdr>
                        <w:top w:val="none" w:sz="0" w:space="0" w:color="auto"/>
                        <w:left w:val="none" w:sz="0" w:space="0" w:color="auto"/>
                        <w:bottom w:val="none" w:sz="0" w:space="0" w:color="auto"/>
                        <w:right w:val="none" w:sz="0" w:space="0" w:color="auto"/>
                      </w:divBdr>
                    </w:div>
                  </w:divsChild>
                </w:div>
                <w:div w:id="1542791428">
                  <w:marLeft w:val="0"/>
                  <w:marRight w:val="0"/>
                  <w:marTop w:val="0"/>
                  <w:marBottom w:val="0"/>
                  <w:divBdr>
                    <w:top w:val="none" w:sz="0" w:space="0" w:color="auto"/>
                    <w:left w:val="none" w:sz="0" w:space="0" w:color="auto"/>
                    <w:bottom w:val="none" w:sz="0" w:space="0" w:color="auto"/>
                    <w:right w:val="none" w:sz="0" w:space="0" w:color="auto"/>
                  </w:divBdr>
                  <w:divsChild>
                    <w:div w:id="166556599">
                      <w:marLeft w:val="0"/>
                      <w:marRight w:val="0"/>
                      <w:marTop w:val="0"/>
                      <w:marBottom w:val="0"/>
                      <w:divBdr>
                        <w:top w:val="none" w:sz="0" w:space="0" w:color="auto"/>
                        <w:left w:val="none" w:sz="0" w:space="0" w:color="auto"/>
                        <w:bottom w:val="none" w:sz="0" w:space="0" w:color="auto"/>
                        <w:right w:val="none" w:sz="0" w:space="0" w:color="auto"/>
                      </w:divBdr>
                    </w:div>
                  </w:divsChild>
                </w:div>
                <w:div w:id="1610117498">
                  <w:marLeft w:val="0"/>
                  <w:marRight w:val="0"/>
                  <w:marTop w:val="0"/>
                  <w:marBottom w:val="0"/>
                  <w:divBdr>
                    <w:top w:val="none" w:sz="0" w:space="0" w:color="auto"/>
                    <w:left w:val="none" w:sz="0" w:space="0" w:color="auto"/>
                    <w:bottom w:val="none" w:sz="0" w:space="0" w:color="auto"/>
                    <w:right w:val="none" w:sz="0" w:space="0" w:color="auto"/>
                  </w:divBdr>
                  <w:divsChild>
                    <w:div w:id="743185709">
                      <w:marLeft w:val="0"/>
                      <w:marRight w:val="0"/>
                      <w:marTop w:val="0"/>
                      <w:marBottom w:val="0"/>
                      <w:divBdr>
                        <w:top w:val="none" w:sz="0" w:space="0" w:color="auto"/>
                        <w:left w:val="none" w:sz="0" w:space="0" w:color="auto"/>
                        <w:bottom w:val="none" w:sz="0" w:space="0" w:color="auto"/>
                        <w:right w:val="none" w:sz="0" w:space="0" w:color="auto"/>
                      </w:divBdr>
                    </w:div>
                  </w:divsChild>
                </w:div>
                <w:div w:id="1623609573">
                  <w:marLeft w:val="0"/>
                  <w:marRight w:val="0"/>
                  <w:marTop w:val="0"/>
                  <w:marBottom w:val="0"/>
                  <w:divBdr>
                    <w:top w:val="none" w:sz="0" w:space="0" w:color="auto"/>
                    <w:left w:val="none" w:sz="0" w:space="0" w:color="auto"/>
                    <w:bottom w:val="none" w:sz="0" w:space="0" w:color="auto"/>
                    <w:right w:val="none" w:sz="0" w:space="0" w:color="auto"/>
                  </w:divBdr>
                  <w:divsChild>
                    <w:div w:id="922035545">
                      <w:marLeft w:val="0"/>
                      <w:marRight w:val="0"/>
                      <w:marTop w:val="0"/>
                      <w:marBottom w:val="0"/>
                      <w:divBdr>
                        <w:top w:val="none" w:sz="0" w:space="0" w:color="auto"/>
                        <w:left w:val="none" w:sz="0" w:space="0" w:color="auto"/>
                        <w:bottom w:val="none" w:sz="0" w:space="0" w:color="auto"/>
                        <w:right w:val="none" w:sz="0" w:space="0" w:color="auto"/>
                      </w:divBdr>
                    </w:div>
                  </w:divsChild>
                </w:div>
                <w:div w:id="1738017204">
                  <w:marLeft w:val="0"/>
                  <w:marRight w:val="0"/>
                  <w:marTop w:val="0"/>
                  <w:marBottom w:val="0"/>
                  <w:divBdr>
                    <w:top w:val="none" w:sz="0" w:space="0" w:color="auto"/>
                    <w:left w:val="none" w:sz="0" w:space="0" w:color="auto"/>
                    <w:bottom w:val="none" w:sz="0" w:space="0" w:color="auto"/>
                    <w:right w:val="none" w:sz="0" w:space="0" w:color="auto"/>
                  </w:divBdr>
                  <w:divsChild>
                    <w:div w:id="769160696">
                      <w:marLeft w:val="0"/>
                      <w:marRight w:val="0"/>
                      <w:marTop w:val="0"/>
                      <w:marBottom w:val="0"/>
                      <w:divBdr>
                        <w:top w:val="none" w:sz="0" w:space="0" w:color="auto"/>
                        <w:left w:val="none" w:sz="0" w:space="0" w:color="auto"/>
                        <w:bottom w:val="none" w:sz="0" w:space="0" w:color="auto"/>
                        <w:right w:val="none" w:sz="0" w:space="0" w:color="auto"/>
                      </w:divBdr>
                    </w:div>
                  </w:divsChild>
                </w:div>
                <w:div w:id="1901749021">
                  <w:marLeft w:val="0"/>
                  <w:marRight w:val="0"/>
                  <w:marTop w:val="0"/>
                  <w:marBottom w:val="0"/>
                  <w:divBdr>
                    <w:top w:val="none" w:sz="0" w:space="0" w:color="auto"/>
                    <w:left w:val="none" w:sz="0" w:space="0" w:color="auto"/>
                    <w:bottom w:val="none" w:sz="0" w:space="0" w:color="auto"/>
                    <w:right w:val="none" w:sz="0" w:space="0" w:color="auto"/>
                  </w:divBdr>
                  <w:divsChild>
                    <w:div w:id="983387164">
                      <w:marLeft w:val="0"/>
                      <w:marRight w:val="0"/>
                      <w:marTop w:val="0"/>
                      <w:marBottom w:val="0"/>
                      <w:divBdr>
                        <w:top w:val="none" w:sz="0" w:space="0" w:color="auto"/>
                        <w:left w:val="none" w:sz="0" w:space="0" w:color="auto"/>
                        <w:bottom w:val="none" w:sz="0" w:space="0" w:color="auto"/>
                        <w:right w:val="none" w:sz="0" w:space="0" w:color="auto"/>
                      </w:divBdr>
                    </w:div>
                  </w:divsChild>
                </w:div>
                <w:div w:id="1908177419">
                  <w:marLeft w:val="0"/>
                  <w:marRight w:val="0"/>
                  <w:marTop w:val="0"/>
                  <w:marBottom w:val="0"/>
                  <w:divBdr>
                    <w:top w:val="none" w:sz="0" w:space="0" w:color="auto"/>
                    <w:left w:val="none" w:sz="0" w:space="0" w:color="auto"/>
                    <w:bottom w:val="none" w:sz="0" w:space="0" w:color="auto"/>
                    <w:right w:val="none" w:sz="0" w:space="0" w:color="auto"/>
                  </w:divBdr>
                  <w:divsChild>
                    <w:div w:id="1065301939">
                      <w:marLeft w:val="0"/>
                      <w:marRight w:val="0"/>
                      <w:marTop w:val="0"/>
                      <w:marBottom w:val="0"/>
                      <w:divBdr>
                        <w:top w:val="none" w:sz="0" w:space="0" w:color="auto"/>
                        <w:left w:val="none" w:sz="0" w:space="0" w:color="auto"/>
                        <w:bottom w:val="none" w:sz="0" w:space="0" w:color="auto"/>
                        <w:right w:val="none" w:sz="0" w:space="0" w:color="auto"/>
                      </w:divBdr>
                    </w:div>
                  </w:divsChild>
                </w:div>
                <w:div w:id="1990359054">
                  <w:marLeft w:val="0"/>
                  <w:marRight w:val="0"/>
                  <w:marTop w:val="0"/>
                  <w:marBottom w:val="0"/>
                  <w:divBdr>
                    <w:top w:val="none" w:sz="0" w:space="0" w:color="auto"/>
                    <w:left w:val="none" w:sz="0" w:space="0" w:color="auto"/>
                    <w:bottom w:val="none" w:sz="0" w:space="0" w:color="auto"/>
                    <w:right w:val="none" w:sz="0" w:space="0" w:color="auto"/>
                  </w:divBdr>
                  <w:divsChild>
                    <w:div w:id="632516392">
                      <w:marLeft w:val="0"/>
                      <w:marRight w:val="0"/>
                      <w:marTop w:val="0"/>
                      <w:marBottom w:val="0"/>
                      <w:divBdr>
                        <w:top w:val="none" w:sz="0" w:space="0" w:color="auto"/>
                        <w:left w:val="none" w:sz="0" w:space="0" w:color="auto"/>
                        <w:bottom w:val="none" w:sz="0" w:space="0" w:color="auto"/>
                        <w:right w:val="none" w:sz="0" w:space="0" w:color="auto"/>
                      </w:divBdr>
                    </w:div>
                  </w:divsChild>
                </w:div>
                <w:div w:id="2143689433">
                  <w:marLeft w:val="0"/>
                  <w:marRight w:val="0"/>
                  <w:marTop w:val="0"/>
                  <w:marBottom w:val="0"/>
                  <w:divBdr>
                    <w:top w:val="none" w:sz="0" w:space="0" w:color="auto"/>
                    <w:left w:val="none" w:sz="0" w:space="0" w:color="auto"/>
                    <w:bottom w:val="none" w:sz="0" w:space="0" w:color="auto"/>
                    <w:right w:val="none" w:sz="0" w:space="0" w:color="auto"/>
                  </w:divBdr>
                  <w:divsChild>
                    <w:div w:id="12954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3017">
          <w:marLeft w:val="0"/>
          <w:marRight w:val="0"/>
          <w:marTop w:val="0"/>
          <w:marBottom w:val="0"/>
          <w:divBdr>
            <w:top w:val="none" w:sz="0" w:space="0" w:color="auto"/>
            <w:left w:val="none" w:sz="0" w:space="0" w:color="auto"/>
            <w:bottom w:val="none" w:sz="0" w:space="0" w:color="auto"/>
            <w:right w:val="none" w:sz="0" w:space="0" w:color="auto"/>
          </w:divBdr>
          <w:divsChild>
            <w:div w:id="753206528">
              <w:marLeft w:val="-75"/>
              <w:marRight w:val="0"/>
              <w:marTop w:val="30"/>
              <w:marBottom w:val="30"/>
              <w:divBdr>
                <w:top w:val="none" w:sz="0" w:space="0" w:color="auto"/>
                <w:left w:val="none" w:sz="0" w:space="0" w:color="auto"/>
                <w:bottom w:val="none" w:sz="0" w:space="0" w:color="auto"/>
                <w:right w:val="none" w:sz="0" w:space="0" w:color="auto"/>
              </w:divBdr>
              <w:divsChild>
                <w:div w:id="115568130">
                  <w:marLeft w:val="0"/>
                  <w:marRight w:val="0"/>
                  <w:marTop w:val="0"/>
                  <w:marBottom w:val="0"/>
                  <w:divBdr>
                    <w:top w:val="none" w:sz="0" w:space="0" w:color="auto"/>
                    <w:left w:val="none" w:sz="0" w:space="0" w:color="auto"/>
                    <w:bottom w:val="none" w:sz="0" w:space="0" w:color="auto"/>
                    <w:right w:val="none" w:sz="0" w:space="0" w:color="auto"/>
                  </w:divBdr>
                  <w:divsChild>
                    <w:div w:id="50932903">
                      <w:marLeft w:val="0"/>
                      <w:marRight w:val="0"/>
                      <w:marTop w:val="0"/>
                      <w:marBottom w:val="0"/>
                      <w:divBdr>
                        <w:top w:val="none" w:sz="0" w:space="0" w:color="auto"/>
                        <w:left w:val="none" w:sz="0" w:space="0" w:color="auto"/>
                        <w:bottom w:val="none" w:sz="0" w:space="0" w:color="auto"/>
                        <w:right w:val="none" w:sz="0" w:space="0" w:color="auto"/>
                      </w:divBdr>
                    </w:div>
                  </w:divsChild>
                </w:div>
                <w:div w:id="337464232">
                  <w:marLeft w:val="0"/>
                  <w:marRight w:val="0"/>
                  <w:marTop w:val="0"/>
                  <w:marBottom w:val="0"/>
                  <w:divBdr>
                    <w:top w:val="none" w:sz="0" w:space="0" w:color="auto"/>
                    <w:left w:val="none" w:sz="0" w:space="0" w:color="auto"/>
                    <w:bottom w:val="none" w:sz="0" w:space="0" w:color="auto"/>
                    <w:right w:val="none" w:sz="0" w:space="0" w:color="auto"/>
                  </w:divBdr>
                  <w:divsChild>
                    <w:div w:id="225452271">
                      <w:marLeft w:val="0"/>
                      <w:marRight w:val="0"/>
                      <w:marTop w:val="0"/>
                      <w:marBottom w:val="0"/>
                      <w:divBdr>
                        <w:top w:val="none" w:sz="0" w:space="0" w:color="auto"/>
                        <w:left w:val="none" w:sz="0" w:space="0" w:color="auto"/>
                        <w:bottom w:val="none" w:sz="0" w:space="0" w:color="auto"/>
                        <w:right w:val="none" w:sz="0" w:space="0" w:color="auto"/>
                      </w:divBdr>
                    </w:div>
                  </w:divsChild>
                </w:div>
                <w:div w:id="414474727">
                  <w:marLeft w:val="0"/>
                  <w:marRight w:val="0"/>
                  <w:marTop w:val="0"/>
                  <w:marBottom w:val="0"/>
                  <w:divBdr>
                    <w:top w:val="none" w:sz="0" w:space="0" w:color="auto"/>
                    <w:left w:val="none" w:sz="0" w:space="0" w:color="auto"/>
                    <w:bottom w:val="none" w:sz="0" w:space="0" w:color="auto"/>
                    <w:right w:val="none" w:sz="0" w:space="0" w:color="auto"/>
                  </w:divBdr>
                  <w:divsChild>
                    <w:div w:id="1832715628">
                      <w:marLeft w:val="0"/>
                      <w:marRight w:val="0"/>
                      <w:marTop w:val="0"/>
                      <w:marBottom w:val="0"/>
                      <w:divBdr>
                        <w:top w:val="none" w:sz="0" w:space="0" w:color="auto"/>
                        <w:left w:val="none" w:sz="0" w:space="0" w:color="auto"/>
                        <w:bottom w:val="none" w:sz="0" w:space="0" w:color="auto"/>
                        <w:right w:val="none" w:sz="0" w:space="0" w:color="auto"/>
                      </w:divBdr>
                    </w:div>
                  </w:divsChild>
                </w:div>
                <w:div w:id="465203290">
                  <w:marLeft w:val="0"/>
                  <w:marRight w:val="0"/>
                  <w:marTop w:val="0"/>
                  <w:marBottom w:val="0"/>
                  <w:divBdr>
                    <w:top w:val="none" w:sz="0" w:space="0" w:color="auto"/>
                    <w:left w:val="none" w:sz="0" w:space="0" w:color="auto"/>
                    <w:bottom w:val="none" w:sz="0" w:space="0" w:color="auto"/>
                    <w:right w:val="none" w:sz="0" w:space="0" w:color="auto"/>
                  </w:divBdr>
                  <w:divsChild>
                    <w:div w:id="879904650">
                      <w:marLeft w:val="0"/>
                      <w:marRight w:val="0"/>
                      <w:marTop w:val="0"/>
                      <w:marBottom w:val="0"/>
                      <w:divBdr>
                        <w:top w:val="none" w:sz="0" w:space="0" w:color="auto"/>
                        <w:left w:val="none" w:sz="0" w:space="0" w:color="auto"/>
                        <w:bottom w:val="none" w:sz="0" w:space="0" w:color="auto"/>
                        <w:right w:val="none" w:sz="0" w:space="0" w:color="auto"/>
                      </w:divBdr>
                    </w:div>
                  </w:divsChild>
                </w:div>
                <w:div w:id="578952564">
                  <w:marLeft w:val="0"/>
                  <w:marRight w:val="0"/>
                  <w:marTop w:val="0"/>
                  <w:marBottom w:val="0"/>
                  <w:divBdr>
                    <w:top w:val="none" w:sz="0" w:space="0" w:color="auto"/>
                    <w:left w:val="none" w:sz="0" w:space="0" w:color="auto"/>
                    <w:bottom w:val="none" w:sz="0" w:space="0" w:color="auto"/>
                    <w:right w:val="none" w:sz="0" w:space="0" w:color="auto"/>
                  </w:divBdr>
                  <w:divsChild>
                    <w:div w:id="662272596">
                      <w:marLeft w:val="0"/>
                      <w:marRight w:val="0"/>
                      <w:marTop w:val="0"/>
                      <w:marBottom w:val="0"/>
                      <w:divBdr>
                        <w:top w:val="none" w:sz="0" w:space="0" w:color="auto"/>
                        <w:left w:val="none" w:sz="0" w:space="0" w:color="auto"/>
                        <w:bottom w:val="none" w:sz="0" w:space="0" w:color="auto"/>
                        <w:right w:val="none" w:sz="0" w:space="0" w:color="auto"/>
                      </w:divBdr>
                    </w:div>
                  </w:divsChild>
                </w:div>
                <w:div w:id="621569920">
                  <w:marLeft w:val="0"/>
                  <w:marRight w:val="0"/>
                  <w:marTop w:val="0"/>
                  <w:marBottom w:val="0"/>
                  <w:divBdr>
                    <w:top w:val="none" w:sz="0" w:space="0" w:color="auto"/>
                    <w:left w:val="none" w:sz="0" w:space="0" w:color="auto"/>
                    <w:bottom w:val="none" w:sz="0" w:space="0" w:color="auto"/>
                    <w:right w:val="none" w:sz="0" w:space="0" w:color="auto"/>
                  </w:divBdr>
                  <w:divsChild>
                    <w:div w:id="4796197">
                      <w:marLeft w:val="0"/>
                      <w:marRight w:val="0"/>
                      <w:marTop w:val="0"/>
                      <w:marBottom w:val="0"/>
                      <w:divBdr>
                        <w:top w:val="none" w:sz="0" w:space="0" w:color="auto"/>
                        <w:left w:val="none" w:sz="0" w:space="0" w:color="auto"/>
                        <w:bottom w:val="none" w:sz="0" w:space="0" w:color="auto"/>
                        <w:right w:val="none" w:sz="0" w:space="0" w:color="auto"/>
                      </w:divBdr>
                    </w:div>
                  </w:divsChild>
                </w:div>
                <w:div w:id="632710732">
                  <w:marLeft w:val="0"/>
                  <w:marRight w:val="0"/>
                  <w:marTop w:val="0"/>
                  <w:marBottom w:val="0"/>
                  <w:divBdr>
                    <w:top w:val="none" w:sz="0" w:space="0" w:color="auto"/>
                    <w:left w:val="none" w:sz="0" w:space="0" w:color="auto"/>
                    <w:bottom w:val="none" w:sz="0" w:space="0" w:color="auto"/>
                    <w:right w:val="none" w:sz="0" w:space="0" w:color="auto"/>
                  </w:divBdr>
                  <w:divsChild>
                    <w:div w:id="2124687844">
                      <w:marLeft w:val="0"/>
                      <w:marRight w:val="0"/>
                      <w:marTop w:val="0"/>
                      <w:marBottom w:val="0"/>
                      <w:divBdr>
                        <w:top w:val="none" w:sz="0" w:space="0" w:color="auto"/>
                        <w:left w:val="none" w:sz="0" w:space="0" w:color="auto"/>
                        <w:bottom w:val="none" w:sz="0" w:space="0" w:color="auto"/>
                        <w:right w:val="none" w:sz="0" w:space="0" w:color="auto"/>
                      </w:divBdr>
                    </w:div>
                  </w:divsChild>
                </w:div>
                <w:div w:id="917863503">
                  <w:marLeft w:val="0"/>
                  <w:marRight w:val="0"/>
                  <w:marTop w:val="0"/>
                  <w:marBottom w:val="0"/>
                  <w:divBdr>
                    <w:top w:val="none" w:sz="0" w:space="0" w:color="auto"/>
                    <w:left w:val="none" w:sz="0" w:space="0" w:color="auto"/>
                    <w:bottom w:val="none" w:sz="0" w:space="0" w:color="auto"/>
                    <w:right w:val="none" w:sz="0" w:space="0" w:color="auto"/>
                  </w:divBdr>
                  <w:divsChild>
                    <w:div w:id="364139474">
                      <w:marLeft w:val="0"/>
                      <w:marRight w:val="0"/>
                      <w:marTop w:val="0"/>
                      <w:marBottom w:val="0"/>
                      <w:divBdr>
                        <w:top w:val="none" w:sz="0" w:space="0" w:color="auto"/>
                        <w:left w:val="none" w:sz="0" w:space="0" w:color="auto"/>
                        <w:bottom w:val="none" w:sz="0" w:space="0" w:color="auto"/>
                        <w:right w:val="none" w:sz="0" w:space="0" w:color="auto"/>
                      </w:divBdr>
                    </w:div>
                  </w:divsChild>
                </w:div>
                <w:div w:id="941453660">
                  <w:marLeft w:val="0"/>
                  <w:marRight w:val="0"/>
                  <w:marTop w:val="0"/>
                  <w:marBottom w:val="0"/>
                  <w:divBdr>
                    <w:top w:val="none" w:sz="0" w:space="0" w:color="auto"/>
                    <w:left w:val="none" w:sz="0" w:space="0" w:color="auto"/>
                    <w:bottom w:val="none" w:sz="0" w:space="0" w:color="auto"/>
                    <w:right w:val="none" w:sz="0" w:space="0" w:color="auto"/>
                  </w:divBdr>
                  <w:divsChild>
                    <w:div w:id="865296038">
                      <w:marLeft w:val="0"/>
                      <w:marRight w:val="0"/>
                      <w:marTop w:val="0"/>
                      <w:marBottom w:val="0"/>
                      <w:divBdr>
                        <w:top w:val="none" w:sz="0" w:space="0" w:color="auto"/>
                        <w:left w:val="none" w:sz="0" w:space="0" w:color="auto"/>
                        <w:bottom w:val="none" w:sz="0" w:space="0" w:color="auto"/>
                        <w:right w:val="none" w:sz="0" w:space="0" w:color="auto"/>
                      </w:divBdr>
                    </w:div>
                  </w:divsChild>
                </w:div>
                <w:div w:id="972440852">
                  <w:marLeft w:val="0"/>
                  <w:marRight w:val="0"/>
                  <w:marTop w:val="0"/>
                  <w:marBottom w:val="0"/>
                  <w:divBdr>
                    <w:top w:val="none" w:sz="0" w:space="0" w:color="auto"/>
                    <w:left w:val="none" w:sz="0" w:space="0" w:color="auto"/>
                    <w:bottom w:val="none" w:sz="0" w:space="0" w:color="auto"/>
                    <w:right w:val="none" w:sz="0" w:space="0" w:color="auto"/>
                  </w:divBdr>
                  <w:divsChild>
                    <w:div w:id="241644165">
                      <w:marLeft w:val="0"/>
                      <w:marRight w:val="0"/>
                      <w:marTop w:val="0"/>
                      <w:marBottom w:val="0"/>
                      <w:divBdr>
                        <w:top w:val="none" w:sz="0" w:space="0" w:color="auto"/>
                        <w:left w:val="none" w:sz="0" w:space="0" w:color="auto"/>
                        <w:bottom w:val="none" w:sz="0" w:space="0" w:color="auto"/>
                        <w:right w:val="none" w:sz="0" w:space="0" w:color="auto"/>
                      </w:divBdr>
                    </w:div>
                  </w:divsChild>
                </w:div>
                <w:div w:id="1203134731">
                  <w:marLeft w:val="0"/>
                  <w:marRight w:val="0"/>
                  <w:marTop w:val="0"/>
                  <w:marBottom w:val="0"/>
                  <w:divBdr>
                    <w:top w:val="none" w:sz="0" w:space="0" w:color="auto"/>
                    <w:left w:val="none" w:sz="0" w:space="0" w:color="auto"/>
                    <w:bottom w:val="none" w:sz="0" w:space="0" w:color="auto"/>
                    <w:right w:val="none" w:sz="0" w:space="0" w:color="auto"/>
                  </w:divBdr>
                  <w:divsChild>
                    <w:div w:id="833761302">
                      <w:marLeft w:val="0"/>
                      <w:marRight w:val="0"/>
                      <w:marTop w:val="0"/>
                      <w:marBottom w:val="0"/>
                      <w:divBdr>
                        <w:top w:val="none" w:sz="0" w:space="0" w:color="auto"/>
                        <w:left w:val="none" w:sz="0" w:space="0" w:color="auto"/>
                        <w:bottom w:val="none" w:sz="0" w:space="0" w:color="auto"/>
                        <w:right w:val="none" w:sz="0" w:space="0" w:color="auto"/>
                      </w:divBdr>
                    </w:div>
                  </w:divsChild>
                </w:div>
                <w:div w:id="1216086827">
                  <w:marLeft w:val="0"/>
                  <w:marRight w:val="0"/>
                  <w:marTop w:val="0"/>
                  <w:marBottom w:val="0"/>
                  <w:divBdr>
                    <w:top w:val="none" w:sz="0" w:space="0" w:color="auto"/>
                    <w:left w:val="none" w:sz="0" w:space="0" w:color="auto"/>
                    <w:bottom w:val="none" w:sz="0" w:space="0" w:color="auto"/>
                    <w:right w:val="none" w:sz="0" w:space="0" w:color="auto"/>
                  </w:divBdr>
                  <w:divsChild>
                    <w:div w:id="1556745532">
                      <w:marLeft w:val="0"/>
                      <w:marRight w:val="0"/>
                      <w:marTop w:val="0"/>
                      <w:marBottom w:val="0"/>
                      <w:divBdr>
                        <w:top w:val="none" w:sz="0" w:space="0" w:color="auto"/>
                        <w:left w:val="none" w:sz="0" w:space="0" w:color="auto"/>
                        <w:bottom w:val="none" w:sz="0" w:space="0" w:color="auto"/>
                        <w:right w:val="none" w:sz="0" w:space="0" w:color="auto"/>
                      </w:divBdr>
                    </w:div>
                  </w:divsChild>
                </w:div>
                <w:div w:id="1257707693">
                  <w:marLeft w:val="0"/>
                  <w:marRight w:val="0"/>
                  <w:marTop w:val="0"/>
                  <w:marBottom w:val="0"/>
                  <w:divBdr>
                    <w:top w:val="none" w:sz="0" w:space="0" w:color="auto"/>
                    <w:left w:val="none" w:sz="0" w:space="0" w:color="auto"/>
                    <w:bottom w:val="none" w:sz="0" w:space="0" w:color="auto"/>
                    <w:right w:val="none" w:sz="0" w:space="0" w:color="auto"/>
                  </w:divBdr>
                  <w:divsChild>
                    <w:div w:id="931545388">
                      <w:marLeft w:val="0"/>
                      <w:marRight w:val="0"/>
                      <w:marTop w:val="0"/>
                      <w:marBottom w:val="0"/>
                      <w:divBdr>
                        <w:top w:val="none" w:sz="0" w:space="0" w:color="auto"/>
                        <w:left w:val="none" w:sz="0" w:space="0" w:color="auto"/>
                        <w:bottom w:val="none" w:sz="0" w:space="0" w:color="auto"/>
                        <w:right w:val="none" w:sz="0" w:space="0" w:color="auto"/>
                      </w:divBdr>
                    </w:div>
                  </w:divsChild>
                </w:div>
                <w:div w:id="1326202883">
                  <w:marLeft w:val="0"/>
                  <w:marRight w:val="0"/>
                  <w:marTop w:val="0"/>
                  <w:marBottom w:val="0"/>
                  <w:divBdr>
                    <w:top w:val="none" w:sz="0" w:space="0" w:color="auto"/>
                    <w:left w:val="none" w:sz="0" w:space="0" w:color="auto"/>
                    <w:bottom w:val="none" w:sz="0" w:space="0" w:color="auto"/>
                    <w:right w:val="none" w:sz="0" w:space="0" w:color="auto"/>
                  </w:divBdr>
                  <w:divsChild>
                    <w:div w:id="243226165">
                      <w:marLeft w:val="0"/>
                      <w:marRight w:val="0"/>
                      <w:marTop w:val="0"/>
                      <w:marBottom w:val="0"/>
                      <w:divBdr>
                        <w:top w:val="none" w:sz="0" w:space="0" w:color="auto"/>
                        <w:left w:val="none" w:sz="0" w:space="0" w:color="auto"/>
                        <w:bottom w:val="none" w:sz="0" w:space="0" w:color="auto"/>
                        <w:right w:val="none" w:sz="0" w:space="0" w:color="auto"/>
                      </w:divBdr>
                    </w:div>
                  </w:divsChild>
                </w:div>
                <w:div w:id="1557745153">
                  <w:marLeft w:val="0"/>
                  <w:marRight w:val="0"/>
                  <w:marTop w:val="0"/>
                  <w:marBottom w:val="0"/>
                  <w:divBdr>
                    <w:top w:val="none" w:sz="0" w:space="0" w:color="auto"/>
                    <w:left w:val="none" w:sz="0" w:space="0" w:color="auto"/>
                    <w:bottom w:val="none" w:sz="0" w:space="0" w:color="auto"/>
                    <w:right w:val="none" w:sz="0" w:space="0" w:color="auto"/>
                  </w:divBdr>
                  <w:divsChild>
                    <w:div w:id="1255433068">
                      <w:marLeft w:val="0"/>
                      <w:marRight w:val="0"/>
                      <w:marTop w:val="0"/>
                      <w:marBottom w:val="0"/>
                      <w:divBdr>
                        <w:top w:val="none" w:sz="0" w:space="0" w:color="auto"/>
                        <w:left w:val="none" w:sz="0" w:space="0" w:color="auto"/>
                        <w:bottom w:val="none" w:sz="0" w:space="0" w:color="auto"/>
                        <w:right w:val="none" w:sz="0" w:space="0" w:color="auto"/>
                      </w:divBdr>
                    </w:div>
                  </w:divsChild>
                </w:div>
                <w:div w:id="1561865850">
                  <w:marLeft w:val="0"/>
                  <w:marRight w:val="0"/>
                  <w:marTop w:val="0"/>
                  <w:marBottom w:val="0"/>
                  <w:divBdr>
                    <w:top w:val="none" w:sz="0" w:space="0" w:color="auto"/>
                    <w:left w:val="none" w:sz="0" w:space="0" w:color="auto"/>
                    <w:bottom w:val="none" w:sz="0" w:space="0" w:color="auto"/>
                    <w:right w:val="none" w:sz="0" w:space="0" w:color="auto"/>
                  </w:divBdr>
                  <w:divsChild>
                    <w:div w:id="1431782230">
                      <w:marLeft w:val="0"/>
                      <w:marRight w:val="0"/>
                      <w:marTop w:val="0"/>
                      <w:marBottom w:val="0"/>
                      <w:divBdr>
                        <w:top w:val="none" w:sz="0" w:space="0" w:color="auto"/>
                        <w:left w:val="none" w:sz="0" w:space="0" w:color="auto"/>
                        <w:bottom w:val="none" w:sz="0" w:space="0" w:color="auto"/>
                        <w:right w:val="none" w:sz="0" w:space="0" w:color="auto"/>
                      </w:divBdr>
                    </w:div>
                  </w:divsChild>
                </w:div>
                <w:div w:id="1617131639">
                  <w:marLeft w:val="0"/>
                  <w:marRight w:val="0"/>
                  <w:marTop w:val="0"/>
                  <w:marBottom w:val="0"/>
                  <w:divBdr>
                    <w:top w:val="none" w:sz="0" w:space="0" w:color="auto"/>
                    <w:left w:val="none" w:sz="0" w:space="0" w:color="auto"/>
                    <w:bottom w:val="none" w:sz="0" w:space="0" w:color="auto"/>
                    <w:right w:val="none" w:sz="0" w:space="0" w:color="auto"/>
                  </w:divBdr>
                  <w:divsChild>
                    <w:div w:id="1347438863">
                      <w:marLeft w:val="0"/>
                      <w:marRight w:val="0"/>
                      <w:marTop w:val="0"/>
                      <w:marBottom w:val="0"/>
                      <w:divBdr>
                        <w:top w:val="none" w:sz="0" w:space="0" w:color="auto"/>
                        <w:left w:val="none" w:sz="0" w:space="0" w:color="auto"/>
                        <w:bottom w:val="none" w:sz="0" w:space="0" w:color="auto"/>
                        <w:right w:val="none" w:sz="0" w:space="0" w:color="auto"/>
                      </w:divBdr>
                    </w:div>
                  </w:divsChild>
                </w:div>
                <w:div w:id="1841581666">
                  <w:marLeft w:val="0"/>
                  <w:marRight w:val="0"/>
                  <w:marTop w:val="0"/>
                  <w:marBottom w:val="0"/>
                  <w:divBdr>
                    <w:top w:val="none" w:sz="0" w:space="0" w:color="auto"/>
                    <w:left w:val="none" w:sz="0" w:space="0" w:color="auto"/>
                    <w:bottom w:val="none" w:sz="0" w:space="0" w:color="auto"/>
                    <w:right w:val="none" w:sz="0" w:space="0" w:color="auto"/>
                  </w:divBdr>
                  <w:divsChild>
                    <w:div w:id="85663542">
                      <w:marLeft w:val="0"/>
                      <w:marRight w:val="0"/>
                      <w:marTop w:val="0"/>
                      <w:marBottom w:val="0"/>
                      <w:divBdr>
                        <w:top w:val="none" w:sz="0" w:space="0" w:color="auto"/>
                        <w:left w:val="none" w:sz="0" w:space="0" w:color="auto"/>
                        <w:bottom w:val="none" w:sz="0" w:space="0" w:color="auto"/>
                        <w:right w:val="none" w:sz="0" w:space="0" w:color="auto"/>
                      </w:divBdr>
                    </w:div>
                  </w:divsChild>
                </w:div>
                <w:div w:id="1972781900">
                  <w:marLeft w:val="0"/>
                  <w:marRight w:val="0"/>
                  <w:marTop w:val="0"/>
                  <w:marBottom w:val="0"/>
                  <w:divBdr>
                    <w:top w:val="none" w:sz="0" w:space="0" w:color="auto"/>
                    <w:left w:val="none" w:sz="0" w:space="0" w:color="auto"/>
                    <w:bottom w:val="none" w:sz="0" w:space="0" w:color="auto"/>
                    <w:right w:val="none" w:sz="0" w:space="0" w:color="auto"/>
                  </w:divBdr>
                  <w:divsChild>
                    <w:div w:id="1892616059">
                      <w:marLeft w:val="0"/>
                      <w:marRight w:val="0"/>
                      <w:marTop w:val="0"/>
                      <w:marBottom w:val="0"/>
                      <w:divBdr>
                        <w:top w:val="none" w:sz="0" w:space="0" w:color="auto"/>
                        <w:left w:val="none" w:sz="0" w:space="0" w:color="auto"/>
                        <w:bottom w:val="none" w:sz="0" w:space="0" w:color="auto"/>
                        <w:right w:val="none" w:sz="0" w:space="0" w:color="auto"/>
                      </w:divBdr>
                    </w:div>
                  </w:divsChild>
                </w:div>
                <w:div w:id="2014992840">
                  <w:marLeft w:val="0"/>
                  <w:marRight w:val="0"/>
                  <w:marTop w:val="0"/>
                  <w:marBottom w:val="0"/>
                  <w:divBdr>
                    <w:top w:val="none" w:sz="0" w:space="0" w:color="auto"/>
                    <w:left w:val="none" w:sz="0" w:space="0" w:color="auto"/>
                    <w:bottom w:val="none" w:sz="0" w:space="0" w:color="auto"/>
                    <w:right w:val="none" w:sz="0" w:space="0" w:color="auto"/>
                  </w:divBdr>
                  <w:divsChild>
                    <w:div w:id="254441817">
                      <w:marLeft w:val="0"/>
                      <w:marRight w:val="0"/>
                      <w:marTop w:val="0"/>
                      <w:marBottom w:val="0"/>
                      <w:divBdr>
                        <w:top w:val="none" w:sz="0" w:space="0" w:color="auto"/>
                        <w:left w:val="none" w:sz="0" w:space="0" w:color="auto"/>
                        <w:bottom w:val="none" w:sz="0" w:space="0" w:color="auto"/>
                        <w:right w:val="none" w:sz="0" w:space="0" w:color="auto"/>
                      </w:divBdr>
                    </w:div>
                  </w:divsChild>
                </w:div>
                <w:div w:id="2099716073">
                  <w:marLeft w:val="0"/>
                  <w:marRight w:val="0"/>
                  <w:marTop w:val="0"/>
                  <w:marBottom w:val="0"/>
                  <w:divBdr>
                    <w:top w:val="none" w:sz="0" w:space="0" w:color="auto"/>
                    <w:left w:val="none" w:sz="0" w:space="0" w:color="auto"/>
                    <w:bottom w:val="none" w:sz="0" w:space="0" w:color="auto"/>
                    <w:right w:val="none" w:sz="0" w:space="0" w:color="auto"/>
                  </w:divBdr>
                  <w:divsChild>
                    <w:div w:id="1728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7089">
          <w:marLeft w:val="0"/>
          <w:marRight w:val="0"/>
          <w:marTop w:val="0"/>
          <w:marBottom w:val="0"/>
          <w:divBdr>
            <w:top w:val="none" w:sz="0" w:space="0" w:color="auto"/>
            <w:left w:val="none" w:sz="0" w:space="0" w:color="auto"/>
            <w:bottom w:val="none" w:sz="0" w:space="0" w:color="auto"/>
            <w:right w:val="none" w:sz="0" w:space="0" w:color="auto"/>
          </w:divBdr>
          <w:divsChild>
            <w:div w:id="708338260">
              <w:marLeft w:val="-75"/>
              <w:marRight w:val="0"/>
              <w:marTop w:val="30"/>
              <w:marBottom w:val="30"/>
              <w:divBdr>
                <w:top w:val="none" w:sz="0" w:space="0" w:color="auto"/>
                <w:left w:val="none" w:sz="0" w:space="0" w:color="auto"/>
                <w:bottom w:val="none" w:sz="0" w:space="0" w:color="auto"/>
                <w:right w:val="none" w:sz="0" w:space="0" w:color="auto"/>
              </w:divBdr>
              <w:divsChild>
                <w:div w:id="55667131">
                  <w:marLeft w:val="0"/>
                  <w:marRight w:val="0"/>
                  <w:marTop w:val="0"/>
                  <w:marBottom w:val="0"/>
                  <w:divBdr>
                    <w:top w:val="none" w:sz="0" w:space="0" w:color="auto"/>
                    <w:left w:val="none" w:sz="0" w:space="0" w:color="auto"/>
                    <w:bottom w:val="none" w:sz="0" w:space="0" w:color="auto"/>
                    <w:right w:val="none" w:sz="0" w:space="0" w:color="auto"/>
                  </w:divBdr>
                  <w:divsChild>
                    <w:div w:id="44567593">
                      <w:marLeft w:val="0"/>
                      <w:marRight w:val="0"/>
                      <w:marTop w:val="0"/>
                      <w:marBottom w:val="0"/>
                      <w:divBdr>
                        <w:top w:val="none" w:sz="0" w:space="0" w:color="auto"/>
                        <w:left w:val="none" w:sz="0" w:space="0" w:color="auto"/>
                        <w:bottom w:val="none" w:sz="0" w:space="0" w:color="auto"/>
                        <w:right w:val="none" w:sz="0" w:space="0" w:color="auto"/>
                      </w:divBdr>
                    </w:div>
                  </w:divsChild>
                </w:div>
                <w:div w:id="1436942410">
                  <w:marLeft w:val="0"/>
                  <w:marRight w:val="0"/>
                  <w:marTop w:val="0"/>
                  <w:marBottom w:val="0"/>
                  <w:divBdr>
                    <w:top w:val="none" w:sz="0" w:space="0" w:color="auto"/>
                    <w:left w:val="none" w:sz="0" w:space="0" w:color="auto"/>
                    <w:bottom w:val="none" w:sz="0" w:space="0" w:color="auto"/>
                    <w:right w:val="none" w:sz="0" w:space="0" w:color="auto"/>
                  </w:divBdr>
                  <w:divsChild>
                    <w:div w:id="144006056">
                      <w:marLeft w:val="0"/>
                      <w:marRight w:val="0"/>
                      <w:marTop w:val="0"/>
                      <w:marBottom w:val="0"/>
                      <w:divBdr>
                        <w:top w:val="none" w:sz="0" w:space="0" w:color="auto"/>
                        <w:left w:val="none" w:sz="0" w:space="0" w:color="auto"/>
                        <w:bottom w:val="none" w:sz="0" w:space="0" w:color="auto"/>
                        <w:right w:val="none" w:sz="0" w:space="0" w:color="auto"/>
                      </w:divBdr>
                    </w:div>
                  </w:divsChild>
                </w:div>
                <w:div w:id="1446539858">
                  <w:marLeft w:val="0"/>
                  <w:marRight w:val="0"/>
                  <w:marTop w:val="0"/>
                  <w:marBottom w:val="0"/>
                  <w:divBdr>
                    <w:top w:val="none" w:sz="0" w:space="0" w:color="auto"/>
                    <w:left w:val="none" w:sz="0" w:space="0" w:color="auto"/>
                    <w:bottom w:val="none" w:sz="0" w:space="0" w:color="auto"/>
                    <w:right w:val="none" w:sz="0" w:space="0" w:color="auto"/>
                  </w:divBdr>
                  <w:divsChild>
                    <w:div w:id="1297638920">
                      <w:marLeft w:val="0"/>
                      <w:marRight w:val="0"/>
                      <w:marTop w:val="0"/>
                      <w:marBottom w:val="0"/>
                      <w:divBdr>
                        <w:top w:val="none" w:sz="0" w:space="0" w:color="auto"/>
                        <w:left w:val="none" w:sz="0" w:space="0" w:color="auto"/>
                        <w:bottom w:val="none" w:sz="0" w:space="0" w:color="auto"/>
                        <w:right w:val="none" w:sz="0" w:space="0" w:color="auto"/>
                      </w:divBdr>
                    </w:div>
                  </w:divsChild>
                </w:div>
                <w:div w:id="1554072788">
                  <w:marLeft w:val="0"/>
                  <w:marRight w:val="0"/>
                  <w:marTop w:val="0"/>
                  <w:marBottom w:val="0"/>
                  <w:divBdr>
                    <w:top w:val="none" w:sz="0" w:space="0" w:color="auto"/>
                    <w:left w:val="none" w:sz="0" w:space="0" w:color="auto"/>
                    <w:bottom w:val="none" w:sz="0" w:space="0" w:color="auto"/>
                    <w:right w:val="none" w:sz="0" w:space="0" w:color="auto"/>
                  </w:divBdr>
                  <w:divsChild>
                    <w:div w:id="812138236">
                      <w:marLeft w:val="0"/>
                      <w:marRight w:val="0"/>
                      <w:marTop w:val="0"/>
                      <w:marBottom w:val="0"/>
                      <w:divBdr>
                        <w:top w:val="none" w:sz="0" w:space="0" w:color="auto"/>
                        <w:left w:val="none" w:sz="0" w:space="0" w:color="auto"/>
                        <w:bottom w:val="none" w:sz="0" w:space="0" w:color="auto"/>
                        <w:right w:val="none" w:sz="0" w:space="0" w:color="auto"/>
                      </w:divBdr>
                    </w:div>
                  </w:divsChild>
                </w:div>
                <w:div w:id="1959793893">
                  <w:marLeft w:val="0"/>
                  <w:marRight w:val="0"/>
                  <w:marTop w:val="0"/>
                  <w:marBottom w:val="0"/>
                  <w:divBdr>
                    <w:top w:val="none" w:sz="0" w:space="0" w:color="auto"/>
                    <w:left w:val="none" w:sz="0" w:space="0" w:color="auto"/>
                    <w:bottom w:val="none" w:sz="0" w:space="0" w:color="auto"/>
                    <w:right w:val="none" w:sz="0" w:space="0" w:color="auto"/>
                  </w:divBdr>
                  <w:divsChild>
                    <w:div w:id="1383022242">
                      <w:marLeft w:val="0"/>
                      <w:marRight w:val="0"/>
                      <w:marTop w:val="0"/>
                      <w:marBottom w:val="0"/>
                      <w:divBdr>
                        <w:top w:val="none" w:sz="0" w:space="0" w:color="auto"/>
                        <w:left w:val="none" w:sz="0" w:space="0" w:color="auto"/>
                        <w:bottom w:val="none" w:sz="0" w:space="0" w:color="auto"/>
                        <w:right w:val="none" w:sz="0" w:space="0" w:color="auto"/>
                      </w:divBdr>
                    </w:div>
                  </w:divsChild>
                </w:div>
                <w:div w:id="2140027087">
                  <w:marLeft w:val="0"/>
                  <w:marRight w:val="0"/>
                  <w:marTop w:val="0"/>
                  <w:marBottom w:val="0"/>
                  <w:divBdr>
                    <w:top w:val="none" w:sz="0" w:space="0" w:color="auto"/>
                    <w:left w:val="none" w:sz="0" w:space="0" w:color="auto"/>
                    <w:bottom w:val="none" w:sz="0" w:space="0" w:color="auto"/>
                    <w:right w:val="none" w:sz="0" w:space="0" w:color="auto"/>
                  </w:divBdr>
                  <w:divsChild>
                    <w:div w:id="3946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4559">
          <w:marLeft w:val="0"/>
          <w:marRight w:val="0"/>
          <w:marTop w:val="0"/>
          <w:marBottom w:val="0"/>
          <w:divBdr>
            <w:top w:val="none" w:sz="0" w:space="0" w:color="auto"/>
            <w:left w:val="none" w:sz="0" w:space="0" w:color="auto"/>
            <w:bottom w:val="none" w:sz="0" w:space="0" w:color="auto"/>
            <w:right w:val="none" w:sz="0" w:space="0" w:color="auto"/>
          </w:divBdr>
        </w:div>
        <w:div w:id="214141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rthyorks.gov.uk/" TargetMode="External"/><Relationship Id="rId18" Type="http://schemas.openxmlformats.org/officeDocument/2006/relationships/hyperlink" Target="https://www.northyorkshire-pfcc.gov.uk/womenandgirls/our-strategy/" TargetMode="External"/><Relationship Id="rId26" Type="http://schemas.openxmlformats.org/officeDocument/2006/relationships/hyperlink" Target="https://www.northyorkshire-pfcc.gov.uk/for-you/services/commissioned-services/" TargetMode="External"/><Relationship Id="rId39" Type="http://schemas.openxmlformats.org/officeDocument/2006/relationships/hyperlink" Target="https://www.police.uk/pu/policing-in-the-uk/national-police-language-services-npls/" TargetMode="External"/><Relationship Id="rId21" Type="http://schemas.openxmlformats.org/officeDocument/2006/relationships/hyperlink" Target="https://www.northyorkshire-pfcc.gov.uk/wp-content/uploads/2023/07/North-Yorkshire-Victims-Voice-report-July-2023.pdf" TargetMode="External"/><Relationship Id="rId34" Type="http://schemas.openxmlformats.org/officeDocument/2006/relationships/hyperlink" Target="https://assets.publishing.service.gov.uk/media/669e7501ab418ab055592a7b/Working_together_to_safeguard_children_2023.pdf" TargetMode="External"/><Relationship Id="rId42" Type="http://schemas.openxmlformats.org/officeDocument/2006/relationships/hyperlink" Target="https://www.gov.uk/government/publications/national-procurement-policy-statement"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orthyorkshire-pfcc.gov.uk/for-you/services/commissioned-services/" TargetMode="External"/><Relationship Id="rId29" Type="http://schemas.openxmlformats.org/officeDocument/2006/relationships/hyperlink" Target="https://www.northyorkshire-pfcc.gov.uk/for-you/services/commissioned-services/" TargetMode="External"/><Relationship Id="rId11" Type="http://schemas.openxmlformats.org/officeDocument/2006/relationships/image" Target="media/image1.png"/><Relationship Id="rId24" Type="http://schemas.openxmlformats.org/officeDocument/2006/relationships/hyperlink" Target="https://www.northyorkshire-pfcc.gov.uk/for-you/services/commissioned-services/" TargetMode="External"/><Relationship Id="rId32" Type="http://schemas.openxmlformats.org/officeDocument/2006/relationships/hyperlink" Target="https://www.northyorkshire-pfcc.gov.uk/for-you/services/commissioned-services/" TargetMode="External"/><Relationship Id="rId37" Type="http://schemas.openxmlformats.org/officeDocument/2006/relationships/hyperlink" Target="http://www.saferchildrenyork.org.uk/" TargetMode="External"/><Relationship Id="rId40" Type="http://schemas.openxmlformats.org/officeDocument/2006/relationships/hyperlink" Target="https://www.gov.uk/government/uploads/system/uploads/attachment_data/file/254459/code-of-practice-victims-of-crime.pdf"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orthyorkshire-pfcc.gov.uk/womenandgirls/womens-centres/" TargetMode="External"/><Relationship Id="rId23" Type="http://schemas.openxmlformats.org/officeDocument/2006/relationships/hyperlink" Target="https://www.northyorkshire-pfcc.gov.uk/for-you/services/commissioned-services/" TargetMode="External"/><Relationship Id="rId28" Type="http://schemas.openxmlformats.org/officeDocument/2006/relationships/hyperlink" Target="https://www.northyorkshire-pfcc.gov.uk/for-you/services/commissioned-services/" TargetMode="External"/><Relationship Id="rId36" Type="http://schemas.openxmlformats.org/officeDocument/2006/relationships/hyperlink" Target="https://safeguardingadults.co.uk/"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orthyorkshire-pfcc.gov.uk/for-you/services/commissioned-services/" TargetMode="External"/><Relationship Id="rId31" Type="http://schemas.openxmlformats.org/officeDocument/2006/relationships/hyperlink" Target="https://www.northyorkshire-pfcc.gov.uk/for-you/services/commissioned-services/" TargetMode="External"/><Relationship Id="rId44" Type="http://schemas.openxmlformats.org/officeDocument/2006/relationships/hyperlink" Target="https://www.warwickshire.police.uk/police-forces/warwickshire-police/areas/warwickshire-police/about-us/about-us/police-national-vetting-service/useful-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gov.uk/" TargetMode="External"/><Relationship Id="rId22" Type="http://schemas.openxmlformats.org/officeDocument/2006/relationships/hyperlink" Target="https://assets.publishing.service.gov.uk/media/682d8d995ba51be7c0f45371/independent-sentencing-review-report-part_2.pdf" TargetMode="External"/><Relationship Id="rId27" Type="http://schemas.openxmlformats.org/officeDocument/2006/relationships/hyperlink" Target="https://www.northyorkshire-pfcc.gov.uk/for-you/services/commissioned-services/" TargetMode="External"/><Relationship Id="rId30" Type="http://schemas.openxmlformats.org/officeDocument/2006/relationships/hyperlink" Target="https://www.northyorkshire-pfcc.gov.uk/for-you/services/commissioned-services/" TargetMode="External"/><Relationship Id="rId35" Type="http://schemas.openxmlformats.org/officeDocument/2006/relationships/hyperlink" Target="https://eur02.safelinks.protection.outlook.com/?url=https%3A%2F%2Fwww.safeguardingchildren.co.uk%2F&amp;data=05%7C01%7CSarah.Arnott%40northyorkshire.police.uk%7Cbca7bdd0ee604bc3dd4108db709e016b%7C2c84bc9193af476e9721cdad67cb3ead%7C0%7C0%7C638227596149455192%7CUnknown%7CTWFpbGZsb3d8eyJWIjoiMC4wLjAwMDAiLCJQIjoiV2luMzIiLCJBTiI6Ik1haWwiLCJXVCI6Mn0%3D%7C3000%7C%7C%7C&amp;sdata=CUt8Z8IqtU6j66w9WN91PqroMVEH%2FCcEv6UWDmi8nWw%3D&amp;reserved=0" TargetMode="External"/><Relationship Id="rId43" Type="http://schemas.openxmlformats.org/officeDocument/2006/relationships/hyperlink" Target="https://bluelightcommercial.police.uk/how-we-help/social-value/social-value-action-planning-tool/"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justiceinspectorates.gov.uk/hmicfrs/police-forces/north-yorkshire/more-about-this-area/" TargetMode="External"/><Relationship Id="rId17" Type="http://schemas.openxmlformats.org/officeDocument/2006/relationships/hyperlink" Target="https://www.northyorkshire-pfcc.gov.uk/wp-content/uploads/2025/04/YNY-CA-Police-and-Crime-Plan-AW_converted-Single-Pages.pdf" TargetMode="External"/><Relationship Id="rId25" Type="http://schemas.openxmlformats.org/officeDocument/2006/relationships/hyperlink" Target="https://www.northyorkshire-pfcc.gov.uk/for-you/services/commissioned-services/" TargetMode="External"/><Relationship Id="rId33" Type="http://schemas.openxmlformats.org/officeDocument/2006/relationships/hyperlink" Target="https://www.gov.uk/government/organisations/disclosure-and-barring-service" TargetMode="External"/><Relationship Id="rId38" Type="http://schemas.openxmlformats.org/officeDocument/2006/relationships/hyperlink" Target="http://www.safeguardingadultsyork.org.uk/" TargetMode="External"/><Relationship Id="rId46" Type="http://schemas.openxmlformats.org/officeDocument/2006/relationships/footer" Target="footer1.xml"/><Relationship Id="rId20" Type="http://schemas.openxmlformats.org/officeDocument/2006/relationships/hyperlink" Target="https://www.northyorkshire-pfcc.gov.uk/for-you/services/commissioned-services/" TargetMode="External"/><Relationship Id="rId41" Type="http://schemas.openxmlformats.org/officeDocument/2006/relationships/hyperlink" Target="https://assets.publishing.service.gov.uk/government/uploads/system/uploads/attachment_data/file/721190/police-guidance-on-working-with-vulnerable-women-web.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justiceinnovation.org/sites/default/files/media/document/2023/CJI_WOMENS-DRUG-%26-ALCOHOL-TREATMENT_13-9-23_DIGITAL_0.pdf" TargetMode="External"/><Relationship Id="rId2" Type="http://schemas.openxmlformats.org/officeDocument/2006/relationships/hyperlink" Target="https://assets.publishing.service.gov.uk/media/63d78f63e90e0773e01f8960/female-offender-strategy-delivery-plan-2022-25.pdf" TargetMode="External"/><Relationship Id="rId1" Type="http://schemas.openxmlformats.org/officeDocument/2006/relationships/hyperlink" Target="https://assets.publishing.service.gov.uk/government/uploads/system/uploads/attachment_data/file/719768/infographic-for-the-female-offender-strateg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2.xml><?xml version="1.0" encoding="utf-8"?>
<ds:datastoreItem xmlns:ds="http://schemas.openxmlformats.org/officeDocument/2006/customXml" ds:itemID="{8F8FD39C-0A47-4D62-9D32-B601F50A4BFA}">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61470fc-4009-40b0-ba25-87f45ca9ff36"/>
    <ds:schemaRef ds:uri="http://www.w3.org/XML/1998/namespace"/>
  </ds:schemaRefs>
</ds:datastoreItem>
</file>

<file path=customXml/itemProps3.xml><?xml version="1.0" encoding="utf-8"?>
<ds:datastoreItem xmlns:ds="http://schemas.openxmlformats.org/officeDocument/2006/customXml" ds:itemID="{26D898F3-FF17-459E-BCFA-CB59BF22F613}">
  <ds:schemaRefs>
    <ds:schemaRef ds:uri="http://schemas.microsoft.com/sharepoint/v3/contenttype/forms"/>
  </ds:schemaRefs>
</ds:datastoreItem>
</file>

<file path=customXml/itemProps4.xml><?xml version="1.0" encoding="utf-8"?>
<ds:datastoreItem xmlns:ds="http://schemas.openxmlformats.org/officeDocument/2006/customXml" ds:itemID="{7996AA97-3979-4AF2-9306-7B29CB539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57</Pages>
  <Words>16941</Words>
  <Characters>91226</Characters>
  <Application>Microsoft Office Word</Application>
  <DocSecurity>0</DocSecurity>
  <Lines>1833</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107781</CharactersWithSpaces>
  <SharedDoc>false</SharedDoc>
  <HLinks>
    <vt:vector size="312" baseType="variant">
      <vt:variant>
        <vt:i4>8257659</vt:i4>
      </vt:variant>
      <vt:variant>
        <vt:i4>195</vt:i4>
      </vt:variant>
      <vt:variant>
        <vt:i4>0</vt:i4>
      </vt:variant>
      <vt:variant>
        <vt:i4>5</vt:i4>
      </vt:variant>
      <vt:variant>
        <vt:lpwstr>https://www.warwickshire.police.uk/police-forces/warwickshire-police/areas/warwickshire-police/about-us/about-us/police-national-vetting-service/useful-documents/</vt:lpwstr>
      </vt:variant>
      <vt:variant>
        <vt:lpwstr/>
      </vt:variant>
      <vt:variant>
        <vt:i4>4194309</vt:i4>
      </vt:variant>
      <vt:variant>
        <vt:i4>192</vt:i4>
      </vt:variant>
      <vt:variant>
        <vt:i4>0</vt:i4>
      </vt:variant>
      <vt:variant>
        <vt:i4>5</vt:i4>
      </vt:variant>
      <vt:variant>
        <vt:lpwstr>https://bluelightcommercial.police.uk/how-we-help/social-value/social-value-action-planning-tool/</vt:lpwstr>
      </vt:variant>
      <vt:variant>
        <vt:lpwstr/>
      </vt:variant>
      <vt:variant>
        <vt:i4>5373961</vt:i4>
      </vt:variant>
      <vt:variant>
        <vt:i4>189</vt:i4>
      </vt:variant>
      <vt:variant>
        <vt:i4>0</vt:i4>
      </vt:variant>
      <vt:variant>
        <vt:i4>5</vt:i4>
      </vt:variant>
      <vt:variant>
        <vt:lpwstr>https://www.gov.uk/government/publications/national-procurement-policy-statement</vt:lpwstr>
      </vt:variant>
      <vt:variant>
        <vt:lpwstr/>
      </vt:variant>
      <vt:variant>
        <vt:i4>262259</vt:i4>
      </vt:variant>
      <vt:variant>
        <vt:i4>186</vt:i4>
      </vt:variant>
      <vt:variant>
        <vt:i4>0</vt:i4>
      </vt:variant>
      <vt:variant>
        <vt:i4>5</vt:i4>
      </vt:variant>
      <vt:variant>
        <vt:lpwstr>https://assets.publishing.service.gov.uk/government/uploads/system/uploads/attachment_data/file/721190/police-guidance-on-working-with-vulnerable-women-web.pdf</vt:lpwstr>
      </vt:variant>
      <vt:variant>
        <vt:lpwstr/>
      </vt:variant>
      <vt:variant>
        <vt:i4>101</vt:i4>
      </vt:variant>
      <vt:variant>
        <vt:i4>183</vt:i4>
      </vt:variant>
      <vt:variant>
        <vt:i4>0</vt:i4>
      </vt:variant>
      <vt:variant>
        <vt:i4>5</vt:i4>
      </vt:variant>
      <vt:variant>
        <vt:lpwstr>https://www.gov.uk/government/uploads/system/uploads/attachment_data/file/254459/code-of-practice-victims-of-crime.pdf</vt:lpwstr>
      </vt:variant>
      <vt:variant>
        <vt:lpwstr/>
      </vt:variant>
      <vt:variant>
        <vt:i4>6553633</vt:i4>
      </vt:variant>
      <vt:variant>
        <vt:i4>180</vt:i4>
      </vt:variant>
      <vt:variant>
        <vt:i4>0</vt:i4>
      </vt:variant>
      <vt:variant>
        <vt:i4>5</vt:i4>
      </vt:variant>
      <vt:variant>
        <vt:lpwstr>https://www.police.uk/pu/policing-in-the-uk/national-police-language-services-npls/</vt:lpwstr>
      </vt:variant>
      <vt:variant>
        <vt:lpwstr/>
      </vt:variant>
      <vt:variant>
        <vt:i4>4194399</vt:i4>
      </vt:variant>
      <vt:variant>
        <vt:i4>177</vt:i4>
      </vt:variant>
      <vt:variant>
        <vt:i4>0</vt:i4>
      </vt:variant>
      <vt:variant>
        <vt:i4>5</vt:i4>
      </vt:variant>
      <vt:variant>
        <vt:lpwstr>http://www.safeguardingadultsyork.org.uk/</vt:lpwstr>
      </vt:variant>
      <vt:variant>
        <vt:lpwstr/>
      </vt:variant>
      <vt:variant>
        <vt:i4>131149</vt:i4>
      </vt:variant>
      <vt:variant>
        <vt:i4>174</vt:i4>
      </vt:variant>
      <vt:variant>
        <vt:i4>0</vt:i4>
      </vt:variant>
      <vt:variant>
        <vt:i4>5</vt:i4>
      </vt:variant>
      <vt:variant>
        <vt:lpwstr>http://www.saferchildrenyork.org.uk/</vt:lpwstr>
      </vt:variant>
      <vt:variant>
        <vt:lpwstr/>
      </vt:variant>
      <vt:variant>
        <vt:i4>4259853</vt:i4>
      </vt:variant>
      <vt:variant>
        <vt:i4>171</vt:i4>
      </vt:variant>
      <vt:variant>
        <vt:i4>0</vt:i4>
      </vt:variant>
      <vt:variant>
        <vt:i4>5</vt:i4>
      </vt:variant>
      <vt:variant>
        <vt:lpwstr>https://safeguardingadults.co.uk/</vt:lpwstr>
      </vt:variant>
      <vt:variant>
        <vt:lpwstr/>
      </vt:variant>
      <vt:variant>
        <vt:i4>3211377</vt:i4>
      </vt:variant>
      <vt:variant>
        <vt:i4>168</vt:i4>
      </vt:variant>
      <vt:variant>
        <vt:i4>0</vt:i4>
      </vt:variant>
      <vt:variant>
        <vt:i4>5</vt:i4>
      </vt:variant>
      <vt:variant>
        <vt:lpwstr>https://eur02.safelinks.protection.outlook.com/?url=https%3A%2F%2Fwww.safeguardingchildren.co.uk%2F&amp;data=05%7C01%7CSarah.Arnott%40northyorkshire.police.uk%7Cbca7bdd0ee604bc3dd4108db709e016b%7C2c84bc9193af476e9721cdad67cb3ead%7C0%7C0%7C638227596149455192%7CUnknown%7CTWFpbGZsb3d8eyJWIjoiMC4wLjAwMDAiLCJQIjoiV2luMzIiLCJBTiI6Ik1haWwiLCJXVCI6Mn0%3D%7C3000%7C%7C%7C&amp;sdata=CUt8Z8IqtU6j66w9WN91PqroMVEH%2FCcEv6UWDmi8nWw%3D&amp;reserved=0</vt:lpwstr>
      </vt:variant>
      <vt:variant>
        <vt:lpwstr/>
      </vt:variant>
      <vt:variant>
        <vt:i4>1441850</vt:i4>
      </vt:variant>
      <vt:variant>
        <vt:i4>165</vt:i4>
      </vt:variant>
      <vt:variant>
        <vt:i4>0</vt:i4>
      </vt:variant>
      <vt:variant>
        <vt:i4>5</vt:i4>
      </vt:variant>
      <vt:variant>
        <vt:lpwstr>https://assets.publishing.service.gov.uk/media/669e7501ab418ab055592a7b/Working_together_to_safeguard_children_2023.pdf</vt:lpwstr>
      </vt:variant>
      <vt:variant>
        <vt:lpwstr/>
      </vt:variant>
      <vt:variant>
        <vt:i4>8192055</vt:i4>
      </vt:variant>
      <vt:variant>
        <vt:i4>162</vt:i4>
      </vt:variant>
      <vt:variant>
        <vt:i4>0</vt:i4>
      </vt:variant>
      <vt:variant>
        <vt:i4>5</vt:i4>
      </vt:variant>
      <vt:variant>
        <vt:lpwstr>https://www.gov.uk/government/organisations/disclosure-and-barring-service</vt:lpwstr>
      </vt:variant>
      <vt:variant>
        <vt:lpwstr/>
      </vt:variant>
      <vt:variant>
        <vt:i4>3604548</vt:i4>
      </vt:variant>
      <vt:variant>
        <vt:i4>159</vt:i4>
      </vt:variant>
      <vt:variant>
        <vt:i4>0</vt:i4>
      </vt:variant>
      <vt:variant>
        <vt:i4>5</vt:i4>
      </vt:variant>
      <vt:variant>
        <vt:lpwstr>https://www.northyorkshire-pfcc.gov.uk/for-you/services/commissioned-services/</vt:lpwstr>
      </vt:variant>
      <vt:variant>
        <vt:lpwstr>York_Substance_use_service_Change_Grow_Live_80000</vt:lpwstr>
      </vt:variant>
      <vt:variant>
        <vt:i4>7733312</vt:i4>
      </vt:variant>
      <vt:variant>
        <vt:i4>156</vt:i4>
      </vt:variant>
      <vt:variant>
        <vt:i4>0</vt:i4>
      </vt:variant>
      <vt:variant>
        <vt:i4>5</vt:i4>
      </vt:variant>
      <vt:variant>
        <vt:lpwstr>https://www.northyorkshire-pfcc.gov.uk/for-you/services/commissioned-services/</vt:lpwstr>
      </vt:variant>
      <vt:variant>
        <vt:lpwstr>North_Yorkshire_Substance_Use_service_North_Yorkshire_Horizons_adult_service_159000_Waythrough_young_persons_service_6000</vt:lpwstr>
      </vt:variant>
      <vt:variant>
        <vt:i4>5898290</vt:i4>
      </vt:variant>
      <vt:variant>
        <vt:i4>153</vt:i4>
      </vt:variant>
      <vt:variant>
        <vt:i4>0</vt:i4>
      </vt:variant>
      <vt:variant>
        <vt:i4>5</vt:i4>
      </vt:variant>
      <vt:variant>
        <vt:lpwstr>https://www.northyorkshire-pfcc.gov.uk/for-you/services/commissioned-services/</vt:lpwstr>
      </vt:variant>
      <vt:variant>
        <vt:lpwstr>Independent_Victim_Adviser_IVA_service_Victim_Support_230000</vt:lpwstr>
      </vt:variant>
      <vt:variant>
        <vt:i4>5505060</vt:i4>
      </vt:variant>
      <vt:variant>
        <vt:i4>150</vt:i4>
      </vt:variant>
      <vt:variant>
        <vt:i4>0</vt:i4>
      </vt:variant>
      <vt:variant>
        <vt:i4>5</vt:i4>
      </vt:variant>
      <vt:variant>
        <vt:lpwstr>https://www.northyorkshire-pfcc.gov.uk/for-you/services/commissioned-services/</vt:lpwstr>
      </vt:variant>
      <vt:variant>
        <vt:lpwstr>Restorative_Justice_service_Restorative_Solutions_187650</vt:lpwstr>
      </vt:variant>
      <vt:variant>
        <vt:i4>1441835</vt:i4>
      </vt:variant>
      <vt:variant>
        <vt:i4>147</vt:i4>
      </vt:variant>
      <vt:variant>
        <vt:i4>0</vt:i4>
      </vt:variant>
      <vt:variant>
        <vt:i4>5</vt:i4>
      </vt:variant>
      <vt:variant>
        <vt:lpwstr>https://www.northyorkshire-pfcc.gov.uk/for-you/services/commissioned-services/</vt:lpwstr>
      </vt:variant>
      <vt:variant>
        <vt:lpwstr>Exploitation_Missing_Support_Service_North_Yorkshire_SOS_200000</vt:lpwstr>
      </vt:variant>
      <vt:variant>
        <vt:i4>7864359</vt:i4>
      </vt:variant>
      <vt:variant>
        <vt:i4>144</vt:i4>
      </vt:variant>
      <vt:variant>
        <vt:i4>0</vt:i4>
      </vt:variant>
      <vt:variant>
        <vt:i4>5</vt:i4>
      </vt:variant>
      <vt:variant>
        <vt:lpwstr>https://www.northyorkshire-pfcc.gov.uk/for-you/services/commissioned-services/</vt:lpwstr>
      </vt:variant>
      <vt:variant>
        <vt:lpwstr>Counselling_service_Survive_and_Community_Counselling_243500</vt:lpwstr>
      </vt:variant>
      <vt:variant>
        <vt:i4>7864415</vt:i4>
      </vt:variant>
      <vt:variant>
        <vt:i4>141</vt:i4>
      </vt:variant>
      <vt:variant>
        <vt:i4>0</vt:i4>
      </vt:variant>
      <vt:variant>
        <vt:i4>5</vt:i4>
      </vt:variant>
      <vt:variant>
        <vt:lpwstr>https://www.northyorkshire-pfcc.gov.uk/for-you/services/commissioned-services/</vt:lpwstr>
      </vt:variant>
      <vt:variant>
        <vt:lpwstr>Adult_Sexual_Assault_Referral_Centre_SARC_Mountain_Healthcare_8211_167000</vt:lpwstr>
      </vt:variant>
      <vt:variant>
        <vt:i4>2621463</vt:i4>
      </vt:variant>
      <vt:variant>
        <vt:i4>138</vt:i4>
      </vt:variant>
      <vt:variant>
        <vt:i4>0</vt:i4>
      </vt:variant>
      <vt:variant>
        <vt:i4>5</vt:i4>
      </vt:variant>
      <vt:variant>
        <vt:lpwstr>https://www.northyorkshire-pfcc.gov.uk/for-you/services/commissioned-services/</vt:lpwstr>
      </vt:variant>
      <vt:variant>
        <vt:lpwstr>Independent_Sexual_Violence_Adviser_ISVA_Service_IDAS_247712_and_the_Halo_Project_8211_33000</vt:lpwstr>
      </vt:variant>
      <vt:variant>
        <vt:i4>7340069</vt:i4>
      </vt:variant>
      <vt:variant>
        <vt:i4>135</vt:i4>
      </vt:variant>
      <vt:variant>
        <vt:i4>0</vt:i4>
      </vt:variant>
      <vt:variant>
        <vt:i4>5</vt:i4>
      </vt:variant>
      <vt:variant>
        <vt:lpwstr>https://www.northyorkshire-pfcc.gov.uk/for-you/services/commissioned-services/</vt:lpwstr>
      </vt:variant>
      <vt:variant>
        <vt:lpwstr>Community-based_Support_for_Victims_and_Survivors_of_Domestic_Abuse_IDAS_1418861</vt:lpwstr>
      </vt:variant>
      <vt:variant>
        <vt:i4>3801208</vt:i4>
      </vt:variant>
      <vt:variant>
        <vt:i4>132</vt:i4>
      </vt:variant>
      <vt:variant>
        <vt:i4>0</vt:i4>
      </vt:variant>
      <vt:variant>
        <vt:i4>5</vt:i4>
      </vt:variant>
      <vt:variant>
        <vt:lpwstr>https://www.northyorkshire-pfcc.gov.uk/for-you/services/commissioned-services/</vt:lpwstr>
      </vt:variant>
      <vt:variant>
        <vt:lpwstr/>
      </vt:variant>
      <vt:variant>
        <vt:i4>720935</vt:i4>
      </vt:variant>
      <vt:variant>
        <vt:i4>129</vt:i4>
      </vt:variant>
      <vt:variant>
        <vt:i4>0</vt:i4>
      </vt:variant>
      <vt:variant>
        <vt:i4>5</vt:i4>
      </vt:variant>
      <vt:variant>
        <vt:lpwstr>https://assets.publishing.service.gov.uk/media/682d8d995ba51be7c0f45371/independent-sentencing-review-report-part_2.pdf</vt:lpwstr>
      </vt:variant>
      <vt:variant>
        <vt:lpwstr/>
      </vt:variant>
      <vt:variant>
        <vt:i4>4259928</vt:i4>
      </vt:variant>
      <vt:variant>
        <vt:i4>126</vt:i4>
      </vt:variant>
      <vt:variant>
        <vt:i4>0</vt:i4>
      </vt:variant>
      <vt:variant>
        <vt:i4>5</vt:i4>
      </vt:variant>
      <vt:variant>
        <vt:lpwstr>https://www.northyorkshire-pfcc.gov.uk/wp-content/uploads/2023/07/North-Yorkshire-Victims-Voice-report-July-2023.pdf</vt:lpwstr>
      </vt:variant>
      <vt:variant>
        <vt:lpwstr/>
      </vt:variant>
      <vt:variant>
        <vt:i4>2621463</vt:i4>
      </vt:variant>
      <vt:variant>
        <vt:i4>123</vt:i4>
      </vt:variant>
      <vt:variant>
        <vt:i4>0</vt:i4>
      </vt:variant>
      <vt:variant>
        <vt:i4>5</vt:i4>
      </vt:variant>
      <vt:variant>
        <vt:lpwstr>https://www.northyorkshire-pfcc.gov.uk/for-you/services/commissioned-services/</vt:lpwstr>
      </vt:variant>
      <vt:variant>
        <vt:lpwstr>Independent_Sexual_Violence_Adviser_ISVA_Service_IDAS_247712_and_the_Halo_Project_8211_33000</vt:lpwstr>
      </vt:variant>
      <vt:variant>
        <vt:i4>7340069</vt:i4>
      </vt:variant>
      <vt:variant>
        <vt:i4>120</vt:i4>
      </vt:variant>
      <vt:variant>
        <vt:i4>0</vt:i4>
      </vt:variant>
      <vt:variant>
        <vt:i4>5</vt:i4>
      </vt:variant>
      <vt:variant>
        <vt:lpwstr>https://www.northyorkshire-pfcc.gov.uk/for-you/services/commissioned-services/</vt:lpwstr>
      </vt:variant>
      <vt:variant>
        <vt:lpwstr>Community-based_Support_for_Victims_and_Survivors_of_Domestic_Abuse_IDAS_1418861</vt:lpwstr>
      </vt:variant>
      <vt:variant>
        <vt:i4>7077949</vt:i4>
      </vt:variant>
      <vt:variant>
        <vt:i4>117</vt:i4>
      </vt:variant>
      <vt:variant>
        <vt:i4>0</vt:i4>
      </vt:variant>
      <vt:variant>
        <vt:i4>5</vt:i4>
      </vt:variant>
      <vt:variant>
        <vt:lpwstr>https://www.northyorkshire-pfcc.gov.uk/womenandgirls/our-strategy/</vt:lpwstr>
      </vt:variant>
      <vt:variant>
        <vt:lpwstr/>
      </vt:variant>
      <vt:variant>
        <vt:i4>7929939</vt:i4>
      </vt:variant>
      <vt:variant>
        <vt:i4>114</vt:i4>
      </vt:variant>
      <vt:variant>
        <vt:i4>0</vt:i4>
      </vt:variant>
      <vt:variant>
        <vt:i4>5</vt:i4>
      </vt:variant>
      <vt:variant>
        <vt:lpwstr>https://www.northyorkshire-pfcc.gov.uk/wp-content/uploads/2025/04/YNY-CA-Police-and-Crime-Plan-AW_converted-Single-Pages.pdf</vt:lpwstr>
      </vt:variant>
      <vt:variant>
        <vt:lpwstr/>
      </vt:variant>
      <vt:variant>
        <vt:i4>6815836</vt:i4>
      </vt:variant>
      <vt:variant>
        <vt:i4>111</vt:i4>
      </vt:variant>
      <vt:variant>
        <vt:i4>0</vt:i4>
      </vt:variant>
      <vt:variant>
        <vt:i4>5</vt:i4>
      </vt:variant>
      <vt:variant>
        <vt:lpwstr>https://www.northyorkshire-pfcc.gov.uk/for-you/services/commissioned-services/</vt:lpwstr>
      </vt:variant>
      <vt:variant>
        <vt:lpwstr>Crossroads_Adult_Diversion_scheme_Waythrough-_285000</vt:lpwstr>
      </vt:variant>
      <vt:variant>
        <vt:i4>5111833</vt:i4>
      </vt:variant>
      <vt:variant>
        <vt:i4>108</vt:i4>
      </vt:variant>
      <vt:variant>
        <vt:i4>0</vt:i4>
      </vt:variant>
      <vt:variant>
        <vt:i4>5</vt:i4>
      </vt:variant>
      <vt:variant>
        <vt:lpwstr>https://www.northyorkshire-pfcc.gov.uk/womenandgirls/womens-centres/</vt:lpwstr>
      </vt:variant>
      <vt:variant>
        <vt:lpwstr/>
      </vt:variant>
      <vt:variant>
        <vt:i4>458831</vt:i4>
      </vt:variant>
      <vt:variant>
        <vt:i4>105</vt:i4>
      </vt:variant>
      <vt:variant>
        <vt:i4>0</vt:i4>
      </vt:variant>
      <vt:variant>
        <vt:i4>5</vt:i4>
      </vt:variant>
      <vt:variant>
        <vt:lpwstr>https://www.york.gov.uk/</vt:lpwstr>
      </vt:variant>
      <vt:variant>
        <vt:lpwstr/>
      </vt:variant>
      <vt:variant>
        <vt:i4>6291508</vt:i4>
      </vt:variant>
      <vt:variant>
        <vt:i4>102</vt:i4>
      </vt:variant>
      <vt:variant>
        <vt:i4>0</vt:i4>
      </vt:variant>
      <vt:variant>
        <vt:i4>5</vt:i4>
      </vt:variant>
      <vt:variant>
        <vt:lpwstr>https://www.northyorks.gov.uk/</vt:lpwstr>
      </vt:variant>
      <vt:variant>
        <vt:lpwstr/>
      </vt:variant>
      <vt:variant>
        <vt:i4>2424937</vt:i4>
      </vt:variant>
      <vt:variant>
        <vt:i4>99</vt:i4>
      </vt:variant>
      <vt:variant>
        <vt:i4>0</vt:i4>
      </vt:variant>
      <vt:variant>
        <vt:i4>5</vt:i4>
      </vt:variant>
      <vt:variant>
        <vt:lpwstr>https://www.justiceinspectorates.gov.uk/hmicfrs/police-forces/north-yorkshire/more-about-this-area/</vt:lpwstr>
      </vt:variant>
      <vt:variant>
        <vt:lpwstr/>
      </vt:variant>
      <vt:variant>
        <vt:i4>1900600</vt:i4>
      </vt:variant>
      <vt:variant>
        <vt:i4>92</vt:i4>
      </vt:variant>
      <vt:variant>
        <vt:i4>0</vt:i4>
      </vt:variant>
      <vt:variant>
        <vt:i4>5</vt:i4>
      </vt:variant>
      <vt:variant>
        <vt:lpwstr/>
      </vt:variant>
      <vt:variant>
        <vt:lpwstr>_Toc213418878</vt:lpwstr>
      </vt:variant>
      <vt:variant>
        <vt:i4>1900600</vt:i4>
      </vt:variant>
      <vt:variant>
        <vt:i4>86</vt:i4>
      </vt:variant>
      <vt:variant>
        <vt:i4>0</vt:i4>
      </vt:variant>
      <vt:variant>
        <vt:i4>5</vt:i4>
      </vt:variant>
      <vt:variant>
        <vt:lpwstr/>
      </vt:variant>
      <vt:variant>
        <vt:lpwstr>_Toc213418877</vt:lpwstr>
      </vt:variant>
      <vt:variant>
        <vt:i4>1900600</vt:i4>
      </vt:variant>
      <vt:variant>
        <vt:i4>80</vt:i4>
      </vt:variant>
      <vt:variant>
        <vt:i4>0</vt:i4>
      </vt:variant>
      <vt:variant>
        <vt:i4>5</vt:i4>
      </vt:variant>
      <vt:variant>
        <vt:lpwstr/>
      </vt:variant>
      <vt:variant>
        <vt:lpwstr>_Toc213418876</vt:lpwstr>
      </vt:variant>
      <vt:variant>
        <vt:i4>1900600</vt:i4>
      </vt:variant>
      <vt:variant>
        <vt:i4>74</vt:i4>
      </vt:variant>
      <vt:variant>
        <vt:i4>0</vt:i4>
      </vt:variant>
      <vt:variant>
        <vt:i4>5</vt:i4>
      </vt:variant>
      <vt:variant>
        <vt:lpwstr/>
      </vt:variant>
      <vt:variant>
        <vt:lpwstr>_Toc213418875</vt:lpwstr>
      </vt:variant>
      <vt:variant>
        <vt:i4>1900600</vt:i4>
      </vt:variant>
      <vt:variant>
        <vt:i4>68</vt:i4>
      </vt:variant>
      <vt:variant>
        <vt:i4>0</vt:i4>
      </vt:variant>
      <vt:variant>
        <vt:i4>5</vt:i4>
      </vt:variant>
      <vt:variant>
        <vt:lpwstr/>
      </vt:variant>
      <vt:variant>
        <vt:lpwstr>_Toc213418874</vt:lpwstr>
      </vt:variant>
      <vt:variant>
        <vt:i4>1900600</vt:i4>
      </vt:variant>
      <vt:variant>
        <vt:i4>62</vt:i4>
      </vt:variant>
      <vt:variant>
        <vt:i4>0</vt:i4>
      </vt:variant>
      <vt:variant>
        <vt:i4>5</vt:i4>
      </vt:variant>
      <vt:variant>
        <vt:lpwstr/>
      </vt:variant>
      <vt:variant>
        <vt:lpwstr>_Toc213418873</vt:lpwstr>
      </vt:variant>
      <vt:variant>
        <vt:i4>1900600</vt:i4>
      </vt:variant>
      <vt:variant>
        <vt:i4>56</vt:i4>
      </vt:variant>
      <vt:variant>
        <vt:i4>0</vt:i4>
      </vt:variant>
      <vt:variant>
        <vt:i4>5</vt:i4>
      </vt:variant>
      <vt:variant>
        <vt:lpwstr/>
      </vt:variant>
      <vt:variant>
        <vt:lpwstr>_Toc213418872</vt:lpwstr>
      </vt:variant>
      <vt:variant>
        <vt:i4>1900600</vt:i4>
      </vt:variant>
      <vt:variant>
        <vt:i4>50</vt:i4>
      </vt:variant>
      <vt:variant>
        <vt:i4>0</vt:i4>
      </vt:variant>
      <vt:variant>
        <vt:i4>5</vt:i4>
      </vt:variant>
      <vt:variant>
        <vt:lpwstr/>
      </vt:variant>
      <vt:variant>
        <vt:lpwstr>_Toc213418871</vt:lpwstr>
      </vt:variant>
      <vt:variant>
        <vt:i4>1900600</vt:i4>
      </vt:variant>
      <vt:variant>
        <vt:i4>44</vt:i4>
      </vt:variant>
      <vt:variant>
        <vt:i4>0</vt:i4>
      </vt:variant>
      <vt:variant>
        <vt:i4>5</vt:i4>
      </vt:variant>
      <vt:variant>
        <vt:lpwstr/>
      </vt:variant>
      <vt:variant>
        <vt:lpwstr>_Toc213418870</vt:lpwstr>
      </vt:variant>
      <vt:variant>
        <vt:i4>1835064</vt:i4>
      </vt:variant>
      <vt:variant>
        <vt:i4>38</vt:i4>
      </vt:variant>
      <vt:variant>
        <vt:i4>0</vt:i4>
      </vt:variant>
      <vt:variant>
        <vt:i4>5</vt:i4>
      </vt:variant>
      <vt:variant>
        <vt:lpwstr/>
      </vt:variant>
      <vt:variant>
        <vt:lpwstr>_Toc213418869</vt:lpwstr>
      </vt:variant>
      <vt:variant>
        <vt:i4>1835064</vt:i4>
      </vt:variant>
      <vt:variant>
        <vt:i4>32</vt:i4>
      </vt:variant>
      <vt:variant>
        <vt:i4>0</vt:i4>
      </vt:variant>
      <vt:variant>
        <vt:i4>5</vt:i4>
      </vt:variant>
      <vt:variant>
        <vt:lpwstr/>
      </vt:variant>
      <vt:variant>
        <vt:lpwstr>_Toc213418868</vt:lpwstr>
      </vt:variant>
      <vt:variant>
        <vt:i4>1835064</vt:i4>
      </vt:variant>
      <vt:variant>
        <vt:i4>26</vt:i4>
      </vt:variant>
      <vt:variant>
        <vt:i4>0</vt:i4>
      </vt:variant>
      <vt:variant>
        <vt:i4>5</vt:i4>
      </vt:variant>
      <vt:variant>
        <vt:lpwstr/>
      </vt:variant>
      <vt:variant>
        <vt:lpwstr>_Toc213418867</vt:lpwstr>
      </vt:variant>
      <vt:variant>
        <vt:i4>1835064</vt:i4>
      </vt:variant>
      <vt:variant>
        <vt:i4>20</vt:i4>
      </vt:variant>
      <vt:variant>
        <vt:i4>0</vt:i4>
      </vt:variant>
      <vt:variant>
        <vt:i4>5</vt:i4>
      </vt:variant>
      <vt:variant>
        <vt:lpwstr/>
      </vt:variant>
      <vt:variant>
        <vt:lpwstr>_Toc213418866</vt:lpwstr>
      </vt:variant>
      <vt:variant>
        <vt:i4>1835064</vt:i4>
      </vt:variant>
      <vt:variant>
        <vt:i4>14</vt:i4>
      </vt:variant>
      <vt:variant>
        <vt:i4>0</vt:i4>
      </vt:variant>
      <vt:variant>
        <vt:i4>5</vt:i4>
      </vt:variant>
      <vt:variant>
        <vt:lpwstr/>
      </vt:variant>
      <vt:variant>
        <vt:lpwstr>_Toc213418865</vt:lpwstr>
      </vt:variant>
      <vt:variant>
        <vt:i4>1835064</vt:i4>
      </vt:variant>
      <vt:variant>
        <vt:i4>8</vt:i4>
      </vt:variant>
      <vt:variant>
        <vt:i4>0</vt:i4>
      </vt:variant>
      <vt:variant>
        <vt:i4>5</vt:i4>
      </vt:variant>
      <vt:variant>
        <vt:lpwstr/>
      </vt:variant>
      <vt:variant>
        <vt:lpwstr>_Toc213418864</vt:lpwstr>
      </vt:variant>
      <vt:variant>
        <vt:i4>1835064</vt:i4>
      </vt:variant>
      <vt:variant>
        <vt:i4>2</vt:i4>
      </vt:variant>
      <vt:variant>
        <vt:i4>0</vt:i4>
      </vt:variant>
      <vt:variant>
        <vt:i4>5</vt:i4>
      </vt:variant>
      <vt:variant>
        <vt:lpwstr/>
      </vt:variant>
      <vt:variant>
        <vt:lpwstr>_Toc213418863</vt:lpwstr>
      </vt:variant>
      <vt:variant>
        <vt:i4>5767178</vt:i4>
      </vt:variant>
      <vt:variant>
        <vt:i4>6</vt:i4>
      </vt:variant>
      <vt:variant>
        <vt:i4>0</vt:i4>
      </vt:variant>
      <vt:variant>
        <vt:i4>5</vt:i4>
      </vt:variant>
      <vt:variant>
        <vt:lpwstr>https://justiceinnovation.org/sites/default/files/media/document/2023/CJI_WOMENS-DRUG-%26-ALCOHOL-TREATMENT_13-9-23_DIGITAL_0.pdf</vt:lpwstr>
      </vt:variant>
      <vt:variant>
        <vt:lpwstr/>
      </vt:variant>
      <vt:variant>
        <vt:i4>2752617</vt:i4>
      </vt:variant>
      <vt:variant>
        <vt:i4>3</vt:i4>
      </vt:variant>
      <vt:variant>
        <vt:i4>0</vt:i4>
      </vt:variant>
      <vt:variant>
        <vt:i4>5</vt:i4>
      </vt:variant>
      <vt:variant>
        <vt:lpwstr>https://assets.publishing.service.gov.uk/media/63d78f63e90e0773e01f8960/female-offender-strategy-delivery-plan-2022-25.pdf</vt:lpwstr>
      </vt:variant>
      <vt:variant>
        <vt:lpwstr/>
      </vt:variant>
      <vt:variant>
        <vt:i4>1179765</vt:i4>
      </vt:variant>
      <vt:variant>
        <vt:i4>0</vt:i4>
      </vt:variant>
      <vt:variant>
        <vt:i4>0</vt:i4>
      </vt:variant>
      <vt:variant>
        <vt:i4>5</vt:i4>
      </vt:variant>
      <vt:variant>
        <vt:lpwstr>https://assets.publishing.service.gov.uk/government/uploads/system/uploads/attachment_data/file/719768/infographic-for-the-female-offender-strategy.pdf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36</cp:revision>
  <dcterms:created xsi:type="dcterms:W3CDTF">2025-11-26T16:29:00Z</dcterms:created>
  <dcterms:modified xsi:type="dcterms:W3CDTF">2025-12-02T14:22:00Z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0x010100A0532078FA973C458E694C44DC0215D3</vt:lpwstr>
  </property>
  <property fmtid="{D5CDD505-2E9C-101B-9397-08002B2CF9AE}" pid="10" name="Order">
    <vt:r8>33000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MSIP_Label_3c3f51d1-bd89-4ee9-a78a-494f589fb33f_Enabled">
    <vt:lpwstr>true</vt:lpwstr>
  </property>
  <property fmtid="{D5CDD505-2E9C-101B-9397-08002B2CF9AE}" pid="19" name="MSIP_Label_3c3f51d1-bd89-4ee9-a78a-494f589fb33f_SetDate">
    <vt:lpwstr>2025-05-12T14:49:42Z</vt:lpwstr>
  </property>
  <property fmtid="{D5CDD505-2E9C-101B-9397-08002B2CF9AE}" pid="20" name="MSIP_Label_3c3f51d1-bd89-4ee9-a78a-494f589fb33f_Method">
    <vt:lpwstr>Standard</vt:lpwstr>
  </property>
  <property fmtid="{D5CDD505-2E9C-101B-9397-08002B2CF9AE}" pid="21" name="MSIP_Label_3c3f51d1-bd89-4ee9-a78a-494f589fb33f_Name">
    <vt:lpwstr>OFFICIAL</vt:lpwstr>
  </property>
  <property fmtid="{D5CDD505-2E9C-101B-9397-08002B2CF9AE}" pid="22" name="MSIP_Label_3c3f51d1-bd89-4ee9-a78a-494f589fb33f_SiteId">
    <vt:lpwstr>2c84bc91-93af-476e-9721-cdad67cb3ead</vt:lpwstr>
  </property>
  <property fmtid="{D5CDD505-2E9C-101B-9397-08002B2CF9AE}" pid="23" name="MSIP_Label_3c3f51d1-bd89-4ee9-a78a-494f589fb33f_ActionId">
    <vt:lpwstr>42258801-c6bc-4680-83f4-6d25b96b51fd</vt:lpwstr>
  </property>
  <property fmtid="{D5CDD505-2E9C-101B-9397-08002B2CF9AE}" pid="24" name="MSIP_Label_3c3f51d1-bd89-4ee9-a78a-494f589fb33f_ContentBits">
    <vt:lpwstr>0</vt:lpwstr>
  </property>
  <property fmtid="{D5CDD505-2E9C-101B-9397-08002B2CF9AE}" pid="25" name="docLang">
    <vt:lpwstr>en</vt:lpwstr>
  </property>
</Properties>
</file>