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6ACEF" w14:textId="77777777" w:rsidR="00901BCA" w:rsidRDefault="00901BCA" w:rsidP="00901BCA">
      <w:pPr>
        <w:tabs>
          <w:tab w:val="left" w:pos="720"/>
        </w:tabs>
        <w:suppressAutoHyphens/>
        <w:spacing w:line="360" w:lineRule="exact"/>
        <w:jc w:val="center"/>
        <w:rPr>
          <w:rFonts w:ascii="Arial" w:hAnsi="Arial" w:cs="Arial"/>
          <w:bCs/>
        </w:rPr>
      </w:pPr>
      <w:r>
        <w:rPr>
          <w:rFonts w:ascii="Arial" w:hAnsi="Arial" w:cs="Arial"/>
          <w:bCs/>
        </w:rPr>
        <w:t>EVALUATION CRITERIA</w:t>
      </w:r>
    </w:p>
    <w:p w14:paraId="4F853FB0" w14:textId="77777777" w:rsidR="00901BCA" w:rsidRDefault="00901BCA" w:rsidP="00901BCA">
      <w:pPr>
        <w:pStyle w:val="Heading2"/>
        <w:tabs>
          <w:tab w:val="right" w:pos="9026"/>
        </w:tabs>
        <w:rPr>
          <w:rFonts w:ascii="Arial" w:hAnsi="Arial" w:cs="Arial"/>
        </w:rPr>
      </w:pPr>
      <w:r>
        <w:rPr>
          <w:rFonts w:ascii="Arial" w:hAnsi="Arial" w:cs="Arial"/>
        </w:rPr>
        <w:t>Evaluation</w:t>
      </w:r>
      <w:r>
        <w:rPr>
          <w:rFonts w:ascii="Arial" w:hAnsi="Arial" w:cs="Arial"/>
        </w:rPr>
        <w:tab/>
      </w:r>
    </w:p>
    <w:p w14:paraId="45E92E4F" w14:textId="77777777" w:rsidR="00901BCA" w:rsidRDefault="00901BCA" w:rsidP="00901BCA">
      <w:pPr>
        <w:pStyle w:val="BodyText"/>
        <w:rPr>
          <w:rFonts w:ascii="Arial" w:hAnsi="Arial" w:cs="Arial"/>
        </w:rPr>
      </w:pPr>
      <w:r>
        <w:rPr>
          <w:rFonts w:ascii="Arial" w:hAnsi="Arial" w:cs="Arial"/>
        </w:rPr>
        <w:t xml:space="preserve">22. The tender evaluation will be based on ‘MEAT’ (Most Economically </w:t>
      </w:r>
    </w:p>
    <w:p w14:paraId="1DA271B4" w14:textId="77777777" w:rsidR="00901BCA" w:rsidRDefault="00901BCA" w:rsidP="00901BCA">
      <w:pPr>
        <w:pStyle w:val="BodyText"/>
        <w:ind w:left="360"/>
        <w:rPr>
          <w:rFonts w:ascii="Arial" w:hAnsi="Arial" w:cs="Arial"/>
        </w:rPr>
      </w:pPr>
      <w:r>
        <w:rPr>
          <w:rFonts w:ascii="Arial" w:hAnsi="Arial" w:cs="Arial"/>
        </w:rPr>
        <w:t> Advantageous Tender). The standard 70/30 price/quality ratio will be applied.</w:t>
      </w:r>
    </w:p>
    <w:p w14:paraId="7BF0DA88" w14:textId="77777777" w:rsidR="00901BCA" w:rsidRDefault="00901BCA" w:rsidP="00901BCA">
      <w:pPr>
        <w:pStyle w:val="BodyText"/>
        <w:ind w:left="360"/>
        <w:rPr>
          <w:rFonts w:ascii="Arial" w:hAnsi="Arial" w:cs="Arial"/>
        </w:rPr>
      </w:pPr>
    </w:p>
    <w:p w14:paraId="61FC92EF" w14:textId="77777777" w:rsidR="00901BCA" w:rsidRDefault="00901BCA" w:rsidP="00901BCA">
      <w:pPr>
        <w:pStyle w:val="BodyText"/>
        <w:ind w:left="360"/>
        <w:rPr>
          <w:rFonts w:ascii="Arial" w:hAnsi="Arial" w:cs="Arial"/>
        </w:rPr>
      </w:pPr>
      <w:r>
        <w:rPr>
          <w:rFonts w:ascii="Arial" w:hAnsi="Arial" w:cs="Arial"/>
        </w:rPr>
        <w:t>The quality aspect of the evaluation will be assessed on three key method statements. The areas to be assessed will be as follows:</w:t>
      </w:r>
    </w:p>
    <w:p w14:paraId="319DBAA9" w14:textId="77777777" w:rsidR="00901BCA" w:rsidRDefault="00901BCA" w:rsidP="00901BCA">
      <w:pPr>
        <w:pStyle w:val="BodyText"/>
        <w:rPr>
          <w:rFonts w:ascii="Arial" w:hAnsi="Arial" w:cs="Arial"/>
        </w:rPr>
      </w:pPr>
    </w:p>
    <w:p w14:paraId="0B0EA516" w14:textId="2D07AB4B" w:rsidR="00901BCA" w:rsidRDefault="00901BCA" w:rsidP="00901BCA">
      <w:pPr>
        <w:pStyle w:val="BodyText"/>
        <w:widowControl/>
        <w:numPr>
          <w:ilvl w:val="1"/>
          <w:numId w:val="1"/>
        </w:numPr>
        <w:tabs>
          <w:tab w:val="clear" w:pos="0"/>
        </w:tabs>
        <w:suppressAutoHyphens w:val="0"/>
        <w:spacing w:line="240" w:lineRule="auto"/>
        <w:rPr>
          <w:rFonts w:ascii="Arial" w:hAnsi="Arial" w:cs="Arial"/>
        </w:rPr>
      </w:pPr>
      <w:r>
        <w:rPr>
          <w:rFonts w:ascii="Arial" w:hAnsi="Arial" w:cs="Arial"/>
        </w:rPr>
        <w:t xml:space="preserve">Understanding the design in meeting FA standards and </w:t>
      </w:r>
      <w:proofErr w:type="spellStart"/>
      <w:r w:rsidR="002A0993">
        <w:rPr>
          <w:rFonts w:ascii="Arial" w:hAnsi="Arial" w:cs="Arial"/>
        </w:rPr>
        <w:t>programme</w:t>
      </w:r>
      <w:proofErr w:type="spellEnd"/>
      <w:r>
        <w:rPr>
          <w:rFonts w:ascii="Arial" w:hAnsi="Arial" w:cs="Arial"/>
        </w:rPr>
        <w:t>.</w:t>
      </w:r>
    </w:p>
    <w:p w14:paraId="4BDFFF9A" w14:textId="77777777" w:rsidR="00901BCA" w:rsidRDefault="00901BCA" w:rsidP="00901BCA">
      <w:pPr>
        <w:pStyle w:val="BodyText"/>
        <w:widowControl/>
        <w:numPr>
          <w:ilvl w:val="1"/>
          <w:numId w:val="1"/>
        </w:numPr>
        <w:tabs>
          <w:tab w:val="clear" w:pos="0"/>
        </w:tabs>
        <w:suppressAutoHyphens w:val="0"/>
        <w:spacing w:line="240" w:lineRule="auto"/>
        <w:rPr>
          <w:rFonts w:ascii="Arial" w:hAnsi="Arial" w:cs="Arial"/>
        </w:rPr>
      </w:pPr>
      <w:r>
        <w:rPr>
          <w:rFonts w:ascii="Arial" w:hAnsi="Arial" w:cs="Arial"/>
        </w:rPr>
        <w:t xml:space="preserve">Resources &amp; </w:t>
      </w:r>
      <w:proofErr w:type="gramStart"/>
      <w:r>
        <w:rPr>
          <w:rFonts w:ascii="Arial" w:hAnsi="Arial" w:cs="Arial"/>
        </w:rPr>
        <w:t>experience  -</w:t>
      </w:r>
      <w:proofErr w:type="gramEnd"/>
      <w:r>
        <w:rPr>
          <w:rFonts w:ascii="Arial" w:hAnsi="Arial" w:cs="Arial"/>
        </w:rPr>
        <w:t xml:space="preserve"> staff allocated in the delivery of the project</w:t>
      </w:r>
    </w:p>
    <w:p w14:paraId="6B5DA324" w14:textId="77777777" w:rsidR="00901BCA" w:rsidRDefault="00901BCA" w:rsidP="00901BCA">
      <w:pPr>
        <w:pStyle w:val="BodyText"/>
        <w:widowControl/>
        <w:numPr>
          <w:ilvl w:val="1"/>
          <w:numId w:val="1"/>
        </w:numPr>
        <w:tabs>
          <w:tab w:val="clear" w:pos="0"/>
        </w:tabs>
        <w:suppressAutoHyphens w:val="0"/>
        <w:spacing w:line="240" w:lineRule="auto"/>
        <w:rPr>
          <w:rFonts w:ascii="Arial" w:hAnsi="Arial" w:cs="Arial"/>
        </w:rPr>
      </w:pPr>
      <w:r>
        <w:rPr>
          <w:rFonts w:ascii="Arial" w:hAnsi="Arial" w:cs="Arial"/>
        </w:rPr>
        <w:t>Health and safety at the work</w:t>
      </w:r>
    </w:p>
    <w:p w14:paraId="02488103" w14:textId="77777777" w:rsidR="00901BCA" w:rsidRDefault="00901BCA" w:rsidP="00901BCA">
      <w:pPr>
        <w:pStyle w:val="BodyText"/>
        <w:widowControl/>
        <w:numPr>
          <w:ilvl w:val="1"/>
          <w:numId w:val="1"/>
        </w:numPr>
        <w:tabs>
          <w:tab w:val="clear" w:pos="0"/>
        </w:tabs>
        <w:suppressAutoHyphens w:val="0"/>
        <w:spacing w:line="240" w:lineRule="auto"/>
        <w:rPr>
          <w:rFonts w:ascii="Arial" w:hAnsi="Arial" w:cs="Arial"/>
        </w:rPr>
      </w:pPr>
      <w:r>
        <w:rPr>
          <w:rFonts w:ascii="Arial" w:hAnsi="Arial" w:cs="Arial"/>
        </w:rPr>
        <w:t xml:space="preserve">Environmental considerations </w:t>
      </w:r>
    </w:p>
    <w:p w14:paraId="3289F6FB" w14:textId="77777777" w:rsidR="00901BCA" w:rsidRDefault="00901BCA" w:rsidP="00901BCA">
      <w:pPr>
        <w:pStyle w:val="BodyText"/>
        <w:rPr>
          <w:rFonts w:ascii="Arial" w:hAnsi="Arial" w:cs="Arial"/>
        </w:rPr>
      </w:pPr>
      <w:r>
        <w:rPr>
          <w:rFonts w:ascii="Arial" w:hAnsi="Arial" w:cs="Arial"/>
        </w:rPr>
        <w:t xml:space="preserve">     </w:t>
      </w:r>
    </w:p>
    <w:tbl>
      <w:tblPr>
        <w:tblpPr w:leftFromText="180" w:rightFromText="180" w:bottomFromText="200" w:vertAnchor="text"/>
        <w:tblW w:w="8631" w:type="dxa"/>
        <w:tblCellMar>
          <w:left w:w="0" w:type="dxa"/>
          <w:right w:w="0" w:type="dxa"/>
        </w:tblCellMar>
        <w:tblLook w:val="04A0" w:firstRow="1" w:lastRow="0" w:firstColumn="1" w:lastColumn="0" w:noHBand="0" w:noVBand="1"/>
      </w:tblPr>
      <w:tblGrid>
        <w:gridCol w:w="3820"/>
        <w:gridCol w:w="1280"/>
        <w:gridCol w:w="962"/>
        <w:gridCol w:w="1184"/>
        <w:gridCol w:w="690"/>
        <w:gridCol w:w="695"/>
      </w:tblGrid>
      <w:tr w:rsidR="00901BCA" w14:paraId="132DFC00" w14:textId="77777777">
        <w:tc>
          <w:tcPr>
            <w:tcW w:w="38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D4B913" w14:textId="77777777" w:rsidR="00901BCA" w:rsidRDefault="00901BCA">
            <w:pPr>
              <w:spacing w:line="276" w:lineRule="auto"/>
              <w:jc w:val="center"/>
              <w:rPr>
                <w:rFonts w:ascii="Arial" w:eastAsiaTheme="minorHAnsi" w:hAnsi="Arial" w:cs="Arial"/>
                <w:b/>
                <w:sz w:val="18"/>
                <w:szCs w:val="18"/>
                <w:vertAlign w:val="superscript"/>
              </w:rPr>
            </w:pPr>
            <w:r>
              <w:rPr>
                <w:rFonts w:ascii="Arial" w:hAnsi="Arial" w:cs="Arial"/>
                <w:b/>
                <w:sz w:val="18"/>
                <w:szCs w:val="18"/>
                <w:vertAlign w:val="superscript"/>
                <w:lang w:eastAsia="en-GB"/>
              </w:rPr>
              <w:t>Area</w:t>
            </w:r>
          </w:p>
        </w:tc>
        <w:tc>
          <w:tcPr>
            <w:tcW w:w="12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CD0019" w14:textId="77777777" w:rsidR="00901BCA" w:rsidRDefault="00901BCA">
            <w:pPr>
              <w:spacing w:line="276" w:lineRule="auto"/>
              <w:jc w:val="center"/>
              <w:rPr>
                <w:rFonts w:ascii="Arial" w:eastAsiaTheme="minorHAnsi" w:hAnsi="Arial" w:cs="Arial"/>
                <w:b/>
                <w:bCs/>
                <w:sz w:val="18"/>
                <w:szCs w:val="18"/>
                <w:vertAlign w:val="superscript"/>
              </w:rPr>
            </w:pPr>
            <w:r>
              <w:rPr>
                <w:rFonts w:ascii="Arial" w:hAnsi="Arial" w:cs="Arial"/>
                <w:b/>
                <w:bCs/>
                <w:sz w:val="18"/>
                <w:szCs w:val="18"/>
                <w:vertAlign w:val="superscript"/>
                <w:lang w:eastAsia="en-GB"/>
              </w:rPr>
              <w:t>Weighting</w:t>
            </w:r>
          </w:p>
          <w:p w14:paraId="3B896BAA" w14:textId="77777777" w:rsidR="00901BCA" w:rsidRDefault="00901BCA">
            <w:pPr>
              <w:spacing w:line="276" w:lineRule="auto"/>
              <w:jc w:val="center"/>
              <w:rPr>
                <w:rFonts w:ascii="Arial" w:eastAsiaTheme="minorHAnsi" w:hAnsi="Arial" w:cs="Arial"/>
                <w:b/>
                <w:bCs/>
                <w:sz w:val="18"/>
                <w:szCs w:val="18"/>
                <w:vertAlign w:val="superscript"/>
              </w:rPr>
            </w:pPr>
          </w:p>
        </w:tc>
        <w:tc>
          <w:tcPr>
            <w:tcW w:w="9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F43585" w14:textId="77777777" w:rsidR="00901BCA" w:rsidRDefault="00901BCA">
            <w:pPr>
              <w:spacing w:line="276" w:lineRule="auto"/>
              <w:jc w:val="center"/>
              <w:rPr>
                <w:rFonts w:ascii="Arial" w:eastAsiaTheme="minorHAnsi" w:hAnsi="Arial" w:cs="Arial"/>
                <w:b/>
                <w:sz w:val="18"/>
                <w:szCs w:val="18"/>
                <w:vertAlign w:val="superscript"/>
              </w:rPr>
            </w:pPr>
            <w:r>
              <w:rPr>
                <w:rFonts w:ascii="Arial" w:hAnsi="Arial" w:cs="Arial"/>
                <w:b/>
                <w:sz w:val="18"/>
                <w:szCs w:val="18"/>
                <w:vertAlign w:val="superscript"/>
                <w:lang w:eastAsia="en-GB"/>
              </w:rPr>
              <w:t>Sample score</w:t>
            </w:r>
          </w:p>
        </w:tc>
        <w:tc>
          <w:tcPr>
            <w:tcW w:w="11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B60436" w14:textId="77777777" w:rsidR="00901BCA" w:rsidRDefault="00901BCA">
            <w:pPr>
              <w:spacing w:line="276" w:lineRule="auto"/>
              <w:jc w:val="center"/>
              <w:rPr>
                <w:rFonts w:ascii="Arial" w:eastAsiaTheme="minorHAnsi" w:hAnsi="Arial" w:cs="Arial"/>
                <w:b/>
                <w:sz w:val="18"/>
                <w:szCs w:val="18"/>
                <w:vertAlign w:val="superscript"/>
              </w:rPr>
            </w:pPr>
            <w:r>
              <w:rPr>
                <w:rFonts w:ascii="Arial" w:hAnsi="Arial" w:cs="Arial"/>
                <w:b/>
                <w:sz w:val="18"/>
                <w:szCs w:val="18"/>
                <w:vertAlign w:val="superscript"/>
                <w:lang w:eastAsia="en-GB"/>
              </w:rPr>
              <w:t>Weighted score</w:t>
            </w:r>
          </w:p>
        </w:tc>
        <w:tc>
          <w:tcPr>
            <w:tcW w:w="6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CC5DBD" w14:textId="77777777" w:rsidR="00901BCA" w:rsidRDefault="00901BCA">
            <w:pPr>
              <w:spacing w:line="276" w:lineRule="auto"/>
              <w:jc w:val="center"/>
              <w:rPr>
                <w:rFonts w:ascii="Arial" w:eastAsiaTheme="minorHAnsi" w:hAnsi="Arial" w:cs="Arial"/>
                <w:b/>
                <w:sz w:val="18"/>
                <w:szCs w:val="18"/>
                <w:vertAlign w:val="superscript"/>
              </w:rPr>
            </w:pPr>
            <w:r>
              <w:rPr>
                <w:rFonts w:ascii="Arial" w:hAnsi="Arial" w:cs="Arial"/>
                <w:b/>
                <w:sz w:val="18"/>
                <w:szCs w:val="18"/>
                <w:vertAlign w:val="superscript"/>
                <w:lang w:eastAsia="en-GB"/>
              </w:rPr>
              <w:t>Max</w:t>
            </w:r>
          </w:p>
        </w:tc>
        <w:tc>
          <w:tcPr>
            <w:tcW w:w="6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34F880" w14:textId="77777777" w:rsidR="00901BCA" w:rsidRDefault="00901BCA">
            <w:pPr>
              <w:spacing w:line="276" w:lineRule="auto"/>
              <w:jc w:val="center"/>
              <w:rPr>
                <w:rFonts w:ascii="Arial" w:eastAsiaTheme="minorHAnsi" w:hAnsi="Arial" w:cs="Arial"/>
                <w:b/>
                <w:sz w:val="18"/>
                <w:szCs w:val="18"/>
                <w:vertAlign w:val="superscript"/>
              </w:rPr>
            </w:pPr>
            <w:r>
              <w:rPr>
                <w:rFonts w:ascii="Arial" w:hAnsi="Arial" w:cs="Arial"/>
                <w:b/>
                <w:sz w:val="18"/>
                <w:szCs w:val="18"/>
                <w:vertAlign w:val="superscript"/>
                <w:lang w:eastAsia="en-GB"/>
              </w:rPr>
              <w:t>%l</w:t>
            </w:r>
          </w:p>
        </w:tc>
      </w:tr>
      <w:tr w:rsidR="00901BCA" w14:paraId="6F0737AA" w14:textId="77777777">
        <w:tc>
          <w:tcPr>
            <w:tcW w:w="3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295A00" w14:textId="59754372" w:rsidR="00901BCA" w:rsidRDefault="00901BCA">
            <w:pPr>
              <w:pStyle w:val="BodyText"/>
              <w:spacing w:before="240"/>
              <w:rPr>
                <w:rFonts w:ascii="Arial" w:eastAsiaTheme="minorHAnsi" w:hAnsi="Arial" w:cs="Arial"/>
                <w:b/>
                <w:sz w:val="18"/>
                <w:szCs w:val="18"/>
                <w:vertAlign w:val="superscript"/>
              </w:rPr>
            </w:pPr>
            <w:r>
              <w:rPr>
                <w:rFonts w:ascii="Arial" w:hAnsi="Arial" w:cs="Arial"/>
                <w:b/>
                <w:sz w:val="18"/>
                <w:szCs w:val="18"/>
                <w:vertAlign w:val="superscript"/>
                <w:lang w:eastAsia="en-GB"/>
              </w:rPr>
              <w:t xml:space="preserve">The extent to which the proposed design (site-specific method statement and operational approach) meets the Client’s requirements and FA standards. Bar chart </w:t>
            </w:r>
            <w:r w:rsidR="002A0993">
              <w:rPr>
                <w:rFonts w:ascii="Arial" w:hAnsi="Arial" w:cs="Arial"/>
                <w:b/>
                <w:sz w:val="18"/>
                <w:szCs w:val="18"/>
                <w:vertAlign w:val="superscript"/>
                <w:lang w:eastAsia="en-GB"/>
              </w:rPr>
              <w:t>program</w:t>
            </w:r>
            <w:r>
              <w:rPr>
                <w:rFonts w:ascii="Arial" w:hAnsi="Arial" w:cs="Arial"/>
                <w:b/>
                <w:sz w:val="18"/>
                <w:szCs w:val="18"/>
                <w:vertAlign w:val="superscript"/>
                <w:lang w:eastAsia="en-GB"/>
              </w:rPr>
              <w:t xml:space="preserve"> to be included. Awareness of potential problems. Suitability and quality of product information, test data and samples. </w:t>
            </w:r>
          </w:p>
        </w:tc>
        <w:tc>
          <w:tcPr>
            <w:tcW w:w="1280" w:type="dxa"/>
            <w:tcBorders>
              <w:top w:val="nil"/>
              <w:left w:val="nil"/>
              <w:bottom w:val="single" w:sz="8" w:space="0" w:color="auto"/>
              <w:right w:val="single" w:sz="8" w:space="0" w:color="auto"/>
            </w:tcBorders>
            <w:tcMar>
              <w:top w:w="0" w:type="dxa"/>
              <w:left w:w="108" w:type="dxa"/>
              <w:bottom w:w="0" w:type="dxa"/>
              <w:right w:w="108" w:type="dxa"/>
            </w:tcMar>
          </w:tcPr>
          <w:p w14:paraId="5B6E8F36" w14:textId="77777777" w:rsidR="00901BCA" w:rsidRDefault="00901BCA">
            <w:pPr>
              <w:spacing w:line="276" w:lineRule="auto"/>
              <w:jc w:val="center"/>
              <w:rPr>
                <w:rFonts w:ascii="Arial" w:eastAsiaTheme="minorHAnsi" w:hAnsi="Arial" w:cs="Arial"/>
                <w:b/>
                <w:bCs/>
                <w:sz w:val="18"/>
                <w:szCs w:val="18"/>
                <w:vertAlign w:val="superscript"/>
              </w:rPr>
            </w:pPr>
          </w:p>
          <w:p w14:paraId="3B78E2F5" w14:textId="77777777" w:rsidR="00901BCA" w:rsidRDefault="00901BCA">
            <w:pPr>
              <w:spacing w:line="276" w:lineRule="auto"/>
              <w:jc w:val="center"/>
              <w:rPr>
                <w:rFonts w:ascii="Arial" w:eastAsiaTheme="minorHAnsi" w:hAnsi="Arial" w:cs="Arial"/>
                <w:b/>
                <w:bCs/>
                <w:sz w:val="18"/>
                <w:szCs w:val="18"/>
                <w:vertAlign w:val="superscript"/>
              </w:rPr>
            </w:pPr>
            <w:r>
              <w:rPr>
                <w:rFonts w:ascii="Arial" w:hAnsi="Arial" w:cs="Arial"/>
                <w:b/>
                <w:bCs/>
                <w:sz w:val="18"/>
                <w:szCs w:val="18"/>
                <w:vertAlign w:val="superscript"/>
                <w:lang w:eastAsia="en-GB"/>
              </w:rPr>
              <w:t>2</w:t>
            </w:r>
          </w:p>
        </w:tc>
        <w:tc>
          <w:tcPr>
            <w:tcW w:w="962" w:type="dxa"/>
            <w:tcBorders>
              <w:top w:val="nil"/>
              <w:left w:val="nil"/>
              <w:bottom w:val="single" w:sz="8" w:space="0" w:color="auto"/>
              <w:right w:val="single" w:sz="8" w:space="0" w:color="auto"/>
            </w:tcBorders>
            <w:tcMar>
              <w:top w:w="0" w:type="dxa"/>
              <w:left w:w="108" w:type="dxa"/>
              <w:bottom w:w="0" w:type="dxa"/>
              <w:right w:w="108" w:type="dxa"/>
            </w:tcMar>
          </w:tcPr>
          <w:p w14:paraId="27A7B0C4" w14:textId="77777777" w:rsidR="00901BCA" w:rsidRDefault="00901BCA">
            <w:pPr>
              <w:spacing w:line="276" w:lineRule="auto"/>
              <w:jc w:val="center"/>
              <w:rPr>
                <w:rFonts w:ascii="Arial" w:eastAsiaTheme="minorHAnsi" w:hAnsi="Arial" w:cs="Arial"/>
                <w:b/>
                <w:sz w:val="18"/>
                <w:szCs w:val="18"/>
                <w:vertAlign w:val="superscript"/>
              </w:rPr>
            </w:pPr>
          </w:p>
          <w:p w14:paraId="673507EC" w14:textId="77777777" w:rsidR="00901BCA" w:rsidRDefault="00901BCA">
            <w:pPr>
              <w:spacing w:line="276" w:lineRule="auto"/>
              <w:jc w:val="center"/>
              <w:rPr>
                <w:rFonts w:ascii="Arial" w:eastAsiaTheme="minorHAnsi" w:hAnsi="Arial" w:cs="Arial"/>
                <w:b/>
                <w:sz w:val="18"/>
                <w:szCs w:val="18"/>
                <w:vertAlign w:val="superscript"/>
              </w:rPr>
            </w:pPr>
            <w:r>
              <w:rPr>
                <w:rFonts w:ascii="Arial" w:hAnsi="Arial" w:cs="Arial"/>
                <w:b/>
                <w:sz w:val="18"/>
                <w:szCs w:val="18"/>
                <w:vertAlign w:val="superscript"/>
                <w:lang w:eastAsia="en-GB"/>
              </w:rPr>
              <w:t>3</w:t>
            </w:r>
          </w:p>
        </w:tc>
        <w:tc>
          <w:tcPr>
            <w:tcW w:w="1184" w:type="dxa"/>
            <w:tcBorders>
              <w:top w:val="nil"/>
              <w:left w:val="nil"/>
              <w:bottom w:val="single" w:sz="8" w:space="0" w:color="auto"/>
              <w:right w:val="single" w:sz="8" w:space="0" w:color="auto"/>
            </w:tcBorders>
            <w:tcMar>
              <w:top w:w="0" w:type="dxa"/>
              <w:left w:w="108" w:type="dxa"/>
              <w:bottom w:w="0" w:type="dxa"/>
              <w:right w:w="108" w:type="dxa"/>
            </w:tcMar>
          </w:tcPr>
          <w:p w14:paraId="787DD5D4" w14:textId="77777777" w:rsidR="00901BCA" w:rsidRDefault="00901BCA">
            <w:pPr>
              <w:spacing w:line="276" w:lineRule="auto"/>
              <w:jc w:val="center"/>
              <w:rPr>
                <w:rFonts w:ascii="Arial" w:eastAsiaTheme="minorHAnsi" w:hAnsi="Arial" w:cs="Arial"/>
                <w:b/>
                <w:sz w:val="18"/>
                <w:szCs w:val="18"/>
                <w:vertAlign w:val="superscript"/>
              </w:rPr>
            </w:pPr>
          </w:p>
          <w:p w14:paraId="0E8111D7" w14:textId="77777777" w:rsidR="00901BCA" w:rsidRDefault="00901BCA">
            <w:pPr>
              <w:spacing w:line="276" w:lineRule="auto"/>
              <w:jc w:val="center"/>
              <w:rPr>
                <w:rFonts w:ascii="Arial" w:eastAsiaTheme="minorHAnsi" w:hAnsi="Arial" w:cs="Arial"/>
                <w:b/>
                <w:sz w:val="18"/>
                <w:szCs w:val="18"/>
                <w:vertAlign w:val="superscript"/>
              </w:rPr>
            </w:pPr>
            <w:r>
              <w:rPr>
                <w:rFonts w:ascii="Arial" w:hAnsi="Arial" w:cs="Arial"/>
                <w:b/>
                <w:sz w:val="18"/>
                <w:szCs w:val="18"/>
                <w:vertAlign w:val="superscript"/>
                <w:lang w:eastAsia="en-GB"/>
              </w:rPr>
              <w:t>6</w:t>
            </w:r>
          </w:p>
        </w:tc>
        <w:tc>
          <w:tcPr>
            <w:tcW w:w="690" w:type="dxa"/>
            <w:tcBorders>
              <w:top w:val="nil"/>
              <w:left w:val="nil"/>
              <w:bottom w:val="single" w:sz="8" w:space="0" w:color="auto"/>
              <w:right w:val="single" w:sz="8" w:space="0" w:color="auto"/>
            </w:tcBorders>
            <w:tcMar>
              <w:top w:w="0" w:type="dxa"/>
              <w:left w:w="108" w:type="dxa"/>
              <w:bottom w:w="0" w:type="dxa"/>
              <w:right w:w="108" w:type="dxa"/>
            </w:tcMar>
          </w:tcPr>
          <w:p w14:paraId="08962745" w14:textId="77777777" w:rsidR="00901BCA" w:rsidRDefault="00901BCA">
            <w:pPr>
              <w:spacing w:line="276" w:lineRule="auto"/>
              <w:jc w:val="center"/>
              <w:rPr>
                <w:rFonts w:ascii="Arial" w:eastAsiaTheme="minorHAnsi" w:hAnsi="Arial" w:cs="Arial"/>
                <w:b/>
                <w:sz w:val="18"/>
                <w:szCs w:val="18"/>
                <w:vertAlign w:val="superscript"/>
              </w:rPr>
            </w:pPr>
          </w:p>
          <w:p w14:paraId="036D4475" w14:textId="77777777" w:rsidR="00901BCA" w:rsidRDefault="00901BCA">
            <w:pPr>
              <w:spacing w:line="276" w:lineRule="auto"/>
              <w:jc w:val="center"/>
              <w:rPr>
                <w:rFonts w:ascii="Arial" w:eastAsiaTheme="minorHAnsi" w:hAnsi="Arial" w:cs="Arial"/>
                <w:b/>
                <w:sz w:val="18"/>
                <w:szCs w:val="18"/>
                <w:vertAlign w:val="superscript"/>
              </w:rPr>
            </w:pPr>
            <w:r>
              <w:rPr>
                <w:rFonts w:ascii="Arial" w:hAnsi="Arial" w:cs="Arial"/>
                <w:b/>
                <w:sz w:val="18"/>
                <w:szCs w:val="18"/>
                <w:vertAlign w:val="superscript"/>
                <w:lang w:eastAsia="en-GB"/>
              </w:rPr>
              <w:t>10</w:t>
            </w:r>
          </w:p>
        </w:tc>
        <w:tc>
          <w:tcPr>
            <w:tcW w:w="695" w:type="dxa"/>
            <w:tcBorders>
              <w:top w:val="nil"/>
              <w:left w:val="nil"/>
              <w:bottom w:val="single" w:sz="8" w:space="0" w:color="auto"/>
              <w:right w:val="single" w:sz="8" w:space="0" w:color="auto"/>
            </w:tcBorders>
            <w:tcMar>
              <w:top w:w="0" w:type="dxa"/>
              <w:left w:w="108" w:type="dxa"/>
              <w:bottom w:w="0" w:type="dxa"/>
              <w:right w:w="108" w:type="dxa"/>
            </w:tcMar>
          </w:tcPr>
          <w:p w14:paraId="11E7ED6F" w14:textId="77777777" w:rsidR="00901BCA" w:rsidRDefault="00901BCA">
            <w:pPr>
              <w:spacing w:line="276" w:lineRule="auto"/>
              <w:jc w:val="center"/>
              <w:rPr>
                <w:rFonts w:ascii="Arial" w:eastAsiaTheme="minorHAnsi" w:hAnsi="Arial" w:cs="Arial"/>
                <w:b/>
                <w:sz w:val="18"/>
                <w:szCs w:val="18"/>
                <w:vertAlign w:val="superscript"/>
              </w:rPr>
            </w:pPr>
          </w:p>
          <w:p w14:paraId="098C8642" w14:textId="77777777" w:rsidR="00901BCA" w:rsidRDefault="00901BCA">
            <w:pPr>
              <w:spacing w:line="276" w:lineRule="auto"/>
              <w:jc w:val="center"/>
              <w:rPr>
                <w:rFonts w:ascii="Arial" w:eastAsiaTheme="minorHAnsi" w:hAnsi="Arial" w:cs="Arial"/>
                <w:b/>
                <w:sz w:val="18"/>
                <w:szCs w:val="18"/>
                <w:vertAlign w:val="superscript"/>
              </w:rPr>
            </w:pPr>
          </w:p>
        </w:tc>
      </w:tr>
      <w:tr w:rsidR="00901BCA" w14:paraId="14041623" w14:textId="77777777">
        <w:trPr>
          <w:trHeight w:val="605"/>
        </w:trPr>
        <w:tc>
          <w:tcPr>
            <w:tcW w:w="3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EF5C9D" w14:textId="77777777" w:rsidR="00901BCA" w:rsidRDefault="00901BCA">
            <w:pPr>
              <w:pStyle w:val="BodyText"/>
              <w:rPr>
                <w:rFonts w:ascii="Arial" w:hAnsi="Arial" w:cs="Arial"/>
                <w:b/>
                <w:sz w:val="18"/>
                <w:szCs w:val="18"/>
                <w:vertAlign w:val="superscript"/>
              </w:rPr>
            </w:pPr>
            <w:r>
              <w:rPr>
                <w:rFonts w:ascii="Arial" w:hAnsi="Arial" w:cs="Arial"/>
                <w:b/>
                <w:sz w:val="18"/>
                <w:szCs w:val="18"/>
                <w:vertAlign w:val="superscript"/>
                <w:lang w:eastAsia="en-GB"/>
              </w:rPr>
              <w:t>Contract resources/experience (provide CVs) and management structure for the team who will be dedicated to this contract.  Please provide details of your quality management systems and recording process.</w:t>
            </w:r>
          </w:p>
        </w:tc>
        <w:tc>
          <w:tcPr>
            <w:tcW w:w="1280" w:type="dxa"/>
            <w:tcBorders>
              <w:top w:val="nil"/>
              <w:left w:val="nil"/>
              <w:bottom w:val="single" w:sz="8" w:space="0" w:color="auto"/>
              <w:right w:val="single" w:sz="8" w:space="0" w:color="auto"/>
            </w:tcBorders>
            <w:tcMar>
              <w:top w:w="0" w:type="dxa"/>
              <w:left w:w="108" w:type="dxa"/>
              <w:bottom w:w="0" w:type="dxa"/>
              <w:right w:w="108" w:type="dxa"/>
            </w:tcMar>
            <w:hideMark/>
          </w:tcPr>
          <w:p w14:paraId="33C09D39" w14:textId="77777777" w:rsidR="00901BCA" w:rsidRDefault="00901BCA">
            <w:pPr>
              <w:spacing w:line="276" w:lineRule="auto"/>
              <w:jc w:val="center"/>
              <w:rPr>
                <w:rFonts w:ascii="Arial" w:eastAsiaTheme="minorHAnsi" w:hAnsi="Arial" w:cs="Arial"/>
                <w:b/>
                <w:bCs/>
                <w:sz w:val="18"/>
                <w:szCs w:val="18"/>
                <w:vertAlign w:val="superscript"/>
              </w:rPr>
            </w:pPr>
            <w:r>
              <w:rPr>
                <w:rFonts w:ascii="Arial" w:hAnsi="Arial" w:cs="Arial"/>
                <w:b/>
                <w:bCs/>
                <w:sz w:val="18"/>
                <w:szCs w:val="18"/>
                <w:vertAlign w:val="superscript"/>
                <w:lang w:eastAsia="en-GB"/>
              </w:rPr>
              <w:t>2</w:t>
            </w:r>
          </w:p>
        </w:tc>
        <w:tc>
          <w:tcPr>
            <w:tcW w:w="962" w:type="dxa"/>
            <w:tcBorders>
              <w:top w:val="nil"/>
              <w:left w:val="nil"/>
              <w:bottom w:val="single" w:sz="8" w:space="0" w:color="auto"/>
              <w:right w:val="single" w:sz="8" w:space="0" w:color="auto"/>
            </w:tcBorders>
            <w:tcMar>
              <w:top w:w="0" w:type="dxa"/>
              <w:left w:w="108" w:type="dxa"/>
              <w:bottom w:w="0" w:type="dxa"/>
              <w:right w:w="108" w:type="dxa"/>
            </w:tcMar>
            <w:hideMark/>
          </w:tcPr>
          <w:p w14:paraId="7F5C514C" w14:textId="77777777" w:rsidR="00901BCA" w:rsidRDefault="00901BCA">
            <w:pPr>
              <w:spacing w:line="276" w:lineRule="auto"/>
              <w:jc w:val="center"/>
              <w:rPr>
                <w:rFonts w:ascii="Arial" w:eastAsiaTheme="minorHAnsi" w:hAnsi="Arial" w:cs="Arial"/>
                <w:b/>
                <w:sz w:val="18"/>
                <w:szCs w:val="18"/>
                <w:vertAlign w:val="superscript"/>
              </w:rPr>
            </w:pPr>
            <w:r>
              <w:rPr>
                <w:rFonts w:ascii="Arial" w:hAnsi="Arial" w:cs="Arial"/>
                <w:b/>
                <w:sz w:val="18"/>
                <w:szCs w:val="18"/>
                <w:vertAlign w:val="superscript"/>
                <w:lang w:eastAsia="en-GB"/>
              </w:rPr>
              <w:t>3</w:t>
            </w:r>
          </w:p>
        </w:tc>
        <w:tc>
          <w:tcPr>
            <w:tcW w:w="1184" w:type="dxa"/>
            <w:tcBorders>
              <w:top w:val="nil"/>
              <w:left w:val="nil"/>
              <w:bottom w:val="single" w:sz="8" w:space="0" w:color="auto"/>
              <w:right w:val="single" w:sz="8" w:space="0" w:color="auto"/>
            </w:tcBorders>
            <w:tcMar>
              <w:top w:w="0" w:type="dxa"/>
              <w:left w:w="108" w:type="dxa"/>
              <w:bottom w:w="0" w:type="dxa"/>
              <w:right w:w="108" w:type="dxa"/>
            </w:tcMar>
            <w:hideMark/>
          </w:tcPr>
          <w:p w14:paraId="13A7CD4B" w14:textId="77777777" w:rsidR="00901BCA" w:rsidRDefault="00901BCA">
            <w:pPr>
              <w:spacing w:line="276" w:lineRule="auto"/>
              <w:jc w:val="center"/>
              <w:rPr>
                <w:rFonts w:ascii="Arial" w:eastAsiaTheme="minorHAnsi" w:hAnsi="Arial" w:cs="Arial"/>
                <w:b/>
                <w:sz w:val="18"/>
                <w:szCs w:val="18"/>
                <w:vertAlign w:val="superscript"/>
              </w:rPr>
            </w:pPr>
            <w:r>
              <w:rPr>
                <w:rFonts w:ascii="Arial" w:hAnsi="Arial" w:cs="Arial"/>
                <w:b/>
                <w:sz w:val="18"/>
                <w:szCs w:val="18"/>
                <w:vertAlign w:val="superscript"/>
                <w:lang w:eastAsia="en-GB"/>
              </w:rPr>
              <w:t>6</w:t>
            </w:r>
          </w:p>
        </w:tc>
        <w:tc>
          <w:tcPr>
            <w:tcW w:w="690" w:type="dxa"/>
            <w:tcBorders>
              <w:top w:val="nil"/>
              <w:left w:val="nil"/>
              <w:bottom w:val="single" w:sz="8" w:space="0" w:color="auto"/>
              <w:right w:val="single" w:sz="8" w:space="0" w:color="auto"/>
            </w:tcBorders>
            <w:tcMar>
              <w:top w:w="0" w:type="dxa"/>
              <w:left w:w="108" w:type="dxa"/>
              <w:bottom w:w="0" w:type="dxa"/>
              <w:right w:w="108" w:type="dxa"/>
            </w:tcMar>
            <w:hideMark/>
          </w:tcPr>
          <w:p w14:paraId="277B7351" w14:textId="77777777" w:rsidR="00901BCA" w:rsidRDefault="00901BCA">
            <w:pPr>
              <w:spacing w:line="276" w:lineRule="auto"/>
              <w:jc w:val="center"/>
              <w:rPr>
                <w:rFonts w:ascii="Arial" w:eastAsiaTheme="minorHAnsi" w:hAnsi="Arial" w:cs="Arial"/>
                <w:b/>
                <w:sz w:val="18"/>
                <w:szCs w:val="18"/>
                <w:vertAlign w:val="superscript"/>
              </w:rPr>
            </w:pPr>
            <w:r>
              <w:rPr>
                <w:rFonts w:ascii="Arial" w:hAnsi="Arial" w:cs="Arial"/>
                <w:b/>
                <w:sz w:val="18"/>
                <w:szCs w:val="18"/>
                <w:vertAlign w:val="superscript"/>
                <w:lang w:eastAsia="en-GB"/>
              </w:rPr>
              <w:t>10</w:t>
            </w:r>
          </w:p>
        </w:tc>
        <w:tc>
          <w:tcPr>
            <w:tcW w:w="695" w:type="dxa"/>
            <w:tcBorders>
              <w:top w:val="nil"/>
              <w:left w:val="nil"/>
              <w:bottom w:val="single" w:sz="8" w:space="0" w:color="auto"/>
              <w:right w:val="single" w:sz="8" w:space="0" w:color="auto"/>
            </w:tcBorders>
            <w:tcMar>
              <w:top w:w="0" w:type="dxa"/>
              <w:left w:w="108" w:type="dxa"/>
              <w:bottom w:w="0" w:type="dxa"/>
              <w:right w:w="108" w:type="dxa"/>
            </w:tcMar>
          </w:tcPr>
          <w:p w14:paraId="46039F53" w14:textId="77777777" w:rsidR="00901BCA" w:rsidRDefault="00901BCA">
            <w:pPr>
              <w:spacing w:line="276" w:lineRule="auto"/>
              <w:jc w:val="center"/>
              <w:rPr>
                <w:rFonts w:ascii="Arial" w:eastAsiaTheme="minorHAnsi" w:hAnsi="Arial" w:cs="Arial"/>
                <w:b/>
                <w:sz w:val="18"/>
                <w:szCs w:val="18"/>
                <w:vertAlign w:val="superscript"/>
              </w:rPr>
            </w:pPr>
          </w:p>
        </w:tc>
      </w:tr>
      <w:tr w:rsidR="00901BCA" w14:paraId="1EBE7561" w14:textId="77777777">
        <w:trPr>
          <w:trHeight w:val="605"/>
        </w:trPr>
        <w:tc>
          <w:tcPr>
            <w:tcW w:w="38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D1EE2A" w14:textId="77777777" w:rsidR="00901BCA" w:rsidRDefault="00901BCA">
            <w:pPr>
              <w:pStyle w:val="BodyText"/>
              <w:rPr>
                <w:rFonts w:ascii="Arial" w:eastAsiaTheme="minorHAnsi" w:hAnsi="Arial" w:cs="Arial"/>
                <w:b/>
                <w:sz w:val="18"/>
                <w:szCs w:val="18"/>
                <w:vertAlign w:val="superscript"/>
              </w:rPr>
            </w:pPr>
            <w:r>
              <w:rPr>
                <w:rFonts w:ascii="Arial" w:hAnsi="Arial" w:cs="Arial"/>
                <w:b/>
                <w:sz w:val="18"/>
                <w:szCs w:val="18"/>
                <w:vertAlign w:val="superscript"/>
                <w:lang w:eastAsia="en-GB"/>
              </w:rPr>
              <w:t>Please provide a construction phase Health and Safety plan tailored to this contract and a company health and safety policy.</w:t>
            </w:r>
          </w:p>
          <w:p w14:paraId="3FAABCF7" w14:textId="77777777" w:rsidR="00901BCA" w:rsidRDefault="00901BCA">
            <w:pPr>
              <w:spacing w:line="276" w:lineRule="auto"/>
              <w:jc w:val="both"/>
              <w:rPr>
                <w:rFonts w:ascii="Arial" w:eastAsiaTheme="minorHAnsi" w:hAnsi="Arial" w:cs="Arial"/>
                <w:b/>
                <w:sz w:val="18"/>
                <w:szCs w:val="18"/>
                <w:vertAlign w:val="superscript"/>
              </w:rPr>
            </w:pPr>
          </w:p>
        </w:tc>
        <w:tc>
          <w:tcPr>
            <w:tcW w:w="1280" w:type="dxa"/>
            <w:tcBorders>
              <w:top w:val="nil"/>
              <w:left w:val="nil"/>
              <w:bottom w:val="single" w:sz="8" w:space="0" w:color="auto"/>
              <w:right w:val="single" w:sz="8" w:space="0" w:color="auto"/>
            </w:tcBorders>
            <w:tcMar>
              <w:top w:w="0" w:type="dxa"/>
              <w:left w:w="108" w:type="dxa"/>
              <w:bottom w:w="0" w:type="dxa"/>
              <w:right w:w="108" w:type="dxa"/>
            </w:tcMar>
          </w:tcPr>
          <w:p w14:paraId="14202560" w14:textId="77777777" w:rsidR="00901BCA" w:rsidRDefault="00901BCA">
            <w:pPr>
              <w:spacing w:line="276" w:lineRule="auto"/>
              <w:jc w:val="center"/>
              <w:rPr>
                <w:rFonts w:ascii="Arial" w:eastAsiaTheme="minorHAnsi" w:hAnsi="Arial" w:cs="Arial"/>
                <w:b/>
                <w:bCs/>
                <w:sz w:val="18"/>
                <w:szCs w:val="18"/>
                <w:vertAlign w:val="superscript"/>
              </w:rPr>
            </w:pPr>
          </w:p>
          <w:p w14:paraId="30469EF4" w14:textId="77777777" w:rsidR="00901BCA" w:rsidRDefault="00901BCA">
            <w:pPr>
              <w:spacing w:line="276" w:lineRule="auto"/>
              <w:jc w:val="center"/>
              <w:rPr>
                <w:rFonts w:ascii="Arial" w:eastAsiaTheme="minorHAnsi" w:hAnsi="Arial" w:cs="Arial"/>
                <w:b/>
                <w:bCs/>
                <w:sz w:val="18"/>
                <w:szCs w:val="18"/>
                <w:vertAlign w:val="superscript"/>
              </w:rPr>
            </w:pPr>
            <w:r>
              <w:rPr>
                <w:rFonts w:ascii="Arial" w:hAnsi="Arial" w:cs="Arial"/>
                <w:b/>
                <w:bCs/>
                <w:sz w:val="18"/>
                <w:szCs w:val="18"/>
                <w:vertAlign w:val="superscript"/>
                <w:lang w:eastAsia="en-GB"/>
              </w:rPr>
              <w:t>1</w:t>
            </w:r>
          </w:p>
        </w:tc>
        <w:tc>
          <w:tcPr>
            <w:tcW w:w="962" w:type="dxa"/>
            <w:tcBorders>
              <w:top w:val="nil"/>
              <w:left w:val="nil"/>
              <w:bottom w:val="single" w:sz="8" w:space="0" w:color="auto"/>
              <w:right w:val="single" w:sz="8" w:space="0" w:color="auto"/>
            </w:tcBorders>
            <w:tcMar>
              <w:top w:w="0" w:type="dxa"/>
              <w:left w:w="108" w:type="dxa"/>
              <w:bottom w:w="0" w:type="dxa"/>
              <w:right w:w="108" w:type="dxa"/>
            </w:tcMar>
          </w:tcPr>
          <w:p w14:paraId="204CD0A2" w14:textId="77777777" w:rsidR="00901BCA" w:rsidRDefault="00901BCA">
            <w:pPr>
              <w:spacing w:line="276" w:lineRule="auto"/>
              <w:jc w:val="center"/>
              <w:rPr>
                <w:rFonts w:ascii="Arial" w:eastAsiaTheme="minorHAnsi" w:hAnsi="Arial" w:cs="Arial"/>
                <w:b/>
                <w:sz w:val="18"/>
                <w:szCs w:val="18"/>
                <w:vertAlign w:val="superscript"/>
              </w:rPr>
            </w:pPr>
          </w:p>
          <w:p w14:paraId="3DEC9019" w14:textId="77777777" w:rsidR="00901BCA" w:rsidRDefault="00901BCA">
            <w:pPr>
              <w:spacing w:line="276" w:lineRule="auto"/>
              <w:jc w:val="center"/>
              <w:rPr>
                <w:rFonts w:ascii="Arial" w:eastAsiaTheme="minorHAnsi" w:hAnsi="Arial" w:cs="Arial"/>
                <w:b/>
                <w:sz w:val="18"/>
                <w:szCs w:val="18"/>
                <w:vertAlign w:val="superscript"/>
              </w:rPr>
            </w:pPr>
            <w:r>
              <w:rPr>
                <w:rFonts w:ascii="Arial" w:hAnsi="Arial" w:cs="Arial"/>
                <w:b/>
                <w:sz w:val="18"/>
                <w:szCs w:val="18"/>
                <w:vertAlign w:val="superscript"/>
                <w:lang w:eastAsia="en-GB"/>
              </w:rPr>
              <w:t>3</w:t>
            </w:r>
          </w:p>
        </w:tc>
        <w:tc>
          <w:tcPr>
            <w:tcW w:w="1184" w:type="dxa"/>
            <w:tcBorders>
              <w:top w:val="nil"/>
              <w:left w:val="nil"/>
              <w:bottom w:val="single" w:sz="8" w:space="0" w:color="auto"/>
              <w:right w:val="single" w:sz="8" w:space="0" w:color="auto"/>
            </w:tcBorders>
            <w:tcMar>
              <w:top w:w="0" w:type="dxa"/>
              <w:left w:w="108" w:type="dxa"/>
              <w:bottom w:w="0" w:type="dxa"/>
              <w:right w:w="108" w:type="dxa"/>
            </w:tcMar>
          </w:tcPr>
          <w:p w14:paraId="3760E03B" w14:textId="77777777" w:rsidR="00901BCA" w:rsidRDefault="00901BCA">
            <w:pPr>
              <w:spacing w:line="276" w:lineRule="auto"/>
              <w:jc w:val="center"/>
              <w:rPr>
                <w:rFonts w:ascii="Arial" w:eastAsiaTheme="minorHAnsi" w:hAnsi="Arial" w:cs="Arial"/>
                <w:b/>
                <w:sz w:val="18"/>
                <w:szCs w:val="18"/>
                <w:vertAlign w:val="superscript"/>
              </w:rPr>
            </w:pPr>
          </w:p>
          <w:p w14:paraId="1A870669" w14:textId="77777777" w:rsidR="00901BCA" w:rsidRDefault="00901BCA">
            <w:pPr>
              <w:spacing w:line="276" w:lineRule="auto"/>
              <w:jc w:val="center"/>
              <w:rPr>
                <w:rFonts w:ascii="Arial" w:eastAsiaTheme="minorHAnsi" w:hAnsi="Arial" w:cs="Arial"/>
                <w:b/>
                <w:sz w:val="18"/>
                <w:szCs w:val="18"/>
                <w:vertAlign w:val="superscript"/>
              </w:rPr>
            </w:pPr>
            <w:r>
              <w:rPr>
                <w:rFonts w:ascii="Arial" w:hAnsi="Arial" w:cs="Arial"/>
                <w:b/>
                <w:sz w:val="18"/>
                <w:szCs w:val="18"/>
                <w:vertAlign w:val="superscript"/>
                <w:lang w:eastAsia="en-GB"/>
              </w:rPr>
              <w:t>3</w:t>
            </w:r>
          </w:p>
        </w:tc>
        <w:tc>
          <w:tcPr>
            <w:tcW w:w="690" w:type="dxa"/>
            <w:tcBorders>
              <w:top w:val="nil"/>
              <w:left w:val="nil"/>
              <w:bottom w:val="single" w:sz="8" w:space="0" w:color="auto"/>
              <w:right w:val="single" w:sz="8" w:space="0" w:color="auto"/>
            </w:tcBorders>
            <w:tcMar>
              <w:top w:w="0" w:type="dxa"/>
              <w:left w:w="108" w:type="dxa"/>
              <w:bottom w:w="0" w:type="dxa"/>
              <w:right w:w="108" w:type="dxa"/>
            </w:tcMar>
          </w:tcPr>
          <w:p w14:paraId="490DAEDB" w14:textId="77777777" w:rsidR="00901BCA" w:rsidRDefault="00901BCA">
            <w:pPr>
              <w:spacing w:line="276" w:lineRule="auto"/>
              <w:jc w:val="center"/>
              <w:rPr>
                <w:rFonts w:ascii="Arial" w:eastAsiaTheme="minorHAnsi" w:hAnsi="Arial" w:cs="Arial"/>
                <w:b/>
                <w:sz w:val="18"/>
                <w:szCs w:val="18"/>
                <w:vertAlign w:val="superscript"/>
              </w:rPr>
            </w:pPr>
          </w:p>
          <w:p w14:paraId="2CF9D0B1" w14:textId="77777777" w:rsidR="00901BCA" w:rsidRDefault="00901BCA">
            <w:pPr>
              <w:spacing w:line="276" w:lineRule="auto"/>
              <w:jc w:val="center"/>
              <w:rPr>
                <w:rFonts w:ascii="Arial" w:eastAsiaTheme="minorHAnsi" w:hAnsi="Arial" w:cs="Arial"/>
                <w:b/>
                <w:sz w:val="18"/>
                <w:szCs w:val="18"/>
                <w:vertAlign w:val="superscript"/>
              </w:rPr>
            </w:pPr>
            <w:r>
              <w:rPr>
                <w:rFonts w:ascii="Arial" w:hAnsi="Arial" w:cs="Arial"/>
                <w:b/>
                <w:sz w:val="18"/>
                <w:szCs w:val="18"/>
                <w:vertAlign w:val="superscript"/>
                <w:lang w:eastAsia="en-GB"/>
              </w:rPr>
              <w:t>5</w:t>
            </w:r>
          </w:p>
        </w:tc>
        <w:tc>
          <w:tcPr>
            <w:tcW w:w="695" w:type="dxa"/>
            <w:tcBorders>
              <w:top w:val="nil"/>
              <w:left w:val="nil"/>
              <w:bottom w:val="single" w:sz="8" w:space="0" w:color="auto"/>
              <w:right w:val="single" w:sz="8" w:space="0" w:color="auto"/>
            </w:tcBorders>
            <w:tcMar>
              <w:top w:w="0" w:type="dxa"/>
              <w:left w:w="108" w:type="dxa"/>
              <w:bottom w:w="0" w:type="dxa"/>
              <w:right w:w="108" w:type="dxa"/>
            </w:tcMar>
          </w:tcPr>
          <w:p w14:paraId="06C7D492" w14:textId="77777777" w:rsidR="00901BCA" w:rsidRDefault="00901BCA">
            <w:pPr>
              <w:spacing w:line="276" w:lineRule="auto"/>
              <w:jc w:val="center"/>
              <w:rPr>
                <w:rFonts w:ascii="Arial" w:eastAsiaTheme="minorHAnsi" w:hAnsi="Arial" w:cs="Arial"/>
                <w:b/>
                <w:sz w:val="18"/>
                <w:szCs w:val="18"/>
                <w:vertAlign w:val="superscript"/>
              </w:rPr>
            </w:pPr>
          </w:p>
          <w:p w14:paraId="3B329658" w14:textId="77777777" w:rsidR="00901BCA" w:rsidRDefault="00901BCA">
            <w:pPr>
              <w:spacing w:line="276" w:lineRule="auto"/>
              <w:jc w:val="center"/>
              <w:rPr>
                <w:rFonts w:ascii="Arial" w:eastAsiaTheme="minorHAnsi" w:hAnsi="Arial" w:cs="Arial"/>
                <w:b/>
                <w:sz w:val="18"/>
                <w:szCs w:val="18"/>
                <w:vertAlign w:val="superscript"/>
              </w:rPr>
            </w:pPr>
          </w:p>
        </w:tc>
      </w:tr>
      <w:tr w:rsidR="00901BCA" w14:paraId="389B67EF" w14:textId="77777777">
        <w:trPr>
          <w:trHeight w:val="605"/>
        </w:trPr>
        <w:tc>
          <w:tcPr>
            <w:tcW w:w="3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A9C1B0" w14:textId="77777777" w:rsidR="00901BCA" w:rsidRDefault="00901BCA">
            <w:pPr>
              <w:pStyle w:val="BodyText"/>
              <w:rPr>
                <w:rFonts w:ascii="Arial" w:hAnsi="Arial" w:cs="Arial"/>
                <w:b/>
                <w:sz w:val="18"/>
                <w:szCs w:val="18"/>
                <w:vertAlign w:val="superscript"/>
                <w:lang w:eastAsia="en-GB"/>
              </w:rPr>
            </w:pPr>
            <w:r>
              <w:rPr>
                <w:rFonts w:ascii="Arial" w:hAnsi="Arial" w:cs="Arial"/>
                <w:b/>
                <w:sz w:val="18"/>
                <w:szCs w:val="18"/>
                <w:vertAlign w:val="superscript"/>
                <w:lang w:eastAsia="en-GB"/>
              </w:rPr>
              <w:t>Environmental considerations to include but not be limited to:</w:t>
            </w:r>
          </w:p>
          <w:p w14:paraId="0A78404D" w14:textId="77777777" w:rsidR="00901BCA" w:rsidRDefault="00901BCA">
            <w:pPr>
              <w:pStyle w:val="BodyText"/>
              <w:rPr>
                <w:rFonts w:ascii="Arial" w:hAnsi="Arial" w:cs="Arial"/>
                <w:b/>
                <w:sz w:val="18"/>
                <w:szCs w:val="18"/>
                <w:vertAlign w:val="superscript"/>
                <w:lang w:eastAsia="en-GB"/>
              </w:rPr>
            </w:pPr>
            <w:r>
              <w:rPr>
                <w:rFonts w:ascii="Arial" w:hAnsi="Arial" w:cs="Arial"/>
                <w:b/>
                <w:sz w:val="18"/>
                <w:szCs w:val="18"/>
                <w:vertAlign w:val="superscript"/>
                <w:lang w:eastAsia="en-GB"/>
              </w:rPr>
              <w:t>proposed materials; surface water discharge and flow; fleet and deliveries etc.</w:t>
            </w:r>
          </w:p>
        </w:tc>
        <w:tc>
          <w:tcPr>
            <w:tcW w:w="1280" w:type="dxa"/>
            <w:tcBorders>
              <w:top w:val="nil"/>
              <w:left w:val="nil"/>
              <w:bottom w:val="single" w:sz="8" w:space="0" w:color="auto"/>
              <w:right w:val="single" w:sz="8" w:space="0" w:color="auto"/>
            </w:tcBorders>
            <w:tcMar>
              <w:top w:w="0" w:type="dxa"/>
              <w:left w:w="108" w:type="dxa"/>
              <w:bottom w:w="0" w:type="dxa"/>
              <w:right w:w="108" w:type="dxa"/>
            </w:tcMar>
          </w:tcPr>
          <w:p w14:paraId="424788C3" w14:textId="77777777" w:rsidR="00901BCA" w:rsidRDefault="00901BCA">
            <w:pPr>
              <w:spacing w:line="276" w:lineRule="auto"/>
              <w:jc w:val="center"/>
              <w:rPr>
                <w:rFonts w:ascii="Arial" w:eastAsiaTheme="minorHAnsi" w:hAnsi="Arial" w:cs="Arial"/>
                <w:b/>
                <w:bCs/>
                <w:sz w:val="18"/>
                <w:szCs w:val="18"/>
                <w:vertAlign w:val="superscript"/>
              </w:rPr>
            </w:pPr>
          </w:p>
          <w:p w14:paraId="4D5682EC" w14:textId="77777777" w:rsidR="00901BCA" w:rsidRDefault="00901BCA">
            <w:pPr>
              <w:spacing w:line="276" w:lineRule="auto"/>
              <w:jc w:val="center"/>
              <w:rPr>
                <w:rFonts w:ascii="Arial" w:eastAsiaTheme="minorHAnsi" w:hAnsi="Arial" w:cs="Arial"/>
                <w:b/>
                <w:bCs/>
                <w:sz w:val="18"/>
                <w:szCs w:val="18"/>
                <w:vertAlign w:val="superscript"/>
              </w:rPr>
            </w:pPr>
            <w:r>
              <w:rPr>
                <w:rFonts w:ascii="Arial" w:hAnsi="Arial" w:cs="Arial"/>
                <w:b/>
                <w:bCs/>
                <w:sz w:val="18"/>
                <w:szCs w:val="18"/>
                <w:vertAlign w:val="superscript"/>
                <w:lang w:eastAsia="en-GB"/>
              </w:rPr>
              <w:t>1</w:t>
            </w:r>
          </w:p>
        </w:tc>
        <w:tc>
          <w:tcPr>
            <w:tcW w:w="962" w:type="dxa"/>
            <w:tcBorders>
              <w:top w:val="nil"/>
              <w:left w:val="nil"/>
              <w:bottom w:val="single" w:sz="8" w:space="0" w:color="auto"/>
              <w:right w:val="single" w:sz="8" w:space="0" w:color="auto"/>
            </w:tcBorders>
            <w:tcMar>
              <w:top w:w="0" w:type="dxa"/>
              <w:left w:w="108" w:type="dxa"/>
              <w:bottom w:w="0" w:type="dxa"/>
              <w:right w:w="108" w:type="dxa"/>
            </w:tcMar>
          </w:tcPr>
          <w:p w14:paraId="0AE968A9" w14:textId="77777777" w:rsidR="00901BCA" w:rsidRDefault="00901BCA">
            <w:pPr>
              <w:spacing w:line="276" w:lineRule="auto"/>
              <w:jc w:val="center"/>
              <w:rPr>
                <w:rFonts w:ascii="Arial" w:eastAsiaTheme="minorHAnsi" w:hAnsi="Arial" w:cs="Arial"/>
                <w:b/>
                <w:sz w:val="18"/>
                <w:szCs w:val="18"/>
                <w:vertAlign w:val="superscript"/>
              </w:rPr>
            </w:pPr>
          </w:p>
          <w:p w14:paraId="3760D577" w14:textId="77777777" w:rsidR="00901BCA" w:rsidRDefault="00901BCA">
            <w:pPr>
              <w:spacing w:line="276" w:lineRule="auto"/>
              <w:jc w:val="center"/>
              <w:rPr>
                <w:rFonts w:ascii="Arial" w:eastAsiaTheme="minorHAnsi" w:hAnsi="Arial" w:cs="Arial"/>
                <w:b/>
                <w:sz w:val="18"/>
                <w:szCs w:val="18"/>
                <w:vertAlign w:val="superscript"/>
              </w:rPr>
            </w:pPr>
            <w:r>
              <w:rPr>
                <w:rFonts w:ascii="Arial" w:hAnsi="Arial" w:cs="Arial"/>
                <w:b/>
                <w:sz w:val="18"/>
                <w:szCs w:val="18"/>
                <w:vertAlign w:val="superscript"/>
                <w:lang w:eastAsia="en-GB"/>
              </w:rPr>
              <w:t>3</w:t>
            </w:r>
          </w:p>
        </w:tc>
        <w:tc>
          <w:tcPr>
            <w:tcW w:w="1184" w:type="dxa"/>
            <w:tcBorders>
              <w:top w:val="nil"/>
              <w:left w:val="nil"/>
              <w:bottom w:val="single" w:sz="8" w:space="0" w:color="auto"/>
              <w:right w:val="single" w:sz="8" w:space="0" w:color="auto"/>
            </w:tcBorders>
            <w:tcMar>
              <w:top w:w="0" w:type="dxa"/>
              <w:left w:w="108" w:type="dxa"/>
              <w:bottom w:w="0" w:type="dxa"/>
              <w:right w:w="108" w:type="dxa"/>
            </w:tcMar>
          </w:tcPr>
          <w:p w14:paraId="18EA074E" w14:textId="77777777" w:rsidR="00901BCA" w:rsidRDefault="00901BCA">
            <w:pPr>
              <w:spacing w:line="276" w:lineRule="auto"/>
              <w:jc w:val="center"/>
              <w:rPr>
                <w:rFonts w:ascii="Arial" w:eastAsiaTheme="minorHAnsi" w:hAnsi="Arial" w:cs="Arial"/>
                <w:b/>
                <w:sz w:val="18"/>
                <w:szCs w:val="18"/>
                <w:vertAlign w:val="superscript"/>
              </w:rPr>
            </w:pPr>
          </w:p>
          <w:p w14:paraId="65270357" w14:textId="77777777" w:rsidR="00901BCA" w:rsidRDefault="00901BCA">
            <w:pPr>
              <w:spacing w:line="276" w:lineRule="auto"/>
              <w:jc w:val="center"/>
              <w:rPr>
                <w:rFonts w:ascii="Arial" w:eastAsiaTheme="minorHAnsi" w:hAnsi="Arial" w:cs="Arial"/>
                <w:b/>
                <w:sz w:val="18"/>
                <w:szCs w:val="18"/>
                <w:vertAlign w:val="superscript"/>
              </w:rPr>
            </w:pPr>
            <w:r>
              <w:rPr>
                <w:rFonts w:ascii="Arial" w:hAnsi="Arial" w:cs="Arial"/>
                <w:b/>
                <w:sz w:val="18"/>
                <w:szCs w:val="18"/>
                <w:vertAlign w:val="superscript"/>
                <w:lang w:eastAsia="en-GB"/>
              </w:rPr>
              <w:t>3</w:t>
            </w:r>
          </w:p>
        </w:tc>
        <w:tc>
          <w:tcPr>
            <w:tcW w:w="690" w:type="dxa"/>
            <w:tcBorders>
              <w:top w:val="nil"/>
              <w:left w:val="nil"/>
              <w:bottom w:val="single" w:sz="8" w:space="0" w:color="auto"/>
              <w:right w:val="single" w:sz="8" w:space="0" w:color="auto"/>
            </w:tcBorders>
            <w:tcMar>
              <w:top w:w="0" w:type="dxa"/>
              <w:left w:w="108" w:type="dxa"/>
              <w:bottom w:w="0" w:type="dxa"/>
              <w:right w:w="108" w:type="dxa"/>
            </w:tcMar>
          </w:tcPr>
          <w:p w14:paraId="24B80FCD" w14:textId="77777777" w:rsidR="00901BCA" w:rsidRDefault="00901BCA">
            <w:pPr>
              <w:spacing w:line="276" w:lineRule="auto"/>
              <w:jc w:val="center"/>
              <w:rPr>
                <w:rFonts w:ascii="Arial" w:eastAsiaTheme="minorHAnsi" w:hAnsi="Arial" w:cs="Arial"/>
                <w:b/>
                <w:sz w:val="18"/>
                <w:szCs w:val="18"/>
                <w:vertAlign w:val="superscript"/>
              </w:rPr>
            </w:pPr>
          </w:p>
          <w:p w14:paraId="4442F43A" w14:textId="77777777" w:rsidR="00901BCA" w:rsidRDefault="00901BCA">
            <w:pPr>
              <w:spacing w:line="276" w:lineRule="auto"/>
              <w:jc w:val="center"/>
              <w:rPr>
                <w:rFonts w:ascii="Arial" w:eastAsiaTheme="minorHAnsi" w:hAnsi="Arial" w:cs="Arial"/>
                <w:b/>
                <w:sz w:val="18"/>
                <w:szCs w:val="18"/>
                <w:vertAlign w:val="superscript"/>
              </w:rPr>
            </w:pPr>
            <w:r>
              <w:rPr>
                <w:rFonts w:ascii="Arial" w:hAnsi="Arial" w:cs="Arial"/>
                <w:b/>
                <w:sz w:val="18"/>
                <w:szCs w:val="18"/>
                <w:vertAlign w:val="superscript"/>
                <w:lang w:eastAsia="en-GB"/>
              </w:rPr>
              <w:t>5</w:t>
            </w:r>
          </w:p>
        </w:tc>
        <w:tc>
          <w:tcPr>
            <w:tcW w:w="695" w:type="dxa"/>
            <w:tcBorders>
              <w:top w:val="nil"/>
              <w:left w:val="nil"/>
              <w:bottom w:val="single" w:sz="8" w:space="0" w:color="auto"/>
              <w:right w:val="single" w:sz="8" w:space="0" w:color="auto"/>
            </w:tcBorders>
            <w:tcMar>
              <w:top w:w="0" w:type="dxa"/>
              <w:left w:w="108" w:type="dxa"/>
              <w:bottom w:w="0" w:type="dxa"/>
              <w:right w:w="108" w:type="dxa"/>
            </w:tcMar>
          </w:tcPr>
          <w:p w14:paraId="57A03D38" w14:textId="77777777" w:rsidR="00901BCA" w:rsidRDefault="00901BCA">
            <w:pPr>
              <w:spacing w:line="276" w:lineRule="auto"/>
              <w:jc w:val="center"/>
              <w:rPr>
                <w:rFonts w:ascii="Arial" w:eastAsiaTheme="minorHAnsi" w:hAnsi="Arial" w:cs="Arial"/>
                <w:b/>
                <w:sz w:val="18"/>
                <w:szCs w:val="18"/>
                <w:vertAlign w:val="superscript"/>
              </w:rPr>
            </w:pPr>
          </w:p>
          <w:p w14:paraId="3959799E" w14:textId="77777777" w:rsidR="00901BCA" w:rsidRDefault="00901BCA">
            <w:pPr>
              <w:spacing w:line="276" w:lineRule="auto"/>
              <w:jc w:val="center"/>
              <w:rPr>
                <w:rFonts w:ascii="Arial" w:eastAsiaTheme="minorHAnsi" w:hAnsi="Arial" w:cs="Arial"/>
                <w:b/>
                <w:sz w:val="18"/>
                <w:szCs w:val="18"/>
                <w:vertAlign w:val="superscript"/>
              </w:rPr>
            </w:pPr>
          </w:p>
        </w:tc>
      </w:tr>
      <w:tr w:rsidR="00901BCA" w14:paraId="67F0233F" w14:textId="77777777">
        <w:trPr>
          <w:trHeight w:val="605"/>
        </w:trPr>
        <w:tc>
          <w:tcPr>
            <w:tcW w:w="3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EF04E1" w14:textId="77777777" w:rsidR="00901BCA" w:rsidRDefault="00901BCA">
            <w:pPr>
              <w:pStyle w:val="BodyText"/>
              <w:rPr>
                <w:rFonts w:ascii="Arial" w:hAnsi="Arial" w:cs="Arial"/>
                <w:b/>
                <w:sz w:val="18"/>
                <w:szCs w:val="18"/>
                <w:vertAlign w:val="superscript"/>
                <w:lang w:eastAsia="en-GB"/>
              </w:rPr>
            </w:pPr>
            <w:r>
              <w:rPr>
                <w:rFonts w:ascii="Arial" w:hAnsi="Arial" w:cs="Arial"/>
                <w:b/>
                <w:sz w:val="18"/>
                <w:szCs w:val="18"/>
                <w:vertAlign w:val="superscript"/>
                <w:lang w:eastAsia="en-GB"/>
              </w:rPr>
              <w:t xml:space="preserve">Total </w:t>
            </w:r>
          </w:p>
        </w:tc>
        <w:tc>
          <w:tcPr>
            <w:tcW w:w="1280" w:type="dxa"/>
            <w:tcBorders>
              <w:top w:val="nil"/>
              <w:left w:val="nil"/>
              <w:bottom w:val="single" w:sz="8" w:space="0" w:color="auto"/>
              <w:right w:val="single" w:sz="8" w:space="0" w:color="auto"/>
            </w:tcBorders>
            <w:tcMar>
              <w:top w:w="0" w:type="dxa"/>
              <w:left w:w="108" w:type="dxa"/>
              <w:bottom w:w="0" w:type="dxa"/>
              <w:right w:w="108" w:type="dxa"/>
            </w:tcMar>
          </w:tcPr>
          <w:p w14:paraId="389B0966" w14:textId="77777777" w:rsidR="00901BCA" w:rsidRDefault="00901BCA">
            <w:pPr>
              <w:spacing w:line="276" w:lineRule="auto"/>
              <w:jc w:val="center"/>
              <w:rPr>
                <w:rFonts w:ascii="Arial" w:eastAsiaTheme="minorHAnsi" w:hAnsi="Arial" w:cs="Arial"/>
                <w:b/>
                <w:bCs/>
                <w:sz w:val="18"/>
                <w:szCs w:val="18"/>
                <w:vertAlign w:val="superscript"/>
              </w:rPr>
            </w:pPr>
          </w:p>
        </w:tc>
        <w:tc>
          <w:tcPr>
            <w:tcW w:w="962" w:type="dxa"/>
            <w:tcBorders>
              <w:top w:val="nil"/>
              <w:left w:val="nil"/>
              <w:bottom w:val="single" w:sz="8" w:space="0" w:color="auto"/>
              <w:right w:val="single" w:sz="8" w:space="0" w:color="auto"/>
            </w:tcBorders>
            <w:tcMar>
              <w:top w:w="0" w:type="dxa"/>
              <w:left w:w="108" w:type="dxa"/>
              <w:bottom w:w="0" w:type="dxa"/>
              <w:right w:w="108" w:type="dxa"/>
            </w:tcMar>
          </w:tcPr>
          <w:p w14:paraId="2EC469D8" w14:textId="77777777" w:rsidR="00901BCA" w:rsidRDefault="00901BCA">
            <w:pPr>
              <w:spacing w:line="276" w:lineRule="auto"/>
              <w:jc w:val="center"/>
              <w:rPr>
                <w:rFonts w:ascii="Arial" w:eastAsiaTheme="minorHAnsi" w:hAnsi="Arial" w:cs="Arial"/>
                <w:b/>
                <w:sz w:val="18"/>
                <w:szCs w:val="18"/>
                <w:vertAlign w:val="superscript"/>
              </w:rPr>
            </w:pPr>
          </w:p>
        </w:tc>
        <w:tc>
          <w:tcPr>
            <w:tcW w:w="1184" w:type="dxa"/>
            <w:tcBorders>
              <w:top w:val="nil"/>
              <w:left w:val="nil"/>
              <w:bottom w:val="single" w:sz="8" w:space="0" w:color="auto"/>
              <w:right w:val="single" w:sz="8" w:space="0" w:color="auto"/>
            </w:tcBorders>
            <w:tcMar>
              <w:top w:w="0" w:type="dxa"/>
              <w:left w:w="108" w:type="dxa"/>
              <w:bottom w:w="0" w:type="dxa"/>
              <w:right w:w="108" w:type="dxa"/>
            </w:tcMar>
            <w:hideMark/>
          </w:tcPr>
          <w:p w14:paraId="401D4A80" w14:textId="77777777" w:rsidR="00901BCA" w:rsidRDefault="00901BCA">
            <w:pPr>
              <w:spacing w:line="276" w:lineRule="auto"/>
              <w:jc w:val="center"/>
              <w:rPr>
                <w:rFonts w:ascii="Arial" w:eastAsiaTheme="minorHAnsi" w:hAnsi="Arial" w:cs="Arial"/>
                <w:b/>
                <w:sz w:val="18"/>
                <w:szCs w:val="18"/>
                <w:vertAlign w:val="superscript"/>
              </w:rPr>
            </w:pPr>
            <w:r>
              <w:rPr>
                <w:rFonts w:ascii="Arial" w:hAnsi="Arial" w:cs="Arial"/>
                <w:b/>
                <w:sz w:val="18"/>
                <w:szCs w:val="18"/>
                <w:vertAlign w:val="superscript"/>
                <w:lang w:eastAsia="en-GB"/>
              </w:rPr>
              <w:t>18</w:t>
            </w:r>
          </w:p>
        </w:tc>
        <w:tc>
          <w:tcPr>
            <w:tcW w:w="690" w:type="dxa"/>
            <w:tcBorders>
              <w:top w:val="nil"/>
              <w:left w:val="nil"/>
              <w:bottom w:val="single" w:sz="8" w:space="0" w:color="auto"/>
              <w:right w:val="single" w:sz="8" w:space="0" w:color="auto"/>
            </w:tcBorders>
            <w:tcMar>
              <w:top w:w="0" w:type="dxa"/>
              <w:left w:w="108" w:type="dxa"/>
              <w:bottom w:w="0" w:type="dxa"/>
              <w:right w:w="108" w:type="dxa"/>
            </w:tcMar>
            <w:hideMark/>
          </w:tcPr>
          <w:p w14:paraId="3EBFF1D5" w14:textId="77777777" w:rsidR="00901BCA" w:rsidRDefault="00901BCA">
            <w:pPr>
              <w:spacing w:line="276" w:lineRule="auto"/>
              <w:jc w:val="center"/>
              <w:rPr>
                <w:rFonts w:ascii="Arial" w:eastAsiaTheme="minorHAnsi" w:hAnsi="Arial" w:cs="Arial"/>
                <w:b/>
                <w:sz w:val="18"/>
                <w:szCs w:val="18"/>
                <w:vertAlign w:val="superscript"/>
              </w:rPr>
            </w:pPr>
            <w:r>
              <w:rPr>
                <w:rFonts w:ascii="Arial" w:hAnsi="Arial" w:cs="Arial"/>
                <w:b/>
                <w:sz w:val="18"/>
                <w:szCs w:val="18"/>
                <w:vertAlign w:val="superscript"/>
                <w:lang w:eastAsia="en-GB"/>
              </w:rPr>
              <w:t>30</w:t>
            </w:r>
          </w:p>
        </w:tc>
        <w:tc>
          <w:tcPr>
            <w:tcW w:w="695" w:type="dxa"/>
            <w:tcBorders>
              <w:top w:val="nil"/>
              <w:left w:val="nil"/>
              <w:bottom w:val="single" w:sz="8" w:space="0" w:color="auto"/>
              <w:right w:val="single" w:sz="8" w:space="0" w:color="auto"/>
            </w:tcBorders>
            <w:tcMar>
              <w:top w:w="0" w:type="dxa"/>
              <w:left w:w="108" w:type="dxa"/>
              <w:bottom w:w="0" w:type="dxa"/>
              <w:right w:w="108" w:type="dxa"/>
            </w:tcMar>
            <w:hideMark/>
          </w:tcPr>
          <w:p w14:paraId="64AD5058" w14:textId="77777777" w:rsidR="00901BCA" w:rsidRDefault="00901BCA">
            <w:pPr>
              <w:spacing w:line="276" w:lineRule="auto"/>
              <w:jc w:val="center"/>
              <w:rPr>
                <w:rFonts w:ascii="Arial" w:eastAsiaTheme="minorHAnsi" w:hAnsi="Arial" w:cs="Arial"/>
                <w:b/>
                <w:sz w:val="18"/>
                <w:szCs w:val="18"/>
                <w:vertAlign w:val="superscript"/>
              </w:rPr>
            </w:pPr>
            <w:r>
              <w:rPr>
                <w:rFonts w:ascii="Arial" w:hAnsi="Arial" w:cs="Arial"/>
                <w:b/>
                <w:sz w:val="18"/>
                <w:szCs w:val="18"/>
                <w:vertAlign w:val="superscript"/>
                <w:lang w:eastAsia="en-GB"/>
              </w:rPr>
              <w:t>30%</w:t>
            </w:r>
          </w:p>
        </w:tc>
      </w:tr>
    </w:tbl>
    <w:p w14:paraId="02851B94" w14:textId="77777777" w:rsidR="00901BCA" w:rsidRDefault="00901BCA" w:rsidP="00901BCA">
      <w:pPr>
        <w:pStyle w:val="BodyText"/>
      </w:pPr>
    </w:p>
    <w:p w14:paraId="016CAE88" w14:textId="77777777" w:rsidR="00901BCA" w:rsidRDefault="00901BCA" w:rsidP="00901BCA">
      <w:pPr>
        <w:pStyle w:val="BodyText"/>
      </w:pPr>
    </w:p>
    <w:p w14:paraId="0A1B5E1D" w14:textId="77777777" w:rsidR="00901BCA" w:rsidRDefault="00901BCA" w:rsidP="00901BCA">
      <w:pPr>
        <w:pStyle w:val="BodyText"/>
      </w:pPr>
    </w:p>
    <w:p w14:paraId="477FC1A0" w14:textId="77777777" w:rsidR="00901BCA" w:rsidRDefault="00901BCA" w:rsidP="00901BCA">
      <w:pPr>
        <w:pStyle w:val="BodyText"/>
      </w:pPr>
    </w:p>
    <w:p w14:paraId="0B33EE33" w14:textId="77777777" w:rsidR="00901BCA" w:rsidRDefault="00901BCA" w:rsidP="00901BCA">
      <w:pPr>
        <w:pStyle w:val="BodyText"/>
      </w:pPr>
    </w:p>
    <w:p w14:paraId="6245C130" w14:textId="77777777" w:rsidR="00901BCA" w:rsidRDefault="00901BCA" w:rsidP="00901BCA">
      <w:pPr>
        <w:pStyle w:val="BodyText"/>
      </w:pPr>
    </w:p>
    <w:tbl>
      <w:tblPr>
        <w:tblpPr w:leftFromText="180" w:rightFromText="180" w:bottomFromText="200" w:vertAnchor="text"/>
        <w:tblW w:w="7720" w:type="dxa"/>
        <w:tblCellMar>
          <w:left w:w="0" w:type="dxa"/>
          <w:right w:w="0" w:type="dxa"/>
        </w:tblCellMar>
        <w:tblLook w:val="04A0" w:firstRow="1" w:lastRow="0" w:firstColumn="1" w:lastColumn="0" w:noHBand="0" w:noVBand="1"/>
      </w:tblPr>
      <w:tblGrid>
        <w:gridCol w:w="655"/>
        <w:gridCol w:w="7065"/>
      </w:tblGrid>
      <w:tr w:rsidR="00901BCA" w14:paraId="6D5476F2" w14:textId="77777777">
        <w:trPr>
          <w:trHeight w:val="255"/>
        </w:trPr>
        <w:tc>
          <w:tcPr>
            <w:tcW w:w="655"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hideMark/>
          </w:tcPr>
          <w:p w14:paraId="29114427" w14:textId="77777777" w:rsidR="00901BCA" w:rsidRDefault="00901BCA">
            <w:pPr>
              <w:spacing w:line="276" w:lineRule="auto"/>
              <w:rPr>
                <w:rFonts w:ascii="Arial" w:eastAsiaTheme="minorHAnsi" w:hAnsi="Arial" w:cs="Arial"/>
                <w:b/>
                <w:bCs/>
                <w:szCs w:val="22"/>
                <w:vertAlign w:val="superscript"/>
              </w:rPr>
            </w:pPr>
            <w:r>
              <w:rPr>
                <w:rFonts w:ascii="Arial" w:hAnsi="Arial" w:cs="Arial"/>
                <w:b/>
                <w:bCs/>
                <w:vertAlign w:val="superscript"/>
                <w:lang w:val="en-US"/>
              </w:rPr>
              <w:lastRenderedPageBreak/>
              <w:t>Score</w:t>
            </w:r>
          </w:p>
        </w:tc>
        <w:tc>
          <w:tcPr>
            <w:tcW w:w="7065" w:type="dxa"/>
            <w:tcBorders>
              <w:top w:val="single" w:sz="8" w:space="0" w:color="auto"/>
              <w:left w:val="nil"/>
              <w:bottom w:val="single" w:sz="8" w:space="0" w:color="auto"/>
              <w:right w:val="single" w:sz="8" w:space="0" w:color="auto"/>
            </w:tcBorders>
            <w:tcMar>
              <w:top w:w="20" w:type="dxa"/>
              <w:left w:w="20" w:type="dxa"/>
              <w:bottom w:w="0" w:type="dxa"/>
              <w:right w:w="20" w:type="dxa"/>
            </w:tcMar>
            <w:hideMark/>
          </w:tcPr>
          <w:p w14:paraId="16704D5C" w14:textId="77777777" w:rsidR="00901BCA" w:rsidRDefault="00901BCA">
            <w:pPr>
              <w:spacing w:line="276" w:lineRule="auto"/>
              <w:rPr>
                <w:rFonts w:ascii="Arial" w:eastAsiaTheme="minorHAnsi" w:hAnsi="Arial" w:cs="Arial"/>
                <w:b/>
                <w:bCs/>
                <w:szCs w:val="22"/>
                <w:vertAlign w:val="superscript"/>
              </w:rPr>
            </w:pPr>
            <w:r>
              <w:rPr>
                <w:rFonts w:ascii="Arial" w:hAnsi="Arial" w:cs="Arial"/>
                <w:b/>
                <w:bCs/>
                <w:vertAlign w:val="superscript"/>
                <w:lang w:val="en-US"/>
              </w:rPr>
              <w:t xml:space="preserve">Criterion for Method Statements  </w:t>
            </w:r>
          </w:p>
        </w:tc>
      </w:tr>
      <w:tr w:rsidR="00901BCA" w14:paraId="17AD9BEF" w14:textId="77777777">
        <w:trPr>
          <w:trHeight w:val="255"/>
        </w:trPr>
        <w:tc>
          <w:tcPr>
            <w:tcW w:w="655" w:type="dxa"/>
            <w:tcBorders>
              <w:top w:val="nil"/>
              <w:left w:val="single" w:sz="8" w:space="0" w:color="auto"/>
              <w:bottom w:val="single" w:sz="8" w:space="0" w:color="auto"/>
              <w:right w:val="single" w:sz="8" w:space="0" w:color="auto"/>
            </w:tcBorders>
            <w:tcMar>
              <w:top w:w="20" w:type="dxa"/>
              <w:left w:w="20" w:type="dxa"/>
              <w:bottom w:w="0" w:type="dxa"/>
              <w:right w:w="20" w:type="dxa"/>
            </w:tcMar>
            <w:hideMark/>
          </w:tcPr>
          <w:p w14:paraId="5C64086A" w14:textId="77777777" w:rsidR="00901BCA" w:rsidRDefault="00901BCA">
            <w:pPr>
              <w:spacing w:line="276" w:lineRule="auto"/>
              <w:jc w:val="right"/>
              <w:rPr>
                <w:rFonts w:ascii="Arial" w:eastAsiaTheme="minorHAnsi" w:hAnsi="Arial" w:cs="Arial"/>
                <w:b/>
                <w:bCs/>
                <w:szCs w:val="22"/>
                <w:vertAlign w:val="superscript"/>
              </w:rPr>
            </w:pPr>
            <w:r>
              <w:rPr>
                <w:rFonts w:ascii="Arial" w:hAnsi="Arial" w:cs="Arial"/>
                <w:b/>
                <w:bCs/>
                <w:vertAlign w:val="superscript"/>
                <w:lang w:val="en-US"/>
              </w:rPr>
              <w:t>0</w:t>
            </w:r>
          </w:p>
        </w:tc>
        <w:tc>
          <w:tcPr>
            <w:tcW w:w="7065" w:type="dxa"/>
            <w:tcBorders>
              <w:top w:val="nil"/>
              <w:left w:val="nil"/>
              <w:bottom w:val="single" w:sz="8" w:space="0" w:color="auto"/>
              <w:right w:val="single" w:sz="8" w:space="0" w:color="auto"/>
            </w:tcBorders>
            <w:tcMar>
              <w:top w:w="20" w:type="dxa"/>
              <w:left w:w="20" w:type="dxa"/>
              <w:bottom w:w="0" w:type="dxa"/>
              <w:right w:w="20" w:type="dxa"/>
            </w:tcMar>
            <w:hideMark/>
          </w:tcPr>
          <w:p w14:paraId="04A3B6EF" w14:textId="77777777" w:rsidR="00901BCA" w:rsidRDefault="00901BCA">
            <w:pPr>
              <w:spacing w:line="276" w:lineRule="auto"/>
              <w:rPr>
                <w:rFonts w:ascii="Arial" w:eastAsiaTheme="minorHAnsi" w:hAnsi="Arial" w:cs="Arial"/>
                <w:b/>
                <w:bCs/>
                <w:szCs w:val="22"/>
                <w:vertAlign w:val="superscript"/>
              </w:rPr>
            </w:pPr>
            <w:r>
              <w:rPr>
                <w:rFonts w:ascii="Arial" w:hAnsi="Arial" w:cs="Arial"/>
                <w:b/>
                <w:vertAlign w:val="superscript"/>
                <w:lang w:val="en-US"/>
              </w:rPr>
              <w:t>Failed to submit a method statement or address the question in full</w:t>
            </w:r>
          </w:p>
        </w:tc>
      </w:tr>
      <w:tr w:rsidR="00901BCA" w14:paraId="3C7DEDDF" w14:textId="77777777">
        <w:trPr>
          <w:trHeight w:val="480"/>
        </w:trPr>
        <w:tc>
          <w:tcPr>
            <w:tcW w:w="655" w:type="dxa"/>
            <w:tcBorders>
              <w:top w:val="nil"/>
              <w:left w:val="single" w:sz="8" w:space="0" w:color="auto"/>
              <w:bottom w:val="single" w:sz="8" w:space="0" w:color="auto"/>
              <w:right w:val="single" w:sz="8" w:space="0" w:color="auto"/>
            </w:tcBorders>
            <w:tcMar>
              <w:top w:w="20" w:type="dxa"/>
              <w:left w:w="20" w:type="dxa"/>
              <w:bottom w:w="0" w:type="dxa"/>
              <w:right w:w="20" w:type="dxa"/>
            </w:tcMar>
            <w:hideMark/>
          </w:tcPr>
          <w:p w14:paraId="7A43E0A2" w14:textId="77777777" w:rsidR="00901BCA" w:rsidRDefault="00901BCA">
            <w:pPr>
              <w:spacing w:line="276" w:lineRule="auto"/>
              <w:jc w:val="right"/>
              <w:rPr>
                <w:rFonts w:ascii="Arial" w:eastAsiaTheme="minorHAnsi" w:hAnsi="Arial" w:cs="Arial"/>
                <w:b/>
                <w:bCs/>
                <w:szCs w:val="22"/>
                <w:vertAlign w:val="superscript"/>
              </w:rPr>
            </w:pPr>
            <w:r>
              <w:rPr>
                <w:rFonts w:ascii="Arial" w:hAnsi="Arial" w:cs="Arial"/>
                <w:b/>
                <w:bCs/>
                <w:vertAlign w:val="superscript"/>
                <w:lang w:val="en-US"/>
              </w:rPr>
              <w:t>1</w:t>
            </w:r>
          </w:p>
        </w:tc>
        <w:tc>
          <w:tcPr>
            <w:tcW w:w="7065" w:type="dxa"/>
            <w:tcBorders>
              <w:top w:val="nil"/>
              <w:left w:val="nil"/>
              <w:bottom w:val="single" w:sz="8" w:space="0" w:color="auto"/>
              <w:right w:val="single" w:sz="8" w:space="0" w:color="auto"/>
            </w:tcBorders>
            <w:tcMar>
              <w:top w:w="20" w:type="dxa"/>
              <w:left w:w="20" w:type="dxa"/>
              <w:bottom w:w="0" w:type="dxa"/>
              <w:right w:w="20" w:type="dxa"/>
            </w:tcMar>
            <w:hideMark/>
          </w:tcPr>
          <w:p w14:paraId="190DABA1" w14:textId="77777777" w:rsidR="00901BCA" w:rsidRDefault="00901BCA">
            <w:pPr>
              <w:spacing w:line="276" w:lineRule="auto"/>
              <w:rPr>
                <w:rFonts w:ascii="Arial" w:eastAsiaTheme="minorHAnsi" w:hAnsi="Arial" w:cs="Arial"/>
                <w:b/>
                <w:szCs w:val="22"/>
                <w:vertAlign w:val="superscript"/>
              </w:rPr>
            </w:pPr>
            <w:r>
              <w:rPr>
                <w:rFonts w:ascii="Arial" w:hAnsi="Arial" w:cs="Arial"/>
                <w:b/>
                <w:vertAlign w:val="superscript"/>
                <w:lang w:val="en-US"/>
              </w:rPr>
              <w:t xml:space="preserve">A detrimental answer - a limited answer with poor supporting evidence, which lacks clarity. </w:t>
            </w:r>
          </w:p>
        </w:tc>
      </w:tr>
      <w:tr w:rsidR="00901BCA" w14:paraId="5FC3A4A2" w14:textId="77777777">
        <w:trPr>
          <w:trHeight w:val="480"/>
        </w:trPr>
        <w:tc>
          <w:tcPr>
            <w:tcW w:w="655" w:type="dxa"/>
            <w:tcBorders>
              <w:top w:val="nil"/>
              <w:left w:val="single" w:sz="8" w:space="0" w:color="auto"/>
              <w:bottom w:val="single" w:sz="8" w:space="0" w:color="auto"/>
              <w:right w:val="single" w:sz="8" w:space="0" w:color="auto"/>
            </w:tcBorders>
            <w:tcMar>
              <w:top w:w="20" w:type="dxa"/>
              <w:left w:w="20" w:type="dxa"/>
              <w:bottom w:w="0" w:type="dxa"/>
              <w:right w:w="20" w:type="dxa"/>
            </w:tcMar>
            <w:hideMark/>
          </w:tcPr>
          <w:p w14:paraId="461B4832" w14:textId="77777777" w:rsidR="00901BCA" w:rsidRDefault="00901BCA">
            <w:pPr>
              <w:spacing w:line="276" w:lineRule="auto"/>
              <w:jc w:val="right"/>
              <w:rPr>
                <w:rFonts w:ascii="Arial" w:eastAsiaTheme="minorHAnsi" w:hAnsi="Arial" w:cs="Arial"/>
                <w:b/>
                <w:bCs/>
                <w:szCs w:val="22"/>
                <w:vertAlign w:val="superscript"/>
              </w:rPr>
            </w:pPr>
            <w:r>
              <w:rPr>
                <w:rFonts w:ascii="Arial" w:hAnsi="Arial" w:cs="Arial"/>
                <w:b/>
                <w:bCs/>
                <w:vertAlign w:val="superscript"/>
                <w:lang w:val="en-US"/>
              </w:rPr>
              <w:t>2</w:t>
            </w:r>
          </w:p>
        </w:tc>
        <w:tc>
          <w:tcPr>
            <w:tcW w:w="7065" w:type="dxa"/>
            <w:tcBorders>
              <w:top w:val="nil"/>
              <w:left w:val="nil"/>
              <w:bottom w:val="single" w:sz="8" w:space="0" w:color="auto"/>
              <w:right w:val="single" w:sz="8" w:space="0" w:color="auto"/>
            </w:tcBorders>
            <w:tcMar>
              <w:top w:w="20" w:type="dxa"/>
              <w:left w:w="20" w:type="dxa"/>
              <w:bottom w:w="0" w:type="dxa"/>
              <w:right w:w="20" w:type="dxa"/>
            </w:tcMar>
            <w:hideMark/>
          </w:tcPr>
          <w:p w14:paraId="1FAD8B3F" w14:textId="77777777" w:rsidR="00901BCA" w:rsidRDefault="00901BCA">
            <w:pPr>
              <w:spacing w:line="276" w:lineRule="auto"/>
              <w:rPr>
                <w:rFonts w:ascii="Arial" w:eastAsiaTheme="minorHAnsi" w:hAnsi="Arial" w:cs="Arial"/>
                <w:b/>
                <w:szCs w:val="22"/>
                <w:vertAlign w:val="superscript"/>
              </w:rPr>
            </w:pPr>
            <w:r>
              <w:rPr>
                <w:rFonts w:ascii="Arial" w:hAnsi="Arial" w:cs="Arial"/>
                <w:b/>
                <w:vertAlign w:val="superscript"/>
                <w:lang w:val="en-US"/>
              </w:rPr>
              <w:t xml:space="preserve">Answer meets some, but not </w:t>
            </w:r>
            <w:proofErr w:type="gramStart"/>
            <w:r>
              <w:rPr>
                <w:rFonts w:ascii="Arial" w:hAnsi="Arial" w:cs="Arial"/>
                <w:b/>
                <w:vertAlign w:val="superscript"/>
                <w:lang w:val="en-US"/>
              </w:rPr>
              <w:t>all of</w:t>
            </w:r>
            <w:proofErr w:type="gramEnd"/>
            <w:r>
              <w:rPr>
                <w:rFonts w:ascii="Arial" w:hAnsi="Arial" w:cs="Arial"/>
                <w:b/>
                <w:vertAlign w:val="superscript"/>
                <w:lang w:val="en-US"/>
              </w:rPr>
              <w:t xml:space="preserve"> the method statement question. In part, lacks convincing evidence and understanding of the requirement. </w:t>
            </w:r>
          </w:p>
        </w:tc>
      </w:tr>
      <w:tr w:rsidR="00901BCA" w14:paraId="46586803" w14:textId="77777777">
        <w:trPr>
          <w:trHeight w:val="255"/>
        </w:trPr>
        <w:tc>
          <w:tcPr>
            <w:tcW w:w="655" w:type="dxa"/>
            <w:tcBorders>
              <w:top w:val="nil"/>
              <w:left w:val="single" w:sz="8" w:space="0" w:color="auto"/>
              <w:bottom w:val="single" w:sz="8" w:space="0" w:color="auto"/>
              <w:right w:val="single" w:sz="8" w:space="0" w:color="auto"/>
            </w:tcBorders>
            <w:tcMar>
              <w:top w:w="20" w:type="dxa"/>
              <w:left w:w="20" w:type="dxa"/>
              <w:bottom w:w="0" w:type="dxa"/>
              <w:right w:w="20" w:type="dxa"/>
            </w:tcMar>
            <w:hideMark/>
          </w:tcPr>
          <w:p w14:paraId="6F8FD642" w14:textId="77777777" w:rsidR="00901BCA" w:rsidRDefault="00901BCA">
            <w:pPr>
              <w:spacing w:line="276" w:lineRule="auto"/>
              <w:jc w:val="right"/>
              <w:rPr>
                <w:rFonts w:ascii="Arial" w:eastAsiaTheme="minorHAnsi" w:hAnsi="Arial" w:cs="Arial"/>
                <w:b/>
                <w:bCs/>
                <w:szCs w:val="22"/>
                <w:vertAlign w:val="superscript"/>
              </w:rPr>
            </w:pPr>
            <w:r>
              <w:rPr>
                <w:rFonts w:ascii="Arial" w:hAnsi="Arial" w:cs="Arial"/>
                <w:b/>
                <w:bCs/>
                <w:vertAlign w:val="superscript"/>
                <w:lang w:val="en-US"/>
              </w:rPr>
              <w:t>3</w:t>
            </w:r>
          </w:p>
        </w:tc>
        <w:tc>
          <w:tcPr>
            <w:tcW w:w="7065" w:type="dxa"/>
            <w:tcBorders>
              <w:top w:val="nil"/>
              <w:left w:val="nil"/>
              <w:bottom w:val="single" w:sz="8" w:space="0" w:color="auto"/>
              <w:right w:val="single" w:sz="8" w:space="0" w:color="auto"/>
            </w:tcBorders>
            <w:tcMar>
              <w:top w:w="20" w:type="dxa"/>
              <w:left w:w="20" w:type="dxa"/>
              <w:bottom w:w="0" w:type="dxa"/>
              <w:right w:w="20" w:type="dxa"/>
            </w:tcMar>
            <w:hideMark/>
          </w:tcPr>
          <w:p w14:paraId="7C1B8208" w14:textId="77777777" w:rsidR="00901BCA" w:rsidRDefault="00901BCA">
            <w:pPr>
              <w:spacing w:line="276" w:lineRule="auto"/>
              <w:rPr>
                <w:rFonts w:ascii="Arial" w:eastAsiaTheme="minorHAnsi" w:hAnsi="Arial" w:cs="Arial"/>
                <w:b/>
                <w:szCs w:val="22"/>
                <w:vertAlign w:val="superscript"/>
              </w:rPr>
            </w:pPr>
            <w:r>
              <w:rPr>
                <w:rFonts w:ascii="Arial" w:hAnsi="Arial" w:cs="Arial"/>
                <w:b/>
                <w:vertAlign w:val="superscript"/>
                <w:lang w:val="en-US"/>
              </w:rPr>
              <w:t xml:space="preserve">Acceptable answer to the method statement. Answer is comprehensible. </w:t>
            </w:r>
          </w:p>
        </w:tc>
      </w:tr>
      <w:tr w:rsidR="00901BCA" w14:paraId="173A5941" w14:textId="77777777">
        <w:trPr>
          <w:trHeight w:val="480"/>
        </w:trPr>
        <w:tc>
          <w:tcPr>
            <w:tcW w:w="655" w:type="dxa"/>
            <w:tcBorders>
              <w:top w:val="nil"/>
              <w:left w:val="single" w:sz="8" w:space="0" w:color="auto"/>
              <w:bottom w:val="single" w:sz="8" w:space="0" w:color="auto"/>
              <w:right w:val="single" w:sz="8" w:space="0" w:color="auto"/>
            </w:tcBorders>
            <w:tcMar>
              <w:top w:w="20" w:type="dxa"/>
              <w:left w:w="20" w:type="dxa"/>
              <w:bottom w:w="0" w:type="dxa"/>
              <w:right w:w="20" w:type="dxa"/>
            </w:tcMar>
            <w:hideMark/>
          </w:tcPr>
          <w:p w14:paraId="489B25B6" w14:textId="77777777" w:rsidR="00901BCA" w:rsidRDefault="00901BCA">
            <w:pPr>
              <w:spacing w:line="276" w:lineRule="auto"/>
              <w:jc w:val="right"/>
              <w:rPr>
                <w:rFonts w:ascii="Arial" w:eastAsiaTheme="minorHAnsi" w:hAnsi="Arial" w:cs="Arial"/>
                <w:b/>
                <w:bCs/>
                <w:szCs w:val="22"/>
                <w:vertAlign w:val="superscript"/>
              </w:rPr>
            </w:pPr>
            <w:r>
              <w:rPr>
                <w:rFonts w:ascii="Arial" w:hAnsi="Arial" w:cs="Arial"/>
                <w:b/>
                <w:bCs/>
                <w:vertAlign w:val="superscript"/>
                <w:lang w:val="en-US"/>
              </w:rPr>
              <w:t>4</w:t>
            </w:r>
          </w:p>
        </w:tc>
        <w:tc>
          <w:tcPr>
            <w:tcW w:w="7065" w:type="dxa"/>
            <w:tcBorders>
              <w:top w:val="nil"/>
              <w:left w:val="nil"/>
              <w:bottom w:val="single" w:sz="8" w:space="0" w:color="auto"/>
              <w:right w:val="single" w:sz="8" w:space="0" w:color="auto"/>
            </w:tcBorders>
            <w:tcMar>
              <w:top w:w="20" w:type="dxa"/>
              <w:left w:w="20" w:type="dxa"/>
              <w:bottom w:w="0" w:type="dxa"/>
              <w:right w:w="20" w:type="dxa"/>
            </w:tcMar>
            <w:hideMark/>
          </w:tcPr>
          <w:p w14:paraId="0302A32B" w14:textId="77777777" w:rsidR="00901BCA" w:rsidRDefault="00901BCA">
            <w:pPr>
              <w:spacing w:line="276" w:lineRule="auto"/>
              <w:rPr>
                <w:rFonts w:ascii="Arial" w:eastAsiaTheme="minorHAnsi" w:hAnsi="Arial" w:cs="Arial"/>
                <w:b/>
                <w:szCs w:val="22"/>
                <w:vertAlign w:val="superscript"/>
              </w:rPr>
            </w:pPr>
            <w:r>
              <w:rPr>
                <w:rFonts w:ascii="Arial" w:hAnsi="Arial" w:cs="Arial"/>
                <w:b/>
                <w:vertAlign w:val="superscript"/>
                <w:lang w:val="en-US"/>
              </w:rPr>
              <w:t xml:space="preserve">Above acceptable - answer demonstrates real understanding and gives much more detail to the method statement. </w:t>
            </w:r>
          </w:p>
        </w:tc>
      </w:tr>
      <w:tr w:rsidR="00901BCA" w14:paraId="7CFE20AD" w14:textId="77777777">
        <w:trPr>
          <w:trHeight w:val="720"/>
        </w:trPr>
        <w:tc>
          <w:tcPr>
            <w:tcW w:w="655" w:type="dxa"/>
            <w:tcBorders>
              <w:top w:val="nil"/>
              <w:left w:val="single" w:sz="8" w:space="0" w:color="auto"/>
              <w:bottom w:val="single" w:sz="8" w:space="0" w:color="auto"/>
              <w:right w:val="single" w:sz="8" w:space="0" w:color="auto"/>
            </w:tcBorders>
            <w:tcMar>
              <w:top w:w="20" w:type="dxa"/>
              <w:left w:w="20" w:type="dxa"/>
              <w:bottom w:w="0" w:type="dxa"/>
              <w:right w:w="20" w:type="dxa"/>
            </w:tcMar>
            <w:hideMark/>
          </w:tcPr>
          <w:p w14:paraId="347EC1AC" w14:textId="77777777" w:rsidR="00901BCA" w:rsidRDefault="00901BCA">
            <w:pPr>
              <w:spacing w:line="276" w:lineRule="auto"/>
              <w:jc w:val="right"/>
              <w:rPr>
                <w:rFonts w:ascii="Arial" w:eastAsiaTheme="minorHAnsi" w:hAnsi="Arial" w:cs="Arial"/>
                <w:b/>
                <w:bCs/>
                <w:szCs w:val="22"/>
                <w:vertAlign w:val="superscript"/>
              </w:rPr>
            </w:pPr>
            <w:r>
              <w:rPr>
                <w:rFonts w:ascii="Arial" w:hAnsi="Arial" w:cs="Arial"/>
                <w:b/>
                <w:bCs/>
                <w:vertAlign w:val="superscript"/>
                <w:lang w:val="en-US"/>
              </w:rPr>
              <w:t>5</w:t>
            </w:r>
          </w:p>
        </w:tc>
        <w:tc>
          <w:tcPr>
            <w:tcW w:w="7065" w:type="dxa"/>
            <w:tcBorders>
              <w:top w:val="nil"/>
              <w:left w:val="nil"/>
              <w:bottom w:val="single" w:sz="8" w:space="0" w:color="auto"/>
              <w:right w:val="single" w:sz="8" w:space="0" w:color="auto"/>
            </w:tcBorders>
            <w:tcMar>
              <w:top w:w="20" w:type="dxa"/>
              <w:left w:w="20" w:type="dxa"/>
              <w:bottom w:w="0" w:type="dxa"/>
              <w:right w:w="20" w:type="dxa"/>
            </w:tcMar>
            <w:hideMark/>
          </w:tcPr>
          <w:p w14:paraId="7DD8B0A8" w14:textId="77777777" w:rsidR="00901BCA" w:rsidRDefault="00901BCA">
            <w:pPr>
              <w:spacing w:line="276" w:lineRule="auto"/>
              <w:rPr>
                <w:rFonts w:ascii="Arial" w:eastAsiaTheme="minorHAnsi" w:hAnsi="Arial" w:cs="Arial"/>
                <w:b/>
                <w:szCs w:val="22"/>
                <w:vertAlign w:val="superscript"/>
              </w:rPr>
            </w:pPr>
            <w:r>
              <w:rPr>
                <w:rFonts w:ascii="Arial" w:hAnsi="Arial" w:cs="Arial"/>
                <w:b/>
                <w:vertAlign w:val="superscript"/>
                <w:lang w:val="en-US"/>
              </w:rPr>
              <w:t xml:space="preserve">Excellent answer - gives real confidence that the statement provides much more in added value, which is realistic and achievable, and gives greater understanding than that of an acceptable response. </w:t>
            </w:r>
          </w:p>
        </w:tc>
      </w:tr>
    </w:tbl>
    <w:p w14:paraId="3C389298" w14:textId="77777777" w:rsidR="00901BCA" w:rsidRDefault="00901BCA" w:rsidP="00901BCA">
      <w:pPr>
        <w:tabs>
          <w:tab w:val="left" w:pos="720"/>
        </w:tabs>
        <w:suppressAutoHyphens/>
        <w:spacing w:line="360" w:lineRule="exact"/>
        <w:jc w:val="center"/>
      </w:pPr>
    </w:p>
    <w:p w14:paraId="615CB3E6" w14:textId="77777777" w:rsidR="00901BCA" w:rsidRDefault="00901BCA" w:rsidP="00901BCA">
      <w:pPr>
        <w:tabs>
          <w:tab w:val="left" w:pos="720"/>
        </w:tabs>
        <w:suppressAutoHyphens/>
        <w:spacing w:line="360" w:lineRule="exact"/>
        <w:jc w:val="center"/>
      </w:pPr>
    </w:p>
    <w:p w14:paraId="3C6E60DC" w14:textId="77777777" w:rsidR="00901BCA" w:rsidRDefault="00901BCA" w:rsidP="00901BCA">
      <w:pPr>
        <w:tabs>
          <w:tab w:val="left" w:pos="720"/>
        </w:tabs>
        <w:suppressAutoHyphens/>
        <w:spacing w:line="360" w:lineRule="exact"/>
        <w:jc w:val="center"/>
      </w:pPr>
    </w:p>
    <w:p w14:paraId="7186BDBF" w14:textId="77777777" w:rsidR="00901BCA" w:rsidRDefault="00901BCA" w:rsidP="00901BCA">
      <w:pPr>
        <w:tabs>
          <w:tab w:val="left" w:pos="720"/>
        </w:tabs>
        <w:suppressAutoHyphens/>
        <w:spacing w:line="360" w:lineRule="exact"/>
        <w:jc w:val="center"/>
      </w:pPr>
    </w:p>
    <w:p w14:paraId="592A42D1" w14:textId="77777777" w:rsidR="00901BCA" w:rsidRDefault="00901BCA" w:rsidP="00901BCA">
      <w:pPr>
        <w:tabs>
          <w:tab w:val="left" w:pos="720"/>
        </w:tabs>
        <w:suppressAutoHyphens/>
        <w:spacing w:line="360" w:lineRule="exact"/>
        <w:jc w:val="center"/>
      </w:pPr>
    </w:p>
    <w:p w14:paraId="455244A3" w14:textId="77777777" w:rsidR="00901BCA" w:rsidRDefault="00901BCA" w:rsidP="00901BCA">
      <w:pPr>
        <w:tabs>
          <w:tab w:val="left" w:pos="720"/>
        </w:tabs>
        <w:suppressAutoHyphens/>
        <w:spacing w:line="360" w:lineRule="exact"/>
        <w:jc w:val="center"/>
      </w:pPr>
    </w:p>
    <w:p w14:paraId="001FEC99" w14:textId="77777777" w:rsidR="00901BCA" w:rsidRDefault="00901BCA" w:rsidP="00901BCA">
      <w:pPr>
        <w:tabs>
          <w:tab w:val="left" w:pos="720"/>
        </w:tabs>
        <w:suppressAutoHyphens/>
        <w:spacing w:line="360" w:lineRule="exact"/>
        <w:jc w:val="center"/>
      </w:pPr>
    </w:p>
    <w:p w14:paraId="63C452B7" w14:textId="77777777" w:rsidR="00901BCA" w:rsidRDefault="00901BCA" w:rsidP="00901BCA">
      <w:pPr>
        <w:tabs>
          <w:tab w:val="left" w:pos="720"/>
        </w:tabs>
        <w:suppressAutoHyphens/>
        <w:spacing w:line="360" w:lineRule="exact"/>
        <w:jc w:val="center"/>
      </w:pPr>
    </w:p>
    <w:p w14:paraId="7DA62BF7" w14:textId="77777777" w:rsidR="00901BCA" w:rsidRDefault="00901BCA" w:rsidP="00901BCA">
      <w:pPr>
        <w:tabs>
          <w:tab w:val="left" w:pos="720"/>
        </w:tabs>
        <w:suppressAutoHyphens/>
        <w:spacing w:line="360" w:lineRule="exact"/>
        <w:jc w:val="center"/>
      </w:pPr>
    </w:p>
    <w:p w14:paraId="6AF1AA20" w14:textId="77777777" w:rsidR="00901BCA" w:rsidRDefault="00901BCA" w:rsidP="00901BCA">
      <w:pPr>
        <w:tabs>
          <w:tab w:val="left" w:pos="720"/>
        </w:tabs>
        <w:suppressAutoHyphens/>
        <w:spacing w:line="360" w:lineRule="exact"/>
        <w:jc w:val="center"/>
      </w:pPr>
    </w:p>
    <w:p w14:paraId="54187028" w14:textId="77777777" w:rsidR="00901BCA" w:rsidRDefault="00901BCA" w:rsidP="00901BCA">
      <w:pPr>
        <w:tabs>
          <w:tab w:val="left" w:pos="720"/>
        </w:tabs>
        <w:suppressAutoHyphens/>
        <w:spacing w:line="360" w:lineRule="exact"/>
        <w:jc w:val="center"/>
      </w:pPr>
    </w:p>
    <w:p w14:paraId="489382FA" w14:textId="77777777" w:rsidR="00901BCA" w:rsidRDefault="00901BCA" w:rsidP="00901BCA">
      <w:pPr>
        <w:tabs>
          <w:tab w:val="left" w:pos="720"/>
        </w:tabs>
        <w:suppressAutoHyphens/>
        <w:spacing w:line="360" w:lineRule="exact"/>
        <w:jc w:val="center"/>
      </w:pPr>
    </w:p>
    <w:p w14:paraId="5E147F7E" w14:textId="77777777" w:rsidR="00901BCA" w:rsidRDefault="00901BCA" w:rsidP="00901BCA">
      <w:pPr>
        <w:tabs>
          <w:tab w:val="left" w:pos="720"/>
        </w:tabs>
        <w:suppressAutoHyphens/>
        <w:spacing w:line="360" w:lineRule="exact"/>
        <w:jc w:val="center"/>
      </w:pPr>
    </w:p>
    <w:p w14:paraId="536BFA56" w14:textId="77777777" w:rsidR="00901BCA" w:rsidRDefault="00901BCA" w:rsidP="00901BCA">
      <w:pPr>
        <w:tabs>
          <w:tab w:val="left" w:pos="720"/>
        </w:tabs>
        <w:suppressAutoHyphens/>
        <w:spacing w:line="360" w:lineRule="exact"/>
        <w:jc w:val="center"/>
      </w:pPr>
    </w:p>
    <w:p w14:paraId="706F8EDB" w14:textId="77777777" w:rsidR="00901BCA" w:rsidRDefault="00901BCA" w:rsidP="00901BCA">
      <w:pPr>
        <w:overflowPunct w:val="0"/>
        <w:autoSpaceDE w:val="0"/>
        <w:autoSpaceDN w:val="0"/>
        <w:adjustRightInd w:val="0"/>
        <w:spacing w:line="230" w:lineRule="auto"/>
        <w:ind w:right="240"/>
        <w:jc w:val="both"/>
        <w:rPr>
          <w:szCs w:val="24"/>
        </w:rPr>
      </w:pPr>
      <w:r>
        <w:rPr>
          <w:rFonts w:ascii="Arial" w:hAnsi="Arial" w:cs="Arial"/>
          <w:bCs/>
          <w:szCs w:val="24"/>
        </w:rPr>
        <w:t xml:space="preserve">Price: </w:t>
      </w:r>
      <w:r>
        <w:rPr>
          <w:rFonts w:ascii="Arial" w:hAnsi="Arial" w:cs="Arial"/>
          <w:szCs w:val="24"/>
        </w:rPr>
        <w:t>Pricing is worth 70% of the overall marks and shall be scored on the basis</w:t>
      </w:r>
      <w:r>
        <w:rPr>
          <w:rFonts w:ascii="Arial" w:hAnsi="Arial" w:cs="Arial"/>
          <w:bCs/>
          <w:szCs w:val="24"/>
        </w:rPr>
        <w:t xml:space="preserve"> </w:t>
      </w:r>
      <w:r>
        <w:rPr>
          <w:rFonts w:ascii="Arial" w:hAnsi="Arial" w:cs="Arial"/>
          <w:szCs w:val="24"/>
        </w:rPr>
        <w:t>that the cheapest Tenderer will score the highest. Other Tenderers will be scored in relation to how their price compares with the cheapest Tenderer. The following worked example is based on the price being weighted at 70% in the evaluation criteria:</w:t>
      </w:r>
    </w:p>
    <w:p w14:paraId="02C84AB1" w14:textId="77777777" w:rsidR="00901BCA" w:rsidRDefault="00901BCA" w:rsidP="00901BCA">
      <w:pPr>
        <w:autoSpaceDE w:val="0"/>
        <w:autoSpaceDN w:val="0"/>
        <w:adjustRightInd w:val="0"/>
        <w:spacing w:line="231" w:lineRule="exact"/>
        <w:rPr>
          <w:szCs w:val="24"/>
        </w:rPr>
      </w:pPr>
    </w:p>
    <w:tbl>
      <w:tblPr>
        <w:tblW w:w="0" w:type="auto"/>
        <w:tblInd w:w="10" w:type="dxa"/>
        <w:tblLayout w:type="fixed"/>
        <w:tblCellMar>
          <w:left w:w="0" w:type="dxa"/>
          <w:right w:w="0" w:type="dxa"/>
        </w:tblCellMar>
        <w:tblLook w:val="04A0" w:firstRow="1" w:lastRow="0" w:firstColumn="1" w:lastColumn="0" w:noHBand="0" w:noVBand="1"/>
      </w:tblPr>
      <w:tblGrid>
        <w:gridCol w:w="1560"/>
        <w:gridCol w:w="1680"/>
        <w:gridCol w:w="1680"/>
        <w:gridCol w:w="1660"/>
        <w:gridCol w:w="1880"/>
      </w:tblGrid>
      <w:tr w:rsidR="00901BCA" w14:paraId="4379CF84" w14:textId="77777777">
        <w:trPr>
          <w:trHeight w:val="370"/>
        </w:trPr>
        <w:tc>
          <w:tcPr>
            <w:tcW w:w="1560" w:type="dxa"/>
            <w:tcBorders>
              <w:top w:val="single" w:sz="8" w:space="0" w:color="auto"/>
              <w:left w:val="single" w:sz="8" w:space="0" w:color="auto"/>
              <w:bottom w:val="single" w:sz="8" w:space="0" w:color="C0C0C0"/>
              <w:right w:val="single" w:sz="8" w:space="0" w:color="auto"/>
            </w:tcBorders>
            <w:shd w:val="clear" w:color="auto" w:fill="C0C0C0"/>
            <w:vAlign w:val="bottom"/>
          </w:tcPr>
          <w:p w14:paraId="58E627C4" w14:textId="77777777" w:rsidR="00901BCA" w:rsidRDefault="00901BCA">
            <w:pPr>
              <w:autoSpaceDE w:val="0"/>
              <w:autoSpaceDN w:val="0"/>
              <w:adjustRightInd w:val="0"/>
              <w:spacing w:line="276" w:lineRule="auto"/>
              <w:rPr>
                <w:b/>
                <w:szCs w:val="24"/>
                <w:vertAlign w:val="superscript"/>
              </w:rPr>
            </w:pPr>
          </w:p>
        </w:tc>
        <w:tc>
          <w:tcPr>
            <w:tcW w:w="1680" w:type="dxa"/>
            <w:tcBorders>
              <w:top w:val="single" w:sz="8" w:space="0" w:color="auto"/>
              <w:left w:val="nil"/>
              <w:bottom w:val="single" w:sz="8" w:space="0" w:color="C0C0C0"/>
              <w:right w:val="single" w:sz="8" w:space="0" w:color="auto"/>
            </w:tcBorders>
            <w:shd w:val="clear" w:color="auto" w:fill="C0C0C0"/>
            <w:vAlign w:val="bottom"/>
            <w:hideMark/>
          </w:tcPr>
          <w:p w14:paraId="10905E47" w14:textId="77777777" w:rsidR="00901BCA" w:rsidRDefault="00901BCA">
            <w:pPr>
              <w:autoSpaceDE w:val="0"/>
              <w:autoSpaceDN w:val="0"/>
              <w:adjustRightInd w:val="0"/>
              <w:spacing w:line="276" w:lineRule="auto"/>
              <w:ind w:left="500"/>
              <w:rPr>
                <w:b/>
                <w:szCs w:val="24"/>
                <w:vertAlign w:val="superscript"/>
              </w:rPr>
            </w:pPr>
            <w:r>
              <w:rPr>
                <w:rFonts w:ascii="Arial" w:hAnsi="Arial" w:cs="Arial"/>
                <w:b/>
                <w:bCs/>
                <w:szCs w:val="24"/>
                <w:vertAlign w:val="superscript"/>
              </w:rPr>
              <w:t>Bid A</w:t>
            </w:r>
          </w:p>
        </w:tc>
        <w:tc>
          <w:tcPr>
            <w:tcW w:w="1680" w:type="dxa"/>
            <w:tcBorders>
              <w:top w:val="single" w:sz="8" w:space="0" w:color="auto"/>
              <w:left w:val="nil"/>
              <w:bottom w:val="single" w:sz="8" w:space="0" w:color="C0C0C0"/>
              <w:right w:val="single" w:sz="8" w:space="0" w:color="auto"/>
            </w:tcBorders>
            <w:shd w:val="clear" w:color="auto" w:fill="C0C0C0"/>
            <w:vAlign w:val="bottom"/>
            <w:hideMark/>
          </w:tcPr>
          <w:p w14:paraId="0D7D8CA2" w14:textId="77777777" w:rsidR="00901BCA" w:rsidRDefault="00901BCA">
            <w:pPr>
              <w:autoSpaceDE w:val="0"/>
              <w:autoSpaceDN w:val="0"/>
              <w:adjustRightInd w:val="0"/>
              <w:spacing w:line="276" w:lineRule="auto"/>
              <w:ind w:left="500"/>
              <w:rPr>
                <w:b/>
                <w:szCs w:val="24"/>
                <w:vertAlign w:val="superscript"/>
              </w:rPr>
            </w:pPr>
            <w:r>
              <w:rPr>
                <w:rFonts w:ascii="Arial" w:hAnsi="Arial" w:cs="Arial"/>
                <w:b/>
                <w:bCs/>
                <w:szCs w:val="24"/>
                <w:vertAlign w:val="superscript"/>
              </w:rPr>
              <w:t>Bid B</w:t>
            </w:r>
          </w:p>
        </w:tc>
        <w:tc>
          <w:tcPr>
            <w:tcW w:w="1660" w:type="dxa"/>
            <w:tcBorders>
              <w:top w:val="single" w:sz="8" w:space="0" w:color="auto"/>
              <w:left w:val="nil"/>
              <w:bottom w:val="single" w:sz="8" w:space="0" w:color="C0C0C0"/>
              <w:right w:val="single" w:sz="8" w:space="0" w:color="auto"/>
            </w:tcBorders>
            <w:shd w:val="clear" w:color="auto" w:fill="C0C0C0"/>
            <w:vAlign w:val="bottom"/>
            <w:hideMark/>
          </w:tcPr>
          <w:p w14:paraId="2488D73A" w14:textId="77777777" w:rsidR="00901BCA" w:rsidRDefault="00901BCA">
            <w:pPr>
              <w:autoSpaceDE w:val="0"/>
              <w:autoSpaceDN w:val="0"/>
              <w:adjustRightInd w:val="0"/>
              <w:spacing w:line="276" w:lineRule="auto"/>
              <w:ind w:left="500"/>
              <w:rPr>
                <w:b/>
                <w:szCs w:val="24"/>
                <w:vertAlign w:val="superscript"/>
              </w:rPr>
            </w:pPr>
            <w:r>
              <w:rPr>
                <w:rFonts w:ascii="Arial" w:hAnsi="Arial" w:cs="Arial"/>
                <w:b/>
                <w:bCs/>
                <w:szCs w:val="24"/>
                <w:vertAlign w:val="superscript"/>
              </w:rPr>
              <w:t>Bid C</w:t>
            </w:r>
          </w:p>
        </w:tc>
        <w:tc>
          <w:tcPr>
            <w:tcW w:w="1880" w:type="dxa"/>
            <w:tcBorders>
              <w:top w:val="single" w:sz="8" w:space="0" w:color="auto"/>
              <w:left w:val="nil"/>
              <w:bottom w:val="single" w:sz="8" w:space="0" w:color="C0C0C0"/>
              <w:right w:val="single" w:sz="8" w:space="0" w:color="auto"/>
            </w:tcBorders>
            <w:shd w:val="clear" w:color="auto" w:fill="C0C0C0"/>
            <w:vAlign w:val="bottom"/>
            <w:hideMark/>
          </w:tcPr>
          <w:p w14:paraId="30B5A4A3" w14:textId="77777777" w:rsidR="00901BCA" w:rsidRDefault="00901BCA">
            <w:pPr>
              <w:autoSpaceDE w:val="0"/>
              <w:autoSpaceDN w:val="0"/>
              <w:adjustRightInd w:val="0"/>
              <w:spacing w:line="276" w:lineRule="auto"/>
              <w:ind w:left="620"/>
              <w:rPr>
                <w:b/>
                <w:szCs w:val="24"/>
                <w:vertAlign w:val="superscript"/>
              </w:rPr>
            </w:pPr>
            <w:r>
              <w:rPr>
                <w:rFonts w:ascii="Arial" w:hAnsi="Arial" w:cs="Arial"/>
                <w:b/>
                <w:bCs/>
                <w:szCs w:val="24"/>
                <w:vertAlign w:val="superscript"/>
              </w:rPr>
              <w:t>Bid D</w:t>
            </w:r>
          </w:p>
        </w:tc>
      </w:tr>
      <w:tr w:rsidR="00901BCA" w14:paraId="307F34D4" w14:textId="77777777">
        <w:trPr>
          <w:trHeight w:val="301"/>
        </w:trPr>
        <w:tc>
          <w:tcPr>
            <w:tcW w:w="1560" w:type="dxa"/>
            <w:tcBorders>
              <w:top w:val="single" w:sz="8" w:space="0" w:color="auto"/>
              <w:left w:val="single" w:sz="8" w:space="0" w:color="auto"/>
              <w:bottom w:val="nil"/>
              <w:right w:val="single" w:sz="8" w:space="0" w:color="auto"/>
            </w:tcBorders>
            <w:vAlign w:val="bottom"/>
            <w:hideMark/>
          </w:tcPr>
          <w:p w14:paraId="331ACDAD" w14:textId="77777777" w:rsidR="00901BCA" w:rsidRDefault="00901BCA">
            <w:pPr>
              <w:autoSpaceDE w:val="0"/>
              <w:autoSpaceDN w:val="0"/>
              <w:adjustRightInd w:val="0"/>
              <w:spacing w:line="276" w:lineRule="auto"/>
              <w:jc w:val="center"/>
              <w:rPr>
                <w:b/>
                <w:szCs w:val="24"/>
                <w:vertAlign w:val="superscript"/>
              </w:rPr>
            </w:pPr>
            <w:r>
              <w:rPr>
                <w:rFonts w:ascii="Arial" w:hAnsi="Arial" w:cs="Arial"/>
                <w:b/>
                <w:bCs/>
                <w:szCs w:val="24"/>
                <w:vertAlign w:val="superscript"/>
              </w:rPr>
              <w:t>Cost</w:t>
            </w:r>
          </w:p>
        </w:tc>
        <w:tc>
          <w:tcPr>
            <w:tcW w:w="1680" w:type="dxa"/>
            <w:tcBorders>
              <w:top w:val="single" w:sz="8" w:space="0" w:color="auto"/>
              <w:left w:val="nil"/>
              <w:bottom w:val="nil"/>
              <w:right w:val="single" w:sz="8" w:space="0" w:color="auto"/>
            </w:tcBorders>
            <w:vAlign w:val="bottom"/>
            <w:hideMark/>
          </w:tcPr>
          <w:p w14:paraId="26512DB5" w14:textId="77777777" w:rsidR="00901BCA" w:rsidRDefault="00901BCA">
            <w:pPr>
              <w:autoSpaceDE w:val="0"/>
              <w:autoSpaceDN w:val="0"/>
              <w:adjustRightInd w:val="0"/>
              <w:spacing w:line="276" w:lineRule="auto"/>
              <w:ind w:right="300"/>
              <w:jc w:val="right"/>
              <w:rPr>
                <w:b/>
                <w:szCs w:val="24"/>
                <w:vertAlign w:val="superscript"/>
              </w:rPr>
            </w:pPr>
            <w:r>
              <w:rPr>
                <w:rFonts w:ascii="Arial" w:hAnsi="Arial" w:cs="Arial"/>
                <w:b/>
                <w:szCs w:val="24"/>
                <w:vertAlign w:val="superscript"/>
              </w:rPr>
              <w:t>£15,849</w:t>
            </w:r>
          </w:p>
        </w:tc>
        <w:tc>
          <w:tcPr>
            <w:tcW w:w="1680" w:type="dxa"/>
            <w:tcBorders>
              <w:top w:val="single" w:sz="8" w:space="0" w:color="auto"/>
              <w:left w:val="nil"/>
              <w:bottom w:val="nil"/>
              <w:right w:val="single" w:sz="8" w:space="0" w:color="auto"/>
            </w:tcBorders>
            <w:vAlign w:val="bottom"/>
            <w:hideMark/>
          </w:tcPr>
          <w:p w14:paraId="135333A7" w14:textId="77777777" w:rsidR="00901BCA" w:rsidRDefault="00901BCA">
            <w:pPr>
              <w:autoSpaceDE w:val="0"/>
              <w:autoSpaceDN w:val="0"/>
              <w:adjustRightInd w:val="0"/>
              <w:spacing w:line="276" w:lineRule="auto"/>
              <w:ind w:right="300"/>
              <w:jc w:val="right"/>
              <w:rPr>
                <w:b/>
                <w:szCs w:val="24"/>
                <w:vertAlign w:val="superscript"/>
              </w:rPr>
            </w:pPr>
            <w:r>
              <w:rPr>
                <w:rFonts w:ascii="Arial" w:hAnsi="Arial" w:cs="Arial"/>
                <w:b/>
                <w:szCs w:val="24"/>
                <w:vertAlign w:val="superscript"/>
              </w:rPr>
              <w:t>£17,094</w:t>
            </w:r>
          </w:p>
        </w:tc>
        <w:tc>
          <w:tcPr>
            <w:tcW w:w="1660" w:type="dxa"/>
            <w:tcBorders>
              <w:top w:val="single" w:sz="8" w:space="0" w:color="auto"/>
              <w:left w:val="nil"/>
              <w:bottom w:val="nil"/>
              <w:right w:val="single" w:sz="8" w:space="0" w:color="auto"/>
            </w:tcBorders>
            <w:vAlign w:val="bottom"/>
            <w:hideMark/>
          </w:tcPr>
          <w:p w14:paraId="79F1384D" w14:textId="77777777" w:rsidR="00901BCA" w:rsidRDefault="00901BCA">
            <w:pPr>
              <w:autoSpaceDE w:val="0"/>
              <w:autoSpaceDN w:val="0"/>
              <w:adjustRightInd w:val="0"/>
              <w:spacing w:line="276" w:lineRule="auto"/>
              <w:ind w:right="280"/>
              <w:jc w:val="right"/>
              <w:rPr>
                <w:b/>
                <w:szCs w:val="24"/>
                <w:vertAlign w:val="superscript"/>
              </w:rPr>
            </w:pPr>
            <w:r>
              <w:rPr>
                <w:rFonts w:ascii="Arial" w:hAnsi="Arial" w:cs="Arial"/>
                <w:b/>
                <w:szCs w:val="24"/>
                <w:vertAlign w:val="superscript"/>
              </w:rPr>
              <w:t>£25,497</w:t>
            </w:r>
          </w:p>
        </w:tc>
        <w:tc>
          <w:tcPr>
            <w:tcW w:w="1880" w:type="dxa"/>
            <w:tcBorders>
              <w:top w:val="single" w:sz="8" w:space="0" w:color="auto"/>
              <w:left w:val="nil"/>
              <w:bottom w:val="nil"/>
              <w:right w:val="single" w:sz="8" w:space="0" w:color="auto"/>
            </w:tcBorders>
            <w:vAlign w:val="bottom"/>
            <w:hideMark/>
          </w:tcPr>
          <w:p w14:paraId="3609C960" w14:textId="77777777" w:rsidR="00901BCA" w:rsidRDefault="00901BCA">
            <w:pPr>
              <w:autoSpaceDE w:val="0"/>
              <w:autoSpaceDN w:val="0"/>
              <w:adjustRightInd w:val="0"/>
              <w:spacing w:line="276" w:lineRule="auto"/>
              <w:ind w:right="380"/>
              <w:jc w:val="right"/>
              <w:rPr>
                <w:b/>
                <w:szCs w:val="24"/>
                <w:vertAlign w:val="superscript"/>
              </w:rPr>
            </w:pPr>
            <w:r>
              <w:rPr>
                <w:rFonts w:ascii="Arial" w:hAnsi="Arial" w:cs="Arial"/>
                <w:b/>
                <w:szCs w:val="24"/>
                <w:vertAlign w:val="superscript"/>
              </w:rPr>
              <w:t>£31,246</w:t>
            </w:r>
          </w:p>
        </w:tc>
      </w:tr>
      <w:tr w:rsidR="00901BCA" w14:paraId="13C7088E" w14:textId="77777777">
        <w:trPr>
          <w:trHeight w:val="46"/>
        </w:trPr>
        <w:tc>
          <w:tcPr>
            <w:tcW w:w="1560" w:type="dxa"/>
            <w:tcBorders>
              <w:top w:val="nil"/>
              <w:left w:val="single" w:sz="8" w:space="0" w:color="auto"/>
              <w:bottom w:val="single" w:sz="8" w:space="0" w:color="auto"/>
              <w:right w:val="single" w:sz="8" w:space="0" w:color="auto"/>
            </w:tcBorders>
            <w:vAlign w:val="bottom"/>
          </w:tcPr>
          <w:p w14:paraId="1B1A7166" w14:textId="77777777" w:rsidR="00901BCA" w:rsidRDefault="00901BCA">
            <w:pPr>
              <w:autoSpaceDE w:val="0"/>
              <w:autoSpaceDN w:val="0"/>
              <w:adjustRightInd w:val="0"/>
              <w:spacing w:line="276" w:lineRule="auto"/>
              <w:rPr>
                <w:b/>
                <w:sz w:val="4"/>
                <w:szCs w:val="4"/>
                <w:vertAlign w:val="superscript"/>
              </w:rPr>
            </w:pPr>
          </w:p>
        </w:tc>
        <w:tc>
          <w:tcPr>
            <w:tcW w:w="1680" w:type="dxa"/>
            <w:tcBorders>
              <w:top w:val="nil"/>
              <w:left w:val="nil"/>
              <w:bottom w:val="single" w:sz="8" w:space="0" w:color="auto"/>
              <w:right w:val="single" w:sz="8" w:space="0" w:color="auto"/>
            </w:tcBorders>
            <w:vAlign w:val="bottom"/>
          </w:tcPr>
          <w:p w14:paraId="607D1B5D" w14:textId="77777777" w:rsidR="00901BCA" w:rsidRDefault="00901BCA">
            <w:pPr>
              <w:autoSpaceDE w:val="0"/>
              <w:autoSpaceDN w:val="0"/>
              <w:adjustRightInd w:val="0"/>
              <w:spacing w:line="276" w:lineRule="auto"/>
              <w:rPr>
                <w:b/>
                <w:sz w:val="4"/>
                <w:szCs w:val="4"/>
                <w:vertAlign w:val="superscript"/>
              </w:rPr>
            </w:pPr>
          </w:p>
        </w:tc>
        <w:tc>
          <w:tcPr>
            <w:tcW w:w="1680" w:type="dxa"/>
            <w:tcBorders>
              <w:top w:val="nil"/>
              <w:left w:val="nil"/>
              <w:bottom w:val="single" w:sz="8" w:space="0" w:color="auto"/>
              <w:right w:val="single" w:sz="8" w:space="0" w:color="auto"/>
            </w:tcBorders>
            <w:vAlign w:val="bottom"/>
          </w:tcPr>
          <w:p w14:paraId="3A8F994D" w14:textId="77777777" w:rsidR="00901BCA" w:rsidRDefault="00901BCA">
            <w:pPr>
              <w:autoSpaceDE w:val="0"/>
              <w:autoSpaceDN w:val="0"/>
              <w:adjustRightInd w:val="0"/>
              <w:spacing w:line="276" w:lineRule="auto"/>
              <w:rPr>
                <w:b/>
                <w:sz w:val="4"/>
                <w:szCs w:val="4"/>
                <w:vertAlign w:val="superscript"/>
              </w:rPr>
            </w:pPr>
          </w:p>
        </w:tc>
        <w:tc>
          <w:tcPr>
            <w:tcW w:w="1660" w:type="dxa"/>
            <w:tcBorders>
              <w:top w:val="nil"/>
              <w:left w:val="nil"/>
              <w:bottom w:val="single" w:sz="8" w:space="0" w:color="auto"/>
              <w:right w:val="single" w:sz="8" w:space="0" w:color="auto"/>
            </w:tcBorders>
            <w:vAlign w:val="bottom"/>
          </w:tcPr>
          <w:p w14:paraId="31F8E2A2" w14:textId="77777777" w:rsidR="00901BCA" w:rsidRDefault="00901BCA">
            <w:pPr>
              <w:autoSpaceDE w:val="0"/>
              <w:autoSpaceDN w:val="0"/>
              <w:adjustRightInd w:val="0"/>
              <w:spacing w:line="276" w:lineRule="auto"/>
              <w:rPr>
                <w:b/>
                <w:sz w:val="4"/>
                <w:szCs w:val="4"/>
                <w:vertAlign w:val="superscript"/>
              </w:rPr>
            </w:pPr>
          </w:p>
        </w:tc>
        <w:tc>
          <w:tcPr>
            <w:tcW w:w="1880" w:type="dxa"/>
            <w:tcBorders>
              <w:top w:val="nil"/>
              <w:left w:val="nil"/>
              <w:bottom w:val="single" w:sz="8" w:space="0" w:color="auto"/>
              <w:right w:val="single" w:sz="8" w:space="0" w:color="auto"/>
            </w:tcBorders>
            <w:vAlign w:val="bottom"/>
          </w:tcPr>
          <w:p w14:paraId="341B3B84" w14:textId="77777777" w:rsidR="00901BCA" w:rsidRDefault="00901BCA">
            <w:pPr>
              <w:autoSpaceDE w:val="0"/>
              <w:autoSpaceDN w:val="0"/>
              <w:adjustRightInd w:val="0"/>
              <w:spacing w:line="276" w:lineRule="auto"/>
              <w:rPr>
                <w:b/>
                <w:sz w:val="4"/>
                <w:szCs w:val="4"/>
                <w:vertAlign w:val="superscript"/>
              </w:rPr>
            </w:pPr>
          </w:p>
        </w:tc>
      </w:tr>
      <w:tr w:rsidR="00901BCA" w14:paraId="4F01DEDC" w14:textId="77777777">
        <w:trPr>
          <w:trHeight w:val="311"/>
        </w:trPr>
        <w:tc>
          <w:tcPr>
            <w:tcW w:w="1560" w:type="dxa"/>
            <w:tcBorders>
              <w:top w:val="nil"/>
              <w:left w:val="single" w:sz="8" w:space="0" w:color="auto"/>
              <w:bottom w:val="nil"/>
              <w:right w:val="single" w:sz="8" w:space="0" w:color="auto"/>
            </w:tcBorders>
            <w:vAlign w:val="bottom"/>
            <w:hideMark/>
          </w:tcPr>
          <w:p w14:paraId="559FDBA5" w14:textId="77777777" w:rsidR="00901BCA" w:rsidRDefault="00901BCA">
            <w:pPr>
              <w:autoSpaceDE w:val="0"/>
              <w:autoSpaceDN w:val="0"/>
              <w:adjustRightInd w:val="0"/>
              <w:spacing w:line="276" w:lineRule="auto"/>
              <w:jc w:val="center"/>
              <w:rPr>
                <w:b/>
                <w:szCs w:val="24"/>
                <w:vertAlign w:val="superscript"/>
              </w:rPr>
            </w:pPr>
            <w:r>
              <w:rPr>
                <w:rFonts w:ascii="Arial" w:hAnsi="Arial" w:cs="Arial"/>
                <w:b/>
                <w:bCs/>
                <w:w w:val="98"/>
                <w:szCs w:val="24"/>
                <w:vertAlign w:val="superscript"/>
              </w:rPr>
              <w:t>Score</w:t>
            </w:r>
          </w:p>
        </w:tc>
        <w:tc>
          <w:tcPr>
            <w:tcW w:w="1680" w:type="dxa"/>
            <w:tcBorders>
              <w:top w:val="nil"/>
              <w:left w:val="nil"/>
              <w:bottom w:val="nil"/>
              <w:right w:val="single" w:sz="8" w:space="0" w:color="auto"/>
            </w:tcBorders>
            <w:vAlign w:val="bottom"/>
            <w:hideMark/>
          </w:tcPr>
          <w:p w14:paraId="70BA1B49" w14:textId="77777777" w:rsidR="00901BCA" w:rsidRDefault="00901BCA">
            <w:pPr>
              <w:autoSpaceDE w:val="0"/>
              <w:autoSpaceDN w:val="0"/>
              <w:adjustRightInd w:val="0"/>
              <w:spacing w:line="276" w:lineRule="auto"/>
              <w:ind w:right="500"/>
              <w:jc w:val="right"/>
              <w:rPr>
                <w:b/>
                <w:szCs w:val="24"/>
                <w:vertAlign w:val="superscript"/>
              </w:rPr>
            </w:pPr>
            <w:r>
              <w:rPr>
                <w:rFonts w:ascii="Arial" w:hAnsi="Arial" w:cs="Arial"/>
                <w:b/>
                <w:szCs w:val="24"/>
                <w:vertAlign w:val="superscript"/>
              </w:rPr>
              <w:t>70%</w:t>
            </w:r>
          </w:p>
        </w:tc>
        <w:tc>
          <w:tcPr>
            <w:tcW w:w="1680" w:type="dxa"/>
            <w:tcBorders>
              <w:top w:val="nil"/>
              <w:left w:val="nil"/>
              <w:bottom w:val="nil"/>
              <w:right w:val="single" w:sz="8" w:space="0" w:color="auto"/>
            </w:tcBorders>
            <w:vAlign w:val="bottom"/>
            <w:hideMark/>
          </w:tcPr>
          <w:p w14:paraId="2EB5B143" w14:textId="77777777" w:rsidR="00901BCA" w:rsidRDefault="00901BCA">
            <w:pPr>
              <w:autoSpaceDE w:val="0"/>
              <w:autoSpaceDN w:val="0"/>
              <w:adjustRightInd w:val="0"/>
              <w:spacing w:line="276" w:lineRule="auto"/>
              <w:ind w:right="400"/>
              <w:jc w:val="right"/>
              <w:rPr>
                <w:b/>
                <w:szCs w:val="24"/>
                <w:vertAlign w:val="superscript"/>
              </w:rPr>
            </w:pPr>
            <w:r>
              <w:rPr>
                <w:rFonts w:ascii="Arial" w:hAnsi="Arial" w:cs="Arial"/>
                <w:b/>
                <w:szCs w:val="24"/>
                <w:vertAlign w:val="superscript"/>
              </w:rPr>
              <w:t>64.9%</w:t>
            </w:r>
          </w:p>
        </w:tc>
        <w:tc>
          <w:tcPr>
            <w:tcW w:w="1660" w:type="dxa"/>
            <w:tcBorders>
              <w:top w:val="nil"/>
              <w:left w:val="nil"/>
              <w:bottom w:val="nil"/>
              <w:right w:val="single" w:sz="8" w:space="0" w:color="auto"/>
            </w:tcBorders>
            <w:vAlign w:val="bottom"/>
            <w:hideMark/>
          </w:tcPr>
          <w:p w14:paraId="0B5E26FE" w14:textId="77777777" w:rsidR="00901BCA" w:rsidRDefault="00901BCA">
            <w:pPr>
              <w:autoSpaceDE w:val="0"/>
              <w:autoSpaceDN w:val="0"/>
              <w:adjustRightInd w:val="0"/>
              <w:spacing w:line="276" w:lineRule="auto"/>
              <w:ind w:right="380"/>
              <w:jc w:val="right"/>
              <w:rPr>
                <w:b/>
                <w:szCs w:val="24"/>
                <w:vertAlign w:val="superscript"/>
              </w:rPr>
            </w:pPr>
            <w:r>
              <w:rPr>
                <w:rFonts w:ascii="Arial" w:hAnsi="Arial" w:cs="Arial"/>
                <w:b/>
                <w:szCs w:val="24"/>
                <w:vertAlign w:val="superscript"/>
              </w:rPr>
              <w:t>43.5%</w:t>
            </w:r>
          </w:p>
        </w:tc>
        <w:tc>
          <w:tcPr>
            <w:tcW w:w="1880" w:type="dxa"/>
            <w:tcBorders>
              <w:top w:val="nil"/>
              <w:left w:val="nil"/>
              <w:bottom w:val="nil"/>
              <w:right w:val="single" w:sz="8" w:space="0" w:color="auto"/>
            </w:tcBorders>
            <w:vAlign w:val="bottom"/>
            <w:hideMark/>
          </w:tcPr>
          <w:p w14:paraId="360A94F9" w14:textId="77777777" w:rsidR="00901BCA" w:rsidRDefault="00901BCA">
            <w:pPr>
              <w:autoSpaceDE w:val="0"/>
              <w:autoSpaceDN w:val="0"/>
              <w:adjustRightInd w:val="0"/>
              <w:spacing w:line="276" w:lineRule="auto"/>
              <w:ind w:right="480"/>
              <w:jc w:val="right"/>
              <w:rPr>
                <w:b/>
                <w:szCs w:val="24"/>
                <w:vertAlign w:val="superscript"/>
              </w:rPr>
            </w:pPr>
            <w:r>
              <w:rPr>
                <w:rFonts w:ascii="Arial" w:hAnsi="Arial" w:cs="Arial"/>
                <w:b/>
                <w:szCs w:val="24"/>
                <w:vertAlign w:val="superscript"/>
              </w:rPr>
              <w:t>35.5%</w:t>
            </w:r>
          </w:p>
        </w:tc>
      </w:tr>
      <w:tr w:rsidR="00901BCA" w14:paraId="476A6DD9" w14:textId="77777777">
        <w:trPr>
          <w:trHeight w:val="46"/>
        </w:trPr>
        <w:tc>
          <w:tcPr>
            <w:tcW w:w="1560" w:type="dxa"/>
            <w:tcBorders>
              <w:top w:val="nil"/>
              <w:left w:val="single" w:sz="8" w:space="0" w:color="auto"/>
              <w:bottom w:val="single" w:sz="8" w:space="0" w:color="auto"/>
              <w:right w:val="single" w:sz="8" w:space="0" w:color="auto"/>
            </w:tcBorders>
            <w:vAlign w:val="bottom"/>
          </w:tcPr>
          <w:p w14:paraId="15CF85ED" w14:textId="77777777" w:rsidR="00901BCA" w:rsidRDefault="00901BCA">
            <w:pPr>
              <w:autoSpaceDE w:val="0"/>
              <w:autoSpaceDN w:val="0"/>
              <w:adjustRightInd w:val="0"/>
              <w:spacing w:line="276" w:lineRule="auto"/>
              <w:rPr>
                <w:b/>
                <w:sz w:val="4"/>
                <w:szCs w:val="4"/>
                <w:vertAlign w:val="superscript"/>
              </w:rPr>
            </w:pPr>
          </w:p>
        </w:tc>
        <w:tc>
          <w:tcPr>
            <w:tcW w:w="1680" w:type="dxa"/>
            <w:tcBorders>
              <w:top w:val="nil"/>
              <w:left w:val="nil"/>
              <w:bottom w:val="single" w:sz="8" w:space="0" w:color="auto"/>
              <w:right w:val="single" w:sz="8" w:space="0" w:color="auto"/>
            </w:tcBorders>
            <w:vAlign w:val="bottom"/>
          </w:tcPr>
          <w:p w14:paraId="55518D11" w14:textId="77777777" w:rsidR="00901BCA" w:rsidRDefault="00901BCA">
            <w:pPr>
              <w:autoSpaceDE w:val="0"/>
              <w:autoSpaceDN w:val="0"/>
              <w:adjustRightInd w:val="0"/>
              <w:spacing w:line="276" w:lineRule="auto"/>
              <w:rPr>
                <w:b/>
                <w:sz w:val="4"/>
                <w:szCs w:val="4"/>
                <w:vertAlign w:val="superscript"/>
              </w:rPr>
            </w:pPr>
          </w:p>
        </w:tc>
        <w:tc>
          <w:tcPr>
            <w:tcW w:w="1680" w:type="dxa"/>
            <w:tcBorders>
              <w:top w:val="nil"/>
              <w:left w:val="nil"/>
              <w:bottom w:val="single" w:sz="8" w:space="0" w:color="auto"/>
              <w:right w:val="single" w:sz="8" w:space="0" w:color="auto"/>
            </w:tcBorders>
            <w:vAlign w:val="bottom"/>
          </w:tcPr>
          <w:p w14:paraId="349DB951" w14:textId="77777777" w:rsidR="00901BCA" w:rsidRDefault="00901BCA">
            <w:pPr>
              <w:autoSpaceDE w:val="0"/>
              <w:autoSpaceDN w:val="0"/>
              <w:adjustRightInd w:val="0"/>
              <w:spacing w:line="276" w:lineRule="auto"/>
              <w:rPr>
                <w:b/>
                <w:sz w:val="4"/>
                <w:szCs w:val="4"/>
                <w:vertAlign w:val="superscript"/>
              </w:rPr>
            </w:pPr>
          </w:p>
        </w:tc>
        <w:tc>
          <w:tcPr>
            <w:tcW w:w="1660" w:type="dxa"/>
            <w:tcBorders>
              <w:top w:val="nil"/>
              <w:left w:val="nil"/>
              <w:bottom w:val="single" w:sz="8" w:space="0" w:color="auto"/>
              <w:right w:val="single" w:sz="8" w:space="0" w:color="auto"/>
            </w:tcBorders>
            <w:vAlign w:val="bottom"/>
          </w:tcPr>
          <w:p w14:paraId="21DB20BC" w14:textId="77777777" w:rsidR="00901BCA" w:rsidRDefault="00901BCA">
            <w:pPr>
              <w:autoSpaceDE w:val="0"/>
              <w:autoSpaceDN w:val="0"/>
              <w:adjustRightInd w:val="0"/>
              <w:spacing w:line="276" w:lineRule="auto"/>
              <w:rPr>
                <w:b/>
                <w:sz w:val="4"/>
                <w:szCs w:val="4"/>
                <w:vertAlign w:val="superscript"/>
              </w:rPr>
            </w:pPr>
          </w:p>
        </w:tc>
        <w:tc>
          <w:tcPr>
            <w:tcW w:w="1880" w:type="dxa"/>
            <w:tcBorders>
              <w:top w:val="nil"/>
              <w:left w:val="nil"/>
              <w:bottom w:val="single" w:sz="8" w:space="0" w:color="auto"/>
              <w:right w:val="single" w:sz="8" w:space="0" w:color="auto"/>
            </w:tcBorders>
            <w:vAlign w:val="bottom"/>
          </w:tcPr>
          <w:p w14:paraId="6E838AA2" w14:textId="77777777" w:rsidR="00901BCA" w:rsidRDefault="00901BCA">
            <w:pPr>
              <w:autoSpaceDE w:val="0"/>
              <w:autoSpaceDN w:val="0"/>
              <w:adjustRightInd w:val="0"/>
              <w:spacing w:line="276" w:lineRule="auto"/>
              <w:rPr>
                <w:b/>
                <w:sz w:val="4"/>
                <w:szCs w:val="4"/>
                <w:vertAlign w:val="superscript"/>
              </w:rPr>
            </w:pPr>
          </w:p>
        </w:tc>
      </w:tr>
    </w:tbl>
    <w:p w14:paraId="5905078E" w14:textId="77777777" w:rsidR="00901BCA" w:rsidRDefault="00901BCA" w:rsidP="00901BCA">
      <w:pPr>
        <w:autoSpaceDE w:val="0"/>
        <w:autoSpaceDN w:val="0"/>
        <w:adjustRightInd w:val="0"/>
        <w:spacing w:line="345" w:lineRule="exact"/>
        <w:rPr>
          <w:szCs w:val="24"/>
        </w:rPr>
      </w:pPr>
    </w:p>
    <w:p w14:paraId="30FFB7BE" w14:textId="77777777" w:rsidR="00901BCA" w:rsidRDefault="00901BCA" w:rsidP="00901BCA">
      <w:pPr>
        <w:autoSpaceDE w:val="0"/>
        <w:autoSpaceDN w:val="0"/>
        <w:adjustRightInd w:val="0"/>
        <w:rPr>
          <w:szCs w:val="24"/>
        </w:rPr>
      </w:pPr>
      <w:r>
        <w:rPr>
          <w:rFonts w:ascii="Arial" w:hAnsi="Arial" w:cs="Arial"/>
          <w:bCs/>
          <w:szCs w:val="24"/>
        </w:rPr>
        <w:t xml:space="preserve">Bid A </w:t>
      </w:r>
      <w:r>
        <w:rPr>
          <w:rFonts w:ascii="Arial" w:hAnsi="Arial" w:cs="Arial"/>
          <w:szCs w:val="24"/>
        </w:rPr>
        <w:t>= £15,849 and is awarded the full 70%</w:t>
      </w:r>
    </w:p>
    <w:p w14:paraId="5D38AFBD" w14:textId="77777777" w:rsidR="00901BCA" w:rsidRDefault="00901BCA" w:rsidP="00901BCA">
      <w:pPr>
        <w:autoSpaceDE w:val="0"/>
        <w:autoSpaceDN w:val="0"/>
        <w:adjustRightInd w:val="0"/>
        <w:spacing w:line="302" w:lineRule="exact"/>
        <w:rPr>
          <w:szCs w:val="24"/>
        </w:rPr>
      </w:pPr>
    </w:p>
    <w:p w14:paraId="62BADCF2" w14:textId="77777777" w:rsidR="00901BCA" w:rsidRDefault="00901BCA" w:rsidP="00901BCA">
      <w:pPr>
        <w:autoSpaceDE w:val="0"/>
        <w:autoSpaceDN w:val="0"/>
        <w:adjustRightInd w:val="0"/>
        <w:rPr>
          <w:szCs w:val="24"/>
        </w:rPr>
      </w:pPr>
      <w:r>
        <w:rPr>
          <w:rFonts w:ascii="Arial" w:hAnsi="Arial" w:cs="Arial"/>
          <w:bCs/>
          <w:szCs w:val="24"/>
        </w:rPr>
        <w:t xml:space="preserve">Bid B </w:t>
      </w:r>
      <w:r>
        <w:rPr>
          <w:rFonts w:ascii="Arial" w:hAnsi="Arial" w:cs="Arial"/>
          <w:szCs w:val="24"/>
        </w:rPr>
        <w:t>is divided by</w:t>
      </w:r>
      <w:r>
        <w:rPr>
          <w:rFonts w:ascii="Arial" w:hAnsi="Arial" w:cs="Arial"/>
          <w:bCs/>
          <w:szCs w:val="24"/>
        </w:rPr>
        <w:t xml:space="preserve"> Bid A </w:t>
      </w:r>
      <w:r>
        <w:rPr>
          <w:rFonts w:ascii="Arial" w:hAnsi="Arial" w:cs="Arial"/>
          <w:szCs w:val="24"/>
        </w:rPr>
        <w:t>e.g. £17,094 / £15,849 = 1.0785</w:t>
      </w:r>
    </w:p>
    <w:p w14:paraId="35BB1059" w14:textId="77777777" w:rsidR="00901BCA" w:rsidRDefault="00901BCA" w:rsidP="00901BCA">
      <w:pPr>
        <w:autoSpaceDE w:val="0"/>
        <w:autoSpaceDN w:val="0"/>
        <w:adjustRightInd w:val="0"/>
        <w:spacing w:line="305" w:lineRule="exact"/>
        <w:rPr>
          <w:szCs w:val="24"/>
        </w:rPr>
      </w:pPr>
    </w:p>
    <w:p w14:paraId="646EF767" w14:textId="77777777" w:rsidR="00901BCA" w:rsidRDefault="00901BCA" w:rsidP="00901BCA">
      <w:pPr>
        <w:autoSpaceDE w:val="0"/>
        <w:autoSpaceDN w:val="0"/>
        <w:adjustRightInd w:val="0"/>
        <w:rPr>
          <w:szCs w:val="24"/>
        </w:rPr>
      </w:pPr>
      <w:r>
        <w:rPr>
          <w:rFonts w:ascii="Arial" w:hAnsi="Arial" w:cs="Arial"/>
          <w:szCs w:val="24"/>
        </w:rPr>
        <w:t xml:space="preserve">The proportional score for </w:t>
      </w:r>
      <w:r>
        <w:rPr>
          <w:rFonts w:ascii="Arial" w:hAnsi="Arial" w:cs="Arial"/>
          <w:bCs/>
          <w:szCs w:val="24"/>
        </w:rPr>
        <w:t>Bid B</w:t>
      </w:r>
      <w:r>
        <w:rPr>
          <w:rFonts w:ascii="Arial" w:hAnsi="Arial" w:cs="Arial"/>
          <w:szCs w:val="24"/>
        </w:rPr>
        <w:t xml:space="preserve"> is therefore 70 / 1.0785 = 64.9%</w:t>
      </w:r>
    </w:p>
    <w:p w14:paraId="101618CA" w14:textId="77777777" w:rsidR="00901BCA" w:rsidRDefault="00901BCA" w:rsidP="00901BCA">
      <w:pPr>
        <w:tabs>
          <w:tab w:val="left" w:pos="720"/>
        </w:tabs>
        <w:suppressAutoHyphens/>
        <w:spacing w:line="360" w:lineRule="exact"/>
        <w:jc w:val="center"/>
      </w:pPr>
    </w:p>
    <w:p w14:paraId="2AAC5B48" w14:textId="77777777" w:rsidR="00EB67EF" w:rsidRDefault="00EB67EF"/>
    <w:sectPr w:rsidR="00EB67E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2AAF7" w14:textId="77777777" w:rsidR="00616B78" w:rsidRDefault="00616B78" w:rsidP="00901BCA">
      <w:r>
        <w:separator/>
      </w:r>
    </w:p>
  </w:endnote>
  <w:endnote w:type="continuationSeparator" w:id="0">
    <w:p w14:paraId="0FFA25D3" w14:textId="77777777" w:rsidR="00616B78" w:rsidRDefault="00616B78" w:rsidP="00901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E76DD" w14:textId="77777777" w:rsidR="00616B78" w:rsidRDefault="00616B78" w:rsidP="00901BCA">
      <w:r>
        <w:separator/>
      </w:r>
    </w:p>
  </w:footnote>
  <w:footnote w:type="continuationSeparator" w:id="0">
    <w:p w14:paraId="5FFC83A5" w14:textId="77777777" w:rsidR="00616B78" w:rsidRDefault="00616B78" w:rsidP="00901B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72441" w14:textId="10DBA1C6" w:rsidR="00901BCA" w:rsidRDefault="00901BCA" w:rsidP="00901BCA">
    <w:pPr>
      <w:pStyle w:val="Header"/>
      <w:jc w:val="right"/>
    </w:pPr>
    <w:r>
      <w:rPr>
        <w:noProof/>
      </w:rPr>
      <w:drawing>
        <wp:inline distT="0" distB="0" distL="0" distR="0" wp14:anchorId="54D9F5BB" wp14:editId="397EC9B9">
          <wp:extent cx="922768" cy="247994"/>
          <wp:effectExtent l="0" t="0" r="0" b="0"/>
          <wp:docPr id="2" name="Picture 1" descr="What Does It Mean To Be A FIFA Research Institute? | Labo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at Does It Mean To Be A FIFA Research Institute? | Labospo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0029" cy="25800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383DF6"/>
    <w:multiLevelType w:val="hybridMultilevel"/>
    <w:tmpl w:val="BC82828C"/>
    <w:lvl w:ilvl="0" w:tplc="97E47A02">
      <w:start w:val="1"/>
      <w:numFmt w:val="decimal"/>
      <w:lvlText w:val="%1."/>
      <w:lvlJc w:val="left"/>
      <w:pPr>
        <w:tabs>
          <w:tab w:val="num" w:pos="360"/>
        </w:tabs>
        <w:ind w:left="360" w:hanging="360"/>
      </w:pPr>
      <w:rPr>
        <w:b w:val="0"/>
      </w:rPr>
    </w:lvl>
    <w:lvl w:ilvl="1" w:tplc="04090001">
      <w:numFmt w:val="decimal"/>
      <w:lvlText w:val=""/>
      <w:lvlJc w:val="left"/>
      <w:pPr>
        <w:tabs>
          <w:tab w:val="num" w:pos="1080"/>
        </w:tabs>
        <w:ind w:left="1080" w:hanging="360"/>
      </w:pPr>
      <w:rPr>
        <w:rFonts w:ascii="Symbol" w:hAnsi="Symbol" w:hint="default"/>
      </w:r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num w:numId="1" w16cid:durableId="1951234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BCA"/>
    <w:rsid w:val="002A0993"/>
    <w:rsid w:val="005462EF"/>
    <w:rsid w:val="005B38C3"/>
    <w:rsid w:val="00616B78"/>
    <w:rsid w:val="00901BCA"/>
    <w:rsid w:val="00BC4F22"/>
    <w:rsid w:val="00DE78FD"/>
    <w:rsid w:val="00EB67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7AB49"/>
  <w15:chartTrackingRefBased/>
  <w15:docId w15:val="{BA187EB6-F861-44A1-8545-2F9EAC8A9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BCA"/>
    <w:pPr>
      <w:widowControl w:val="0"/>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901B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9"/>
    <w:semiHidden/>
    <w:unhideWhenUsed/>
    <w:qFormat/>
    <w:rsid w:val="00901B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1B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1B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1B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1BC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1BC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1BC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1BC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B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9"/>
    <w:semiHidden/>
    <w:rsid w:val="00901B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1B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1B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1B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1B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1B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1B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1BCA"/>
    <w:rPr>
      <w:rFonts w:eastAsiaTheme="majorEastAsia" w:cstheme="majorBidi"/>
      <w:color w:val="272727" w:themeColor="text1" w:themeTint="D8"/>
    </w:rPr>
  </w:style>
  <w:style w:type="paragraph" w:styleId="Title">
    <w:name w:val="Title"/>
    <w:basedOn w:val="Normal"/>
    <w:next w:val="Normal"/>
    <w:link w:val="TitleChar"/>
    <w:uiPriority w:val="10"/>
    <w:qFormat/>
    <w:rsid w:val="00901BC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1B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1B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B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1BCA"/>
    <w:pPr>
      <w:spacing w:before="160"/>
      <w:jc w:val="center"/>
    </w:pPr>
    <w:rPr>
      <w:i/>
      <w:iCs/>
      <w:color w:val="404040" w:themeColor="text1" w:themeTint="BF"/>
    </w:rPr>
  </w:style>
  <w:style w:type="character" w:customStyle="1" w:styleId="QuoteChar">
    <w:name w:val="Quote Char"/>
    <w:basedOn w:val="DefaultParagraphFont"/>
    <w:link w:val="Quote"/>
    <w:uiPriority w:val="29"/>
    <w:rsid w:val="00901BCA"/>
    <w:rPr>
      <w:i/>
      <w:iCs/>
      <w:color w:val="404040" w:themeColor="text1" w:themeTint="BF"/>
    </w:rPr>
  </w:style>
  <w:style w:type="paragraph" w:styleId="ListParagraph">
    <w:name w:val="List Paragraph"/>
    <w:basedOn w:val="Normal"/>
    <w:uiPriority w:val="34"/>
    <w:qFormat/>
    <w:rsid w:val="00901BCA"/>
    <w:pPr>
      <w:ind w:left="720"/>
      <w:contextualSpacing/>
    </w:pPr>
  </w:style>
  <w:style w:type="character" w:styleId="IntenseEmphasis">
    <w:name w:val="Intense Emphasis"/>
    <w:basedOn w:val="DefaultParagraphFont"/>
    <w:uiPriority w:val="21"/>
    <w:qFormat/>
    <w:rsid w:val="00901BCA"/>
    <w:rPr>
      <w:i/>
      <w:iCs/>
      <w:color w:val="0F4761" w:themeColor="accent1" w:themeShade="BF"/>
    </w:rPr>
  </w:style>
  <w:style w:type="paragraph" w:styleId="IntenseQuote">
    <w:name w:val="Intense Quote"/>
    <w:basedOn w:val="Normal"/>
    <w:next w:val="Normal"/>
    <w:link w:val="IntenseQuoteChar"/>
    <w:uiPriority w:val="30"/>
    <w:qFormat/>
    <w:rsid w:val="00901B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1BCA"/>
    <w:rPr>
      <w:i/>
      <w:iCs/>
      <w:color w:val="0F4761" w:themeColor="accent1" w:themeShade="BF"/>
    </w:rPr>
  </w:style>
  <w:style w:type="character" w:styleId="IntenseReference">
    <w:name w:val="Intense Reference"/>
    <w:basedOn w:val="DefaultParagraphFont"/>
    <w:uiPriority w:val="32"/>
    <w:qFormat/>
    <w:rsid w:val="00901BCA"/>
    <w:rPr>
      <w:b/>
      <w:bCs/>
      <w:smallCaps/>
      <w:color w:val="0F4761" w:themeColor="accent1" w:themeShade="BF"/>
      <w:spacing w:val="5"/>
    </w:rPr>
  </w:style>
  <w:style w:type="paragraph" w:styleId="BodyText">
    <w:name w:val="Body Text"/>
    <w:basedOn w:val="Normal"/>
    <w:link w:val="BodyTextChar"/>
    <w:uiPriority w:val="99"/>
    <w:semiHidden/>
    <w:unhideWhenUsed/>
    <w:rsid w:val="00901BCA"/>
    <w:pPr>
      <w:tabs>
        <w:tab w:val="left" w:pos="0"/>
      </w:tabs>
      <w:suppressAutoHyphens/>
      <w:spacing w:line="360" w:lineRule="auto"/>
      <w:jc w:val="both"/>
    </w:pPr>
    <w:rPr>
      <w:spacing w:val="-2"/>
      <w:lang w:val="en-US"/>
    </w:rPr>
  </w:style>
  <w:style w:type="character" w:customStyle="1" w:styleId="BodyTextChar">
    <w:name w:val="Body Text Char"/>
    <w:basedOn w:val="DefaultParagraphFont"/>
    <w:link w:val="BodyText"/>
    <w:uiPriority w:val="99"/>
    <w:semiHidden/>
    <w:rsid w:val="00901BCA"/>
    <w:rPr>
      <w:rFonts w:ascii="Times New Roman" w:eastAsia="Times New Roman" w:hAnsi="Times New Roman" w:cs="Times New Roman"/>
      <w:spacing w:val="-2"/>
      <w:kern w:val="0"/>
      <w:szCs w:val="20"/>
      <w:lang w:val="en-US"/>
      <w14:ligatures w14:val="none"/>
    </w:rPr>
  </w:style>
  <w:style w:type="paragraph" w:styleId="Header">
    <w:name w:val="header"/>
    <w:basedOn w:val="Normal"/>
    <w:link w:val="HeaderChar"/>
    <w:uiPriority w:val="99"/>
    <w:unhideWhenUsed/>
    <w:rsid w:val="00901BCA"/>
    <w:pPr>
      <w:tabs>
        <w:tab w:val="center" w:pos="4513"/>
        <w:tab w:val="right" w:pos="9026"/>
      </w:tabs>
    </w:pPr>
  </w:style>
  <w:style w:type="character" w:customStyle="1" w:styleId="HeaderChar">
    <w:name w:val="Header Char"/>
    <w:basedOn w:val="DefaultParagraphFont"/>
    <w:link w:val="Header"/>
    <w:uiPriority w:val="99"/>
    <w:rsid w:val="00901BCA"/>
    <w:rPr>
      <w:rFonts w:ascii="Times New Roman" w:eastAsia="Times New Roman" w:hAnsi="Times New Roman" w:cs="Times New Roman"/>
      <w:kern w:val="0"/>
      <w:szCs w:val="20"/>
      <w14:ligatures w14:val="none"/>
    </w:rPr>
  </w:style>
  <w:style w:type="paragraph" w:styleId="Footer">
    <w:name w:val="footer"/>
    <w:basedOn w:val="Normal"/>
    <w:link w:val="FooterChar"/>
    <w:uiPriority w:val="99"/>
    <w:unhideWhenUsed/>
    <w:rsid w:val="00901BCA"/>
    <w:pPr>
      <w:tabs>
        <w:tab w:val="center" w:pos="4513"/>
        <w:tab w:val="right" w:pos="9026"/>
      </w:tabs>
    </w:pPr>
  </w:style>
  <w:style w:type="character" w:customStyle="1" w:styleId="FooterChar">
    <w:name w:val="Footer Char"/>
    <w:basedOn w:val="DefaultParagraphFont"/>
    <w:link w:val="Footer"/>
    <w:uiPriority w:val="99"/>
    <w:rsid w:val="00901BCA"/>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414</Words>
  <Characters>2364</Characters>
  <Application>Microsoft Office Word</Application>
  <DocSecurity>0</DocSecurity>
  <Lines>19</Lines>
  <Paragraphs>5</Paragraphs>
  <ScaleCrop>false</ScaleCrop>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Froud</dc:creator>
  <cp:keywords/>
  <dc:description/>
  <cp:lastModifiedBy>Stuart Legg</cp:lastModifiedBy>
  <cp:revision>2</cp:revision>
  <dcterms:created xsi:type="dcterms:W3CDTF">2025-12-01T10:21:00Z</dcterms:created>
  <dcterms:modified xsi:type="dcterms:W3CDTF">2025-12-01T10:21:00Z</dcterms:modified>
</cp:coreProperties>
</file>