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8CF4" w14:textId="77777777" w:rsidR="00413A79" w:rsidRDefault="00413A79"/>
    <w:p w14:paraId="251DB379" w14:textId="77777777" w:rsidR="00413A79" w:rsidRDefault="00413A79"/>
    <w:p w14:paraId="17F2B4A3" w14:textId="20259C0B" w:rsidR="00E70680" w:rsidRPr="00AF45B7" w:rsidRDefault="000C18E1">
      <w:r w:rsidRPr="00AF45B7">
        <w:t xml:space="preserve">Site Generator maintenance tender </w:t>
      </w:r>
      <w:r w:rsidR="00413A79" w:rsidRPr="00AF45B7">
        <w:t>for 202</w:t>
      </w:r>
      <w:r w:rsidR="00683DF0">
        <w:t>6</w:t>
      </w:r>
      <w:r w:rsidR="00413A79" w:rsidRPr="00AF45B7">
        <w:t xml:space="preserve"> to 20</w:t>
      </w:r>
      <w:r w:rsidR="00683DF0">
        <w:t>30</w:t>
      </w:r>
      <w:r w:rsidR="0054347D" w:rsidRPr="00AF45B7">
        <w:t xml:space="preserve"> v2 Amendments highlighted</w:t>
      </w:r>
    </w:p>
    <w:p w14:paraId="0BDF7716" w14:textId="77777777" w:rsidR="000C18E1" w:rsidRPr="00AF45B7" w:rsidRDefault="000C18E1"/>
    <w:p w14:paraId="397E87C1" w14:textId="1E116948" w:rsidR="000C18E1" w:rsidRPr="00AF45B7" w:rsidRDefault="00413A79" w:rsidP="000C18E1">
      <w:pPr>
        <w:pStyle w:val="ListParagraph"/>
        <w:numPr>
          <w:ilvl w:val="0"/>
          <w:numId w:val="1"/>
        </w:numPr>
        <w:rPr>
          <w:u w:val="single"/>
        </w:rPr>
      </w:pPr>
      <w:r w:rsidRPr="00AF45B7">
        <w:rPr>
          <w:u w:val="single"/>
        </w:rPr>
        <w:t>Site requirements and expectations</w:t>
      </w:r>
      <w:r w:rsidR="00594C66" w:rsidRPr="00AF45B7">
        <w:rPr>
          <w:u w:val="single"/>
        </w:rPr>
        <w:t>.</w:t>
      </w:r>
    </w:p>
    <w:p w14:paraId="3CC22EA5" w14:textId="2986FE6B" w:rsidR="00594C66" w:rsidRPr="00AF45B7" w:rsidRDefault="00F91D27" w:rsidP="00594C66">
      <w:pPr>
        <w:pStyle w:val="ListParagraph"/>
      </w:pPr>
      <w:r w:rsidRPr="00AF45B7">
        <w:t xml:space="preserve">The Pirbright Institute delivers world-leading research to understand, predict, detect and respond to viral disease outbreaks. We study viruses of livestock that are endemic and exotic to the UK, including zoonotic viruses, by using the most advanced tools and technologies to understand host-pathogen interactions in animals and arthropod vectors. Our major strength in understanding the immune systems of livestock provides a platform to control current diseases and respond to emerging threats. </w:t>
      </w:r>
    </w:p>
    <w:p w14:paraId="1E1A0281" w14:textId="0BF7A67B" w:rsidR="00F477C7" w:rsidRPr="00AF45B7" w:rsidRDefault="00F67B1C" w:rsidP="00594C66">
      <w:pPr>
        <w:pStyle w:val="ListParagraph"/>
      </w:pPr>
      <w:r w:rsidRPr="00AF45B7">
        <w:t xml:space="preserve">All science is delivered though our extensive bio-diverse buildings and Laboratories that ensure maximum </w:t>
      </w:r>
      <w:r w:rsidR="00AE44C6" w:rsidRPr="00AF45B7">
        <w:t>biosecurity</w:t>
      </w:r>
      <w:r w:rsidRPr="00AF45B7">
        <w:t xml:space="preserve"> for both staff and engineering teams. One essential requirement is to ensure power supplies remain on at all times, this is achieved through a series of UPS’s DRUPS and standby generators. </w:t>
      </w:r>
      <w:r w:rsidR="00F477C7" w:rsidRPr="00AF45B7">
        <w:t>(</w:t>
      </w:r>
      <w:r w:rsidRPr="00AF45B7">
        <w:t>These are described in section 5 of this tender</w:t>
      </w:r>
      <w:r w:rsidR="00F477C7" w:rsidRPr="00AF45B7">
        <w:t>)</w:t>
      </w:r>
      <w:r w:rsidRPr="00AF45B7">
        <w:t xml:space="preserve">. </w:t>
      </w:r>
    </w:p>
    <w:p w14:paraId="5CB3F0A6" w14:textId="152AC768" w:rsidR="001B0F31" w:rsidRPr="00AF45B7" w:rsidRDefault="00F67B1C" w:rsidP="00594C66">
      <w:pPr>
        <w:pStyle w:val="ListParagraph"/>
      </w:pPr>
      <w:r w:rsidRPr="00AF45B7">
        <w:t xml:space="preserve">Subcontractors are expected to </w:t>
      </w:r>
      <w:r w:rsidR="001B0F31" w:rsidRPr="00AF45B7">
        <w:t>attain a</w:t>
      </w:r>
      <w:r w:rsidRPr="00AF45B7">
        <w:t xml:space="preserve"> </w:t>
      </w:r>
      <w:r w:rsidR="00BF29C5" w:rsidRPr="00AF45B7">
        <w:t>high standard of maintenance</w:t>
      </w:r>
      <w:r w:rsidR="00F477C7" w:rsidRPr="00AF45B7">
        <w:t>,</w:t>
      </w:r>
      <w:r w:rsidR="00BF29C5" w:rsidRPr="00AF45B7">
        <w:t xml:space="preserve"> conducting themselves with professionalism and </w:t>
      </w:r>
      <w:r w:rsidR="00F477C7" w:rsidRPr="00AF45B7">
        <w:t>having an attitude of continuous improvement</w:t>
      </w:r>
      <w:r w:rsidR="00B9391B" w:rsidRPr="00AF45B7">
        <w:t>.</w:t>
      </w:r>
      <w:r w:rsidR="00F477C7" w:rsidRPr="00AF45B7">
        <w:t xml:space="preserve"> </w:t>
      </w:r>
      <w:r w:rsidR="00B9391B" w:rsidRPr="00AF45B7">
        <w:t>The generator engineer</w:t>
      </w:r>
      <w:r w:rsidR="00F643C3" w:rsidRPr="00AF45B7">
        <w:t>s</w:t>
      </w:r>
      <w:r w:rsidR="00B9391B" w:rsidRPr="00AF45B7">
        <w:t xml:space="preserve"> will be r</w:t>
      </w:r>
      <w:r w:rsidR="00BF29C5" w:rsidRPr="00AF45B7">
        <w:t xml:space="preserve">eporting </w:t>
      </w:r>
      <w:r w:rsidR="001B0F31" w:rsidRPr="00AF45B7">
        <w:t xml:space="preserve">and working alongside the Site Electrical Supervisor to </w:t>
      </w:r>
      <w:r w:rsidR="00BF29C5" w:rsidRPr="00AF45B7">
        <w:t>structur</w:t>
      </w:r>
      <w:r w:rsidR="001B0F31" w:rsidRPr="00AF45B7">
        <w:t>e building “On/Off load” testing and maintenance</w:t>
      </w:r>
      <w:r w:rsidR="00BF29C5" w:rsidRPr="00AF45B7">
        <w:t>.</w:t>
      </w:r>
    </w:p>
    <w:p w14:paraId="282AE669" w14:textId="007A5FE1" w:rsidR="00CC119A" w:rsidRPr="00AF45B7" w:rsidRDefault="001B0F31" w:rsidP="00CC119A">
      <w:pPr>
        <w:pStyle w:val="ListParagraph"/>
      </w:pPr>
      <w:r w:rsidRPr="00AF45B7">
        <w:t>It is preferable that the site has a dedicated maintenance engineer and a deputy who are security cleared to “Contractor Pass” level after site familiarisation and operation.</w:t>
      </w:r>
      <w:r w:rsidR="00CC119A" w:rsidRPr="00AF45B7">
        <w:t xml:space="preserve"> The attending emergency generator callout engineer must have a comprehensive understanding of emergency power generation systems and equipment. This includes knowledge of the engine/primary power source, generator, electrical load connection, and control equipment. Engineers must be familiar with dismantling, removing, and maintaining faulty components, as well as applying various dismantling and assembly methods and techniques. They must also be able to report any problems with maintenance activities and ensure that all necessary job/task documentation is completed accurately and legibly. Engineers must work with minimal supervision, taking personal responsibility for their actions and the quality and accuracy of the work they carry out.</w:t>
      </w:r>
    </w:p>
    <w:p w14:paraId="2214293E" w14:textId="10D61899" w:rsidR="001B0F31" w:rsidRPr="00AF45B7" w:rsidRDefault="001B0F31" w:rsidP="00594C66">
      <w:pPr>
        <w:pStyle w:val="ListParagraph"/>
      </w:pPr>
    </w:p>
    <w:p w14:paraId="04932158" w14:textId="28B425A0" w:rsidR="00F67B1C" w:rsidRPr="00AF45B7" w:rsidRDefault="00BF29C5" w:rsidP="00594C66">
      <w:pPr>
        <w:pStyle w:val="ListParagraph"/>
      </w:pPr>
      <w:r w:rsidRPr="00AF45B7">
        <w:t xml:space="preserve"> </w:t>
      </w:r>
    </w:p>
    <w:p w14:paraId="68A741C7" w14:textId="5C8F161E" w:rsidR="000C18E1" w:rsidRPr="00AF45B7" w:rsidRDefault="000C18E1" w:rsidP="000C18E1">
      <w:pPr>
        <w:pStyle w:val="ListParagraph"/>
        <w:numPr>
          <w:ilvl w:val="0"/>
          <w:numId w:val="1"/>
        </w:numPr>
        <w:rPr>
          <w:u w:val="single"/>
        </w:rPr>
      </w:pPr>
      <w:r w:rsidRPr="00AF45B7">
        <w:rPr>
          <w:u w:val="single"/>
        </w:rPr>
        <w:t>Frequency and disciplines required</w:t>
      </w:r>
      <w:r w:rsidR="0009420E" w:rsidRPr="00AF45B7">
        <w:rPr>
          <w:u w:val="single"/>
        </w:rPr>
        <w:t>.</w:t>
      </w:r>
    </w:p>
    <w:p w14:paraId="742D0242" w14:textId="7F2EDAE7" w:rsidR="001B0F31" w:rsidRPr="00AF45B7" w:rsidRDefault="001B0F31" w:rsidP="001B0F31">
      <w:pPr>
        <w:pStyle w:val="ListParagraph"/>
      </w:pPr>
      <w:r w:rsidRPr="00AF45B7">
        <w:t>Each generator listed in section 5 requires two service visits per year, one minor and one major visit.</w:t>
      </w:r>
      <w:r w:rsidR="00236E45" w:rsidRPr="00AF45B7">
        <w:t xml:space="preserve"> We expect to be advised of if any of the following require changing or replacing items such as Oil require testing samples to verify this </w:t>
      </w:r>
      <w:r w:rsidR="00636D8A" w:rsidRPr="00AF45B7">
        <w:t>change.</w:t>
      </w:r>
      <w:r w:rsidR="00236E45" w:rsidRPr="00AF45B7">
        <w:t xml:space="preserve"> Oil/Air and fuel filters, coolant, Oil, fuel lines, fuel quality, plugs, leads etc.</w:t>
      </w:r>
      <w:r w:rsidR="00636D8A" w:rsidRPr="00AF45B7">
        <w:t xml:space="preserve"> Service dates to be set out in advance between the Pirbright maintenance scheduler and company contact. Several visits may have to be arranged due to our building shutdown schedule so it may not be possible to service all the engines in one continuous site visit. It is also suggested that the site has a dedicated engineer who would seek to attain security clearance for the site so as to work independently of engineering services escorting engineers and to have a skill level where they are able to sign on and </w:t>
      </w:r>
      <w:r w:rsidR="00AE44C6" w:rsidRPr="00AF45B7">
        <w:t>off</w:t>
      </w:r>
      <w:r w:rsidR="00636D8A" w:rsidRPr="00AF45B7">
        <w:t xml:space="preserve"> work permits in advance and following servicing or breakdown or extra to contract works.</w:t>
      </w:r>
    </w:p>
    <w:p w14:paraId="79DD30B3" w14:textId="77777777" w:rsidR="00CC119A" w:rsidRPr="00AF45B7" w:rsidRDefault="00CC119A" w:rsidP="001B0F31">
      <w:pPr>
        <w:pStyle w:val="ListParagraph"/>
      </w:pPr>
    </w:p>
    <w:p w14:paraId="2C5347AF" w14:textId="77777777" w:rsidR="00CC119A" w:rsidRPr="00AF45B7" w:rsidRDefault="00CC119A" w:rsidP="001B0F31">
      <w:pPr>
        <w:pStyle w:val="ListParagraph"/>
      </w:pPr>
    </w:p>
    <w:p w14:paraId="037BE1E3" w14:textId="77777777" w:rsidR="00CC119A" w:rsidRPr="00AF45B7" w:rsidRDefault="00CC119A" w:rsidP="001B0F31">
      <w:pPr>
        <w:pStyle w:val="ListParagraph"/>
      </w:pPr>
    </w:p>
    <w:p w14:paraId="2C344EE4" w14:textId="776D8AE8" w:rsidR="000B2A3E" w:rsidRPr="00AF45B7" w:rsidRDefault="000B2A3E" w:rsidP="00BB0A37">
      <w:pPr>
        <w:pStyle w:val="ListParagraph"/>
        <w:tabs>
          <w:tab w:val="left" w:pos="9564"/>
        </w:tabs>
        <w:ind w:left="1440"/>
      </w:pPr>
      <w:r w:rsidRPr="00AF45B7">
        <w:t xml:space="preserve">      </w:t>
      </w:r>
      <w:r w:rsidR="00BB0A37">
        <w:tab/>
      </w:r>
    </w:p>
    <w:tbl>
      <w:tblPr>
        <w:tblW w:w="9760" w:type="dxa"/>
        <w:tblInd w:w="720" w:type="dxa"/>
        <w:tblLook w:val="04A0" w:firstRow="1" w:lastRow="0" w:firstColumn="1" w:lastColumn="0" w:noHBand="0" w:noVBand="1"/>
      </w:tblPr>
      <w:tblGrid>
        <w:gridCol w:w="960"/>
        <w:gridCol w:w="2580"/>
        <w:gridCol w:w="810"/>
        <w:gridCol w:w="951"/>
        <w:gridCol w:w="1003"/>
        <w:gridCol w:w="739"/>
        <w:gridCol w:w="1477"/>
        <w:gridCol w:w="1240"/>
      </w:tblGrid>
      <w:tr w:rsidR="000B2A3E" w:rsidRPr="00AF45B7" w14:paraId="7DA57707" w14:textId="77777777" w:rsidTr="00C731D8">
        <w:trPr>
          <w:trHeight w:val="58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6DC35665"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lastRenderedPageBreak/>
              <w:t> </w:t>
            </w:r>
          </w:p>
        </w:tc>
        <w:tc>
          <w:tcPr>
            <w:tcW w:w="2580" w:type="dxa"/>
            <w:tcBorders>
              <w:top w:val="single" w:sz="4" w:space="0" w:color="auto"/>
              <w:left w:val="nil"/>
              <w:bottom w:val="single" w:sz="4" w:space="0" w:color="auto"/>
              <w:right w:val="single" w:sz="4" w:space="0" w:color="auto"/>
            </w:tcBorders>
            <w:shd w:val="clear" w:color="auto" w:fill="auto"/>
            <w:vAlign w:val="bottom"/>
            <w:hideMark/>
          </w:tcPr>
          <w:p w14:paraId="79D64B29"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4980" w:type="dxa"/>
            <w:gridSpan w:val="5"/>
            <w:tcBorders>
              <w:top w:val="single" w:sz="4" w:space="0" w:color="auto"/>
              <w:left w:val="single" w:sz="4" w:space="0" w:color="auto"/>
              <w:bottom w:val="single" w:sz="4" w:space="0" w:color="auto"/>
              <w:right w:val="nil"/>
            </w:tcBorders>
            <w:shd w:val="clear" w:color="auto" w:fill="auto"/>
            <w:noWrap/>
            <w:vAlign w:val="bottom"/>
            <w:hideMark/>
          </w:tcPr>
          <w:p w14:paraId="2D0E6872"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Method of Checking and Action to be taken</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CC99D55"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Frequency of check</w:t>
            </w:r>
          </w:p>
        </w:tc>
      </w:tr>
      <w:tr w:rsidR="000B2A3E" w:rsidRPr="00AF45B7" w14:paraId="40345FAA" w14:textId="77777777" w:rsidTr="00C731D8">
        <w:trPr>
          <w:trHeight w:val="28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D44DBD"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Ref No</w:t>
            </w:r>
          </w:p>
        </w:tc>
        <w:tc>
          <w:tcPr>
            <w:tcW w:w="2580" w:type="dxa"/>
            <w:tcBorders>
              <w:top w:val="nil"/>
              <w:left w:val="nil"/>
              <w:bottom w:val="single" w:sz="4" w:space="0" w:color="auto"/>
              <w:right w:val="single" w:sz="4" w:space="0" w:color="auto"/>
            </w:tcBorders>
            <w:shd w:val="clear" w:color="auto" w:fill="auto"/>
            <w:vAlign w:val="bottom"/>
            <w:hideMark/>
          </w:tcPr>
          <w:p w14:paraId="1EB731CA"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Items</w:t>
            </w:r>
          </w:p>
        </w:tc>
        <w:tc>
          <w:tcPr>
            <w:tcW w:w="810" w:type="dxa"/>
            <w:tcBorders>
              <w:top w:val="nil"/>
              <w:left w:val="nil"/>
              <w:bottom w:val="single" w:sz="4" w:space="0" w:color="auto"/>
              <w:right w:val="single" w:sz="4" w:space="0" w:color="auto"/>
            </w:tcBorders>
            <w:shd w:val="clear" w:color="auto" w:fill="auto"/>
            <w:noWrap/>
            <w:vAlign w:val="bottom"/>
            <w:hideMark/>
          </w:tcPr>
          <w:p w14:paraId="74FDDBF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Visual</w:t>
            </w:r>
          </w:p>
        </w:tc>
        <w:tc>
          <w:tcPr>
            <w:tcW w:w="951" w:type="dxa"/>
            <w:tcBorders>
              <w:top w:val="nil"/>
              <w:left w:val="nil"/>
              <w:bottom w:val="single" w:sz="4" w:space="0" w:color="auto"/>
              <w:right w:val="single" w:sz="4" w:space="0" w:color="auto"/>
            </w:tcBorders>
            <w:shd w:val="clear" w:color="auto" w:fill="auto"/>
            <w:noWrap/>
            <w:vAlign w:val="bottom"/>
            <w:hideMark/>
          </w:tcPr>
          <w:p w14:paraId="49EC547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Record</w:t>
            </w:r>
          </w:p>
        </w:tc>
        <w:tc>
          <w:tcPr>
            <w:tcW w:w="1003" w:type="dxa"/>
            <w:tcBorders>
              <w:top w:val="nil"/>
              <w:left w:val="nil"/>
              <w:bottom w:val="single" w:sz="4" w:space="0" w:color="auto"/>
              <w:right w:val="single" w:sz="4" w:space="0" w:color="auto"/>
            </w:tcBorders>
            <w:shd w:val="clear" w:color="auto" w:fill="auto"/>
            <w:noWrap/>
            <w:vAlign w:val="bottom"/>
            <w:hideMark/>
          </w:tcPr>
          <w:p w14:paraId="0A70586F"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Change</w:t>
            </w:r>
          </w:p>
        </w:tc>
        <w:tc>
          <w:tcPr>
            <w:tcW w:w="739" w:type="dxa"/>
            <w:tcBorders>
              <w:top w:val="nil"/>
              <w:left w:val="nil"/>
              <w:bottom w:val="single" w:sz="4" w:space="0" w:color="auto"/>
              <w:right w:val="single" w:sz="4" w:space="0" w:color="auto"/>
            </w:tcBorders>
            <w:shd w:val="clear" w:color="auto" w:fill="auto"/>
            <w:noWrap/>
            <w:vAlign w:val="bottom"/>
            <w:hideMark/>
          </w:tcPr>
          <w:p w14:paraId="12FD449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Drain</w:t>
            </w:r>
          </w:p>
        </w:tc>
        <w:tc>
          <w:tcPr>
            <w:tcW w:w="1477" w:type="dxa"/>
            <w:tcBorders>
              <w:top w:val="nil"/>
              <w:left w:val="nil"/>
              <w:bottom w:val="single" w:sz="4" w:space="0" w:color="auto"/>
              <w:right w:val="single" w:sz="4" w:space="0" w:color="auto"/>
            </w:tcBorders>
            <w:shd w:val="clear" w:color="auto" w:fill="auto"/>
            <w:noWrap/>
            <w:vAlign w:val="bottom"/>
            <w:hideMark/>
          </w:tcPr>
          <w:p w14:paraId="193CF30E"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Check/Test</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52451B47"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p>
        </w:tc>
      </w:tr>
      <w:tr w:rsidR="000B2A3E" w:rsidRPr="00AF45B7" w14:paraId="065687DA"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46D3AD"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w:t>
            </w:r>
          </w:p>
        </w:tc>
        <w:tc>
          <w:tcPr>
            <w:tcW w:w="2580" w:type="dxa"/>
            <w:tcBorders>
              <w:top w:val="nil"/>
              <w:left w:val="nil"/>
              <w:bottom w:val="single" w:sz="4" w:space="0" w:color="auto"/>
              <w:right w:val="single" w:sz="4" w:space="0" w:color="auto"/>
            </w:tcBorders>
            <w:shd w:val="clear" w:color="auto" w:fill="auto"/>
            <w:vAlign w:val="bottom"/>
            <w:hideMark/>
          </w:tcPr>
          <w:p w14:paraId="1C33624D"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battery voltage (off charge) and charger.</w:t>
            </w:r>
          </w:p>
        </w:tc>
        <w:tc>
          <w:tcPr>
            <w:tcW w:w="810" w:type="dxa"/>
            <w:tcBorders>
              <w:top w:val="nil"/>
              <w:left w:val="nil"/>
              <w:bottom w:val="single" w:sz="4" w:space="0" w:color="auto"/>
              <w:right w:val="single" w:sz="4" w:space="0" w:color="auto"/>
            </w:tcBorders>
            <w:shd w:val="clear" w:color="auto" w:fill="auto"/>
            <w:noWrap/>
            <w:vAlign w:val="bottom"/>
            <w:hideMark/>
          </w:tcPr>
          <w:p w14:paraId="7A4EDE4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3EB1BCAE"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43A0414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75F5AB2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6CB4710D"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6161F73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1412B1CF"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A65B83"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2</w:t>
            </w:r>
          </w:p>
        </w:tc>
        <w:tc>
          <w:tcPr>
            <w:tcW w:w="2580" w:type="dxa"/>
            <w:tcBorders>
              <w:top w:val="nil"/>
              <w:left w:val="nil"/>
              <w:bottom w:val="single" w:sz="4" w:space="0" w:color="auto"/>
              <w:right w:val="single" w:sz="4" w:space="0" w:color="auto"/>
            </w:tcBorders>
            <w:shd w:val="clear" w:color="auto" w:fill="auto"/>
            <w:vAlign w:val="bottom"/>
            <w:hideMark/>
          </w:tcPr>
          <w:p w14:paraId="49117599"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and clean air cleaner units.</w:t>
            </w:r>
          </w:p>
        </w:tc>
        <w:tc>
          <w:tcPr>
            <w:tcW w:w="810" w:type="dxa"/>
            <w:tcBorders>
              <w:top w:val="nil"/>
              <w:left w:val="nil"/>
              <w:bottom w:val="single" w:sz="4" w:space="0" w:color="auto"/>
              <w:right w:val="single" w:sz="4" w:space="0" w:color="auto"/>
            </w:tcBorders>
            <w:shd w:val="clear" w:color="auto" w:fill="auto"/>
            <w:noWrap/>
            <w:vAlign w:val="bottom"/>
            <w:hideMark/>
          </w:tcPr>
          <w:p w14:paraId="3DD9539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556875A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2375C762"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786EB3E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49F93CD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79A0420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65D128AD" w14:textId="77777777" w:rsidTr="00C731D8">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C17F6"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3</w:t>
            </w:r>
          </w:p>
        </w:tc>
        <w:tc>
          <w:tcPr>
            <w:tcW w:w="2580" w:type="dxa"/>
            <w:tcBorders>
              <w:top w:val="nil"/>
              <w:left w:val="nil"/>
              <w:bottom w:val="single" w:sz="4" w:space="0" w:color="auto"/>
              <w:right w:val="single" w:sz="4" w:space="0" w:color="auto"/>
            </w:tcBorders>
            <w:shd w:val="clear" w:color="auto" w:fill="auto"/>
            <w:vAlign w:val="bottom"/>
            <w:hideMark/>
          </w:tcPr>
          <w:p w14:paraId="186FEFF7"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coolant antifreeze and water treatment concentration and running temperature.</w:t>
            </w:r>
          </w:p>
        </w:tc>
        <w:tc>
          <w:tcPr>
            <w:tcW w:w="810" w:type="dxa"/>
            <w:tcBorders>
              <w:top w:val="nil"/>
              <w:left w:val="nil"/>
              <w:bottom w:val="single" w:sz="4" w:space="0" w:color="auto"/>
              <w:right w:val="single" w:sz="4" w:space="0" w:color="auto"/>
            </w:tcBorders>
            <w:shd w:val="clear" w:color="auto" w:fill="auto"/>
            <w:noWrap/>
            <w:vAlign w:val="bottom"/>
            <w:hideMark/>
          </w:tcPr>
          <w:p w14:paraId="1955A80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061BF175"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790AD1F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2F26075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60F44BF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17139894"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4A0987B2" w14:textId="77777777" w:rsidTr="00C731D8">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12568E"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4</w:t>
            </w:r>
          </w:p>
        </w:tc>
        <w:tc>
          <w:tcPr>
            <w:tcW w:w="2580" w:type="dxa"/>
            <w:tcBorders>
              <w:top w:val="nil"/>
              <w:left w:val="nil"/>
              <w:bottom w:val="single" w:sz="4" w:space="0" w:color="auto"/>
              <w:right w:val="single" w:sz="4" w:space="0" w:color="auto"/>
            </w:tcBorders>
            <w:shd w:val="clear" w:color="auto" w:fill="auto"/>
            <w:vAlign w:val="bottom"/>
            <w:hideMark/>
          </w:tcPr>
          <w:p w14:paraId="6E8F5A07"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condition of water pump for leaks and operation.</w:t>
            </w:r>
          </w:p>
        </w:tc>
        <w:tc>
          <w:tcPr>
            <w:tcW w:w="810" w:type="dxa"/>
            <w:tcBorders>
              <w:top w:val="nil"/>
              <w:left w:val="nil"/>
              <w:bottom w:val="single" w:sz="4" w:space="0" w:color="auto"/>
              <w:right w:val="single" w:sz="4" w:space="0" w:color="auto"/>
            </w:tcBorders>
            <w:shd w:val="clear" w:color="auto" w:fill="auto"/>
            <w:noWrap/>
            <w:vAlign w:val="bottom"/>
            <w:hideMark/>
          </w:tcPr>
          <w:p w14:paraId="0C7DB39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4D5F2A7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56ED71DF"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6E3652E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3517280F"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54688D82"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09A2E692" w14:textId="77777777" w:rsidTr="00C731D8">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A79ED7"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5</w:t>
            </w:r>
          </w:p>
        </w:tc>
        <w:tc>
          <w:tcPr>
            <w:tcW w:w="2580" w:type="dxa"/>
            <w:tcBorders>
              <w:top w:val="nil"/>
              <w:left w:val="nil"/>
              <w:bottom w:val="single" w:sz="4" w:space="0" w:color="auto"/>
              <w:right w:val="single" w:sz="4" w:space="0" w:color="auto"/>
            </w:tcBorders>
            <w:shd w:val="clear" w:color="auto" w:fill="auto"/>
            <w:vAlign w:val="bottom"/>
            <w:hideMark/>
          </w:tcPr>
          <w:p w14:paraId="3B857C84"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condition of radiator, cowling and remove debris.</w:t>
            </w:r>
          </w:p>
        </w:tc>
        <w:tc>
          <w:tcPr>
            <w:tcW w:w="810" w:type="dxa"/>
            <w:tcBorders>
              <w:top w:val="nil"/>
              <w:left w:val="nil"/>
              <w:bottom w:val="single" w:sz="4" w:space="0" w:color="auto"/>
              <w:right w:val="single" w:sz="4" w:space="0" w:color="auto"/>
            </w:tcBorders>
            <w:shd w:val="clear" w:color="auto" w:fill="auto"/>
            <w:noWrap/>
            <w:vAlign w:val="bottom"/>
            <w:hideMark/>
          </w:tcPr>
          <w:p w14:paraId="0B06A8B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19829F37"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4322BFB2"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2720EAC7"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34DBA95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69FC284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1E850FF6" w14:textId="77777777" w:rsidTr="00C731D8">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742549"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w:t>
            </w:r>
          </w:p>
        </w:tc>
        <w:tc>
          <w:tcPr>
            <w:tcW w:w="2580" w:type="dxa"/>
            <w:tcBorders>
              <w:top w:val="nil"/>
              <w:left w:val="nil"/>
              <w:bottom w:val="single" w:sz="4" w:space="0" w:color="auto"/>
              <w:right w:val="single" w:sz="4" w:space="0" w:color="auto"/>
            </w:tcBorders>
            <w:shd w:val="clear" w:color="auto" w:fill="auto"/>
            <w:vAlign w:val="bottom"/>
            <w:hideMark/>
          </w:tcPr>
          <w:p w14:paraId="07C74ED8"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Exhaust water-trap.</w:t>
            </w:r>
          </w:p>
        </w:tc>
        <w:tc>
          <w:tcPr>
            <w:tcW w:w="810" w:type="dxa"/>
            <w:tcBorders>
              <w:top w:val="nil"/>
              <w:left w:val="nil"/>
              <w:bottom w:val="single" w:sz="4" w:space="0" w:color="auto"/>
              <w:right w:val="single" w:sz="4" w:space="0" w:color="auto"/>
            </w:tcBorders>
            <w:shd w:val="clear" w:color="auto" w:fill="auto"/>
            <w:noWrap/>
            <w:vAlign w:val="bottom"/>
            <w:hideMark/>
          </w:tcPr>
          <w:p w14:paraId="04286879"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1D3C9FAF"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39C6B91E"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17B884C0"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477" w:type="dxa"/>
            <w:tcBorders>
              <w:top w:val="nil"/>
              <w:left w:val="nil"/>
              <w:bottom w:val="single" w:sz="4" w:space="0" w:color="auto"/>
              <w:right w:val="single" w:sz="4" w:space="0" w:color="auto"/>
            </w:tcBorders>
            <w:shd w:val="clear" w:color="auto" w:fill="auto"/>
            <w:noWrap/>
            <w:vAlign w:val="bottom"/>
            <w:hideMark/>
          </w:tcPr>
          <w:p w14:paraId="1CC96CD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7661BC6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464AA332"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C21CB7"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7</w:t>
            </w:r>
          </w:p>
        </w:tc>
        <w:tc>
          <w:tcPr>
            <w:tcW w:w="2580" w:type="dxa"/>
            <w:tcBorders>
              <w:top w:val="nil"/>
              <w:left w:val="nil"/>
              <w:bottom w:val="single" w:sz="4" w:space="0" w:color="auto"/>
              <w:right w:val="single" w:sz="4" w:space="0" w:color="auto"/>
            </w:tcBorders>
            <w:shd w:val="clear" w:color="auto" w:fill="auto"/>
            <w:vAlign w:val="bottom"/>
            <w:hideMark/>
          </w:tcPr>
          <w:p w14:paraId="3ED49C34"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operation of starter motor.</w:t>
            </w:r>
          </w:p>
        </w:tc>
        <w:tc>
          <w:tcPr>
            <w:tcW w:w="810" w:type="dxa"/>
            <w:tcBorders>
              <w:top w:val="nil"/>
              <w:left w:val="nil"/>
              <w:bottom w:val="single" w:sz="4" w:space="0" w:color="auto"/>
              <w:right w:val="single" w:sz="4" w:space="0" w:color="auto"/>
            </w:tcBorders>
            <w:shd w:val="clear" w:color="auto" w:fill="auto"/>
            <w:noWrap/>
            <w:vAlign w:val="bottom"/>
            <w:hideMark/>
          </w:tcPr>
          <w:p w14:paraId="7D795D50"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33FDD1E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2B697C7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08D94910"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12D49E24"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01C38ED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r>
      <w:tr w:rsidR="000B2A3E" w:rsidRPr="00AF45B7" w14:paraId="0B98AEAE" w14:textId="77777777" w:rsidTr="00C731D8">
        <w:trPr>
          <w:trHeight w:val="4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6382A5"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8</w:t>
            </w:r>
          </w:p>
        </w:tc>
        <w:tc>
          <w:tcPr>
            <w:tcW w:w="2580" w:type="dxa"/>
            <w:tcBorders>
              <w:top w:val="nil"/>
              <w:left w:val="nil"/>
              <w:bottom w:val="single" w:sz="4" w:space="0" w:color="auto"/>
              <w:right w:val="single" w:sz="4" w:space="0" w:color="auto"/>
            </w:tcBorders>
            <w:shd w:val="clear" w:color="auto" w:fill="auto"/>
            <w:vAlign w:val="bottom"/>
            <w:hideMark/>
          </w:tcPr>
          <w:p w14:paraId="5C97B760"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drive belt tension.</w:t>
            </w:r>
          </w:p>
        </w:tc>
        <w:tc>
          <w:tcPr>
            <w:tcW w:w="810" w:type="dxa"/>
            <w:tcBorders>
              <w:top w:val="nil"/>
              <w:left w:val="nil"/>
              <w:bottom w:val="single" w:sz="4" w:space="0" w:color="auto"/>
              <w:right w:val="single" w:sz="4" w:space="0" w:color="auto"/>
            </w:tcBorders>
            <w:shd w:val="clear" w:color="auto" w:fill="auto"/>
            <w:noWrap/>
            <w:vAlign w:val="bottom"/>
            <w:hideMark/>
          </w:tcPr>
          <w:p w14:paraId="4362C9FF"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3FEC1999"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5F9ED3E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6B333BA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2784322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158432A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4AD9ABC7"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71F38B"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9</w:t>
            </w:r>
          </w:p>
        </w:tc>
        <w:tc>
          <w:tcPr>
            <w:tcW w:w="2580" w:type="dxa"/>
            <w:tcBorders>
              <w:top w:val="nil"/>
              <w:left w:val="nil"/>
              <w:bottom w:val="single" w:sz="4" w:space="0" w:color="auto"/>
              <w:right w:val="single" w:sz="4" w:space="0" w:color="auto"/>
            </w:tcBorders>
            <w:shd w:val="clear" w:color="auto" w:fill="auto"/>
            <w:vAlign w:val="bottom"/>
            <w:hideMark/>
          </w:tcPr>
          <w:p w14:paraId="5D990D63"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alternator charging correctly.</w:t>
            </w:r>
          </w:p>
        </w:tc>
        <w:tc>
          <w:tcPr>
            <w:tcW w:w="810" w:type="dxa"/>
            <w:tcBorders>
              <w:top w:val="nil"/>
              <w:left w:val="nil"/>
              <w:bottom w:val="single" w:sz="4" w:space="0" w:color="auto"/>
              <w:right w:val="single" w:sz="4" w:space="0" w:color="auto"/>
            </w:tcBorders>
            <w:shd w:val="clear" w:color="auto" w:fill="auto"/>
            <w:noWrap/>
            <w:vAlign w:val="bottom"/>
            <w:hideMark/>
          </w:tcPr>
          <w:p w14:paraId="53A36C6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3F82724D"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0A67C75F"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4A58415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36D02297"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69CBCF39"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162E1C66" w14:textId="77777777" w:rsidTr="00C731D8">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9FC49E"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10</w:t>
            </w:r>
          </w:p>
        </w:tc>
        <w:tc>
          <w:tcPr>
            <w:tcW w:w="2580" w:type="dxa"/>
            <w:tcBorders>
              <w:top w:val="nil"/>
              <w:left w:val="nil"/>
              <w:bottom w:val="single" w:sz="4" w:space="0" w:color="auto"/>
              <w:right w:val="single" w:sz="4" w:space="0" w:color="auto"/>
            </w:tcBorders>
            <w:shd w:val="clear" w:color="auto" w:fill="auto"/>
            <w:vAlign w:val="bottom"/>
            <w:hideMark/>
          </w:tcPr>
          <w:p w14:paraId="5B469446"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starting batteries electrolyte level &amp; specific gravity.</w:t>
            </w:r>
          </w:p>
        </w:tc>
        <w:tc>
          <w:tcPr>
            <w:tcW w:w="810" w:type="dxa"/>
            <w:tcBorders>
              <w:top w:val="nil"/>
              <w:left w:val="nil"/>
              <w:bottom w:val="single" w:sz="4" w:space="0" w:color="auto"/>
              <w:right w:val="single" w:sz="4" w:space="0" w:color="auto"/>
            </w:tcBorders>
            <w:shd w:val="clear" w:color="auto" w:fill="auto"/>
            <w:noWrap/>
            <w:vAlign w:val="bottom"/>
            <w:hideMark/>
          </w:tcPr>
          <w:p w14:paraId="3DB32815"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1D1581A0"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5D1AA25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61D33E9E"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00163122"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6E6790E2"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5F36C237"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0444B5"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11</w:t>
            </w:r>
          </w:p>
        </w:tc>
        <w:tc>
          <w:tcPr>
            <w:tcW w:w="2580" w:type="dxa"/>
            <w:tcBorders>
              <w:top w:val="nil"/>
              <w:left w:val="nil"/>
              <w:bottom w:val="single" w:sz="4" w:space="0" w:color="auto"/>
              <w:right w:val="single" w:sz="4" w:space="0" w:color="auto"/>
            </w:tcBorders>
            <w:shd w:val="clear" w:color="auto" w:fill="auto"/>
            <w:vAlign w:val="bottom"/>
            <w:hideMark/>
          </w:tcPr>
          <w:p w14:paraId="78CC8A73"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Examine radiator hoses &amp; pipework.</w:t>
            </w:r>
          </w:p>
        </w:tc>
        <w:tc>
          <w:tcPr>
            <w:tcW w:w="810" w:type="dxa"/>
            <w:tcBorders>
              <w:top w:val="nil"/>
              <w:left w:val="nil"/>
              <w:bottom w:val="single" w:sz="4" w:space="0" w:color="auto"/>
              <w:right w:val="single" w:sz="4" w:space="0" w:color="auto"/>
            </w:tcBorders>
            <w:shd w:val="clear" w:color="auto" w:fill="auto"/>
            <w:noWrap/>
            <w:vAlign w:val="bottom"/>
            <w:hideMark/>
          </w:tcPr>
          <w:p w14:paraId="59E84E8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401A2980"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46B6E8C5"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720C9C2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68CFE5D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AB1B9EF"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5CF9DA21" w14:textId="77777777" w:rsidTr="00C731D8">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C5A141"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12</w:t>
            </w:r>
          </w:p>
        </w:tc>
        <w:tc>
          <w:tcPr>
            <w:tcW w:w="2580" w:type="dxa"/>
            <w:tcBorders>
              <w:top w:val="nil"/>
              <w:left w:val="nil"/>
              <w:bottom w:val="single" w:sz="4" w:space="0" w:color="auto"/>
              <w:right w:val="single" w:sz="4" w:space="0" w:color="auto"/>
            </w:tcBorders>
            <w:shd w:val="clear" w:color="auto" w:fill="auto"/>
            <w:vAlign w:val="bottom"/>
            <w:hideMark/>
          </w:tcPr>
          <w:p w14:paraId="02C81C53"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Generator performance, output voltage, Hz, Oil Pressure etc.</w:t>
            </w:r>
          </w:p>
        </w:tc>
        <w:tc>
          <w:tcPr>
            <w:tcW w:w="810" w:type="dxa"/>
            <w:tcBorders>
              <w:top w:val="nil"/>
              <w:left w:val="nil"/>
              <w:bottom w:val="single" w:sz="4" w:space="0" w:color="auto"/>
              <w:right w:val="single" w:sz="4" w:space="0" w:color="auto"/>
            </w:tcBorders>
            <w:shd w:val="clear" w:color="auto" w:fill="auto"/>
            <w:noWrap/>
            <w:vAlign w:val="bottom"/>
            <w:hideMark/>
          </w:tcPr>
          <w:p w14:paraId="51F34A3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7D73AE7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59F93E2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49D27B7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2AD68202"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246460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3CB24856"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31FE6D"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13</w:t>
            </w:r>
          </w:p>
        </w:tc>
        <w:tc>
          <w:tcPr>
            <w:tcW w:w="2580" w:type="dxa"/>
            <w:tcBorders>
              <w:top w:val="nil"/>
              <w:left w:val="nil"/>
              <w:bottom w:val="single" w:sz="4" w:space="0" w:color="auto"/>
              <w:right w:val="single" w:sz="4" w:space="0" w:color="auto"/>
            </w:tcBorders>
            <w:shd w:val="clear" w:color="auto" w:fill="auto"/>
            <w:vAlign w:val="bottom"/>
            <w:hideMark/>
          </w:tcPr>
          <w:p w14:paraId="30FA95A8" w14:textId="40148115"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xml:space="preserve">Sample </w:t>
            </w:r>
            <w:r w:rsidR="00C731D8" w:rsidRPr="00AF45B7">
              <w:rPr>
                <w:rFonts w:ascii="Calibri" w:eastAsia="Times New Roman" w:hAnsi="Calibri" w:cs="Calibri"/>
                <w:color w:val="000000"/>
                <w:kern w:val="0"/>
                <w:sz w:val="18"/>
                <w:szCs w:val="18"/>
                <w:lang w:eastAsia="en-GB"/>
                <w14:ligatures w14:val="none"/>
              </w:rPr>
              <w:t>test coolant</w:t>
            </w:r>
            <w:r w:rsidRPr="00AF45B7">
              <w:rPr>
                <w:rFonts w:ascii="Calibri" w:eastAsia="Times New Roman" w:hAnsi="Calibri" w:cs="Calibri"/>
                <w:color w:val="000000"/>
                <w:kern w:val="0"/>
                <w:sz w:val="18"/>
                <w:szCs w:val="18"/>
                <w:lang w:eastAsia="en-GB"/>
                <w14:ligatures w14:val="none"/>
              </w:rPr>
              <w:t>, oil, fuel and report.</w:t>
            </w:r>
          </w:p>
        </w:tc>
        <w:tc>
          <w:tcPr>
            <w:tcW w:w="810" w:type="dxa"/>
            <w:tcBorders>
              <w:top w:val="nil"/>
              <w:left w:val="nil"/>
              <w:bottom w:val="single" w:sz="4" w:space="0" w:color="auto"/>
              <w:right w:val="single" w:sz="4" w:space="0" w:color="auto"/>
            </w:tcBorders>
            <w:shd w:val="clear" w:color="auto" w:fill="auto"/>
            <w:noWrap/>
            <w:vAlign w:val="bottom"/>
            <w:hideMark/>
          </w:tcPr>
          <w:p w14:paraId="184C23D4"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3C072EA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nil"/>
              <w:right w:val="nil"/>
            </w:tcBorders>
            <w:shd w:val="clear" w:color="auto" w:fill="auto"/>
            <w:noWrap/>
            <w:vAlign w:val="bottom"/>
            <w:hideMark/>
          </w:tcPr>
          <w:p w14:paraId="7A9627DD"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6D84500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07FE26F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3C2A455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Y</w:t>
            </w:r>
          </w:p>
        </w:tc>
      </w:tr>
      <w:tr w:rsidR="000B2A3E" w:rsidRPr="00AF45B7" w14:paraId="0BDE9032" w14:textId="77777777" w:rsidTr="00C731D8">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8DD426"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14</w:t>
            </w:r>
          </w:p>
        </w:tc>
        <w:tc>
          <w:tcPr>
            <w:tcW w:w="2580" w:type="dxa"/>
            <w:tcBorders>
              <w:top w:val="nil"/>
              <w:left w:val="nil"/>
              <w:bottom w:val="single" w:sz="4" w:space="0" w:color="auto"/>
              <w:right w:val="single" w:sz="4" w:space="0" w:color="auto"/>
            </w:tcBorders>
            <w:shd w:val="clear" w:color="auto" w:fill="auto"/>
            <w:vAlign w:val="bottom"/>
            <w:hideMark/>
          </w:tcPr>
          <w:p w14:paraId="42108587"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Change air filters.</w:t>
            </w:r>
          </w:p>
        </w:tc>
        <w:tc>
          <w:tcPr>
            <w:tcW w:w="810" w:type="dxa"/>
            <w:tcBorders>
              <w:top w:val="nil"/>
              <w:left w:val="nil"/>
              <w:bottom w:val="single" w:sz="4" w:space="0" w:color="auto"/>
              <w:right w:val="single" w:sz="4" w:space="0" w:color="auto"/>
            </w:tcBorders>
            <w:shd w:val="clear" w:color="auto" w:fill="auto"/>
            <w:noWrap/>
            <w:vAlign w:val="bottom"/>
            <w:hideMark/>
          </w:tcPr>
          <w:p w14:paraId="0EDF701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2CDB4F30"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14:paraId="7479A672"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739" w:type="dxa"/>
            <w:tcBorders>
              <w:top w:val="nil"/>
              <w:left w:val="nil"/>
              <w:bottom w:val="single" w:sz="4" w:space="0" w:color="auto"/>
              <w:right w:val="single" w:sz="4" w:space="0" w:color="auto"/>
            </w:tcBorders>
            <w:shd w:val="clear" w:color="auto" w:fill="auto"/>
            <w:noWrap/>
            <w:vAlign w:val="bottom"/>
            <w:hideMark/>
          </w:tcPr>
          <w:p w14:paraId="79F3649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0966D465"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48EECA95"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Y</w:t>
            </w:r>
          </w:p>
        </w:tc>
      </w:tr>
      <w:tr w:rsidR="000B2A3E" w:rsidRPr="00AF45B7" w14:paraId="6C814632" w14:textId="77777777" w:rsidTr="00C731D8">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4E8E60"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15</w:t>
            </w:r>
          </w:p>
        </w:tc>
        <w:tc>
          <w:tcPr>
            <w:tcW w:w="2580" w:type="dxa"/>
            <w:tcBorders>
              <w:top w:val="nil"/>
              <w:left w:val="nil"/>
              <w:bottom w:val="single" w:sz="4" w:space="0" w:color="auto"/>
              <w:right w:val="single" w:sz="4" w:space="0" w:color="auto"/>
            </w:tcBorders>
            <w:shd w:val="clear" w:color="auto" w:fill="auto"/>
            <w:vAlign w:val="bottom"/>
            <w:hideMark/>
          </w:tcPr>
          <w:p w14:paraId="04B8EC45"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crankcase Heater and clean breather.</w:t>
            </w:r>
          </w:p>
        </w:tc>
        <w:tc>
          <w:tcPr>
            <w:tcW w:w="810" w:type="dxa"/>
            <w:tcBorders>
              <w:top w:val="nil"/>
              <w:left w:val="nil"/>
              <w:bottom w:val="single" w:sz="4" w:space="0" w:color="auto"/>
              <w:right w:val="single" w:sz="4" w:space="0" w:color="auto"/>
            </w:tcBorders>
            <w:shd w:val="clear" w:color="auto" w:fill="auto"/>
            <w:noWrap/>
            <w:vAlign w:val="bottom"/>
            <w:hideMark/>
          </w:tcPr>
          <w:p w14:paraId="454CBC0D"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2BD7264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77E4265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069ED7EE"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16CE8B8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CCB40C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Y</w:t>
            </w:r>
          </w:p>
        </w:tc>
      </w:tr>
      <w:tr w:rsidR="000B2A3E" w:rsidRPr="00AF45B7" w14:paraId="6441E4CB"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6ECA93"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16</w:t>
            </w:r>
          </w:p>
        </w:tc>
        <w:tc>
          <w:tcPr>
            <w:tcW w:w="2580" w:type="dxa"/>
            <w:tcBorders>
              <w:top w:val="nil"/>
              <w:left w:val="nil"/>
              <w:bottom w:val="single" w:sz="4" w:space="0" w:color="auto"/>
              <w:right w:val="single" w:sz="4" w:space="0" w:color="auto"/>
            </w:tcBorders>
            <w:shd w:val="clear" w:color="auto" w:fill="auto"/>
            <w:vAlign w:val="bottom"/>
            <w:hideMark/>
          </w:tcPr>
          <w:p w14:paraId="535E3E25"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Check injectors and glow plugs.</w:t>
            </w:r>
          </w:p>
        </w:tc>
        <w:tc>
          <w:tcPr>
            <w:tcW w:w="810" w:type="dxa"/>
            <w:tcBorders>
              <w:top w:val="nil"/>
              <w:left w:val="nil"/>
              <w:bottom w:val="single" w:sz="4" w:space="0" w:color="auto"/>
              <w:right w:val="single" w:sz="4" w:space="0" w:color="auto"/>
            </w:tcBorders>
            <w:shd w:val="clear" w:color="auto" w:fill="auto"/>
            <w:noWrap/>
            <w:vAlign w:val="bottom"/>
            <w:hideMark/>
          </w:tcPr>
          <w:p w14:paraId="6182FBFD"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7909FDF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0F61AE07"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315DF139"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7BFBF7C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C5CEECD"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59C34A78" w14:textId="77777777" w:rsidTr="00C731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F33409"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17</w:t>
            </w:r>
          </w:p>
        </w:tc>
        <w:tc>
          <w:tcPr>
            <w:tcW w:w="2580" w:type="dxa"/>
            <w:tcBorders>
              <w:top w:val="nil"/>
              <w:left w:val="nil"/>
              <w:bottom w:val="single" w:sz="4" w:space="0" w:color="auto"/>
              <w:right w:val="single" w:sz="4" w:space="0" w:color="auto"/>
            </w:tcBorders>
            <w:shd w:val="clear" w:color="auto" w:fill="auto"/>
            <w:vAlign w:val="bottom"/>
            <w:hideMark/>
          </w:tcPr>
          <w:p w14:paraId="63201383"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Fuel Testing/systems &amp; reconditioning.</w:t>
            </w:r>
          </w:p>
        </w:tc>
        <w:tc>
          <w:tcPr>
            <w:tcW w:w="810" w:type="dxa"/>
            <w:tcBorders>
              <w:top w:val="nil"/>
              <w:left w:val="nil"/>
              <w:bottom w:val="single" w:sz="4" w:space="0" w:color="auto"/>
              <w:right w:val="single" w:sz="4" w:space="0" w:color="auto"/>
            </w:tcBorders>
            <w:shd w:val="clear" w:color="auto" w:fill="auto"/>
            <w:noWrap/>
            <w:vAlign w:val="bottom"/>
            <w:hideMark/>
          </w:tcPr>
          <w:p w14:paraId="6099650D"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77C6831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15A0856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4A2B0ED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70E55E6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2A640291"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3Y</w:t>
            </w:r>
          </w:p>
        </w:tc>
      </w:tr>
      <w:tr w:rsidR="000B2A3E" w:rsidRPr="00AF45B7" w14:paraId="1122259C" w14:textId="77777777" w:rsidTr="00C731D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0CB69C"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18</w:t>
            </w:r>
          </w:p>
        </w:tc>
        <w:tc>
          <w:tcPr>
            <w:tcW w:w="2580" w:type="dxa"/>
            <w:tcBorders>
              <w:top w:val="nil"/>
              <w:left w:val="nil"/>
              <w:bottom w:val="single" w:sz="4" w:space="0" w:color="auto"/>
              <w:right w:val="single" w:sz="4" w:space="0" w:color="auto"/>
            </w:tcBorders>
            <w:shd w:val="clear" w:color="auto" w:fill="auto"/>
            <w:vAlign w:val="bottom"/>
            <w:hideMark/>
          </w:tcPr>
          <w:p w14:paraId="66C6506B"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Load bank test.</w:t>
            </w:r>
          </w:p>
        </w:tc>
        <w:tc>
          <w:tcPr>
            <w:tcW w:w="810" w:type="dxa"/>
            <w:tcBorders>
              <w:top w:val="nil"/>
              <w:left w:val="nil"/>
              <w:bottom w:val="single" w:sz="4" w:space="0" w:color="auto"/>
              <w:right w:val="single" w:sz="4" w:space="0" w:color="auto"/>
            </w:tcBorders>
            <w:shd w:val="clear" w:color="auto" w:fill="auto"/>
            <w:noWrap/>
            <w:vAlign w:val="bottom"/>
            <w:hideMark/>
          </w:tcPr>
          <w:p w14:paraId="6107F93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09F1168B"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00FA7844"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23E46AC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0CE1E064"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506A17DC"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Y</w:t>
            </w:r>
          </w:p>
        </w:tc>
      </w:tr>
      <w:tr w:rsidR="000B2A3E" w:rsidRPr="00AF45B7" w14:paraId="1355BDAB" w14:textId="77777777" w:rsidTr="00C731D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0982D3"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19</w:t>
            </w:r>
          </w:p>
        </w:tc>
        <w:tc>
          <w:tcPr>
            <w:tcW w:w="2580" w:type="dxa"/>
            <w:tcBorders>
              <w:top w:val="nil"/>
              <w:left w:val="nil"/>
              <w:bottom w:val="single" w:sz="4" w:space="0" w:color="auto"/>
              <w:right w:val="single" w:sz="4" w:space="0" w:color="auto"/>
            </w:tcBorders>
            <w:shd w:val="clear" w:color="auto" w:fill="auto"/>
            <w:vAlign w:val="bottom"/>
            <w:hideMark/>
          </w:tcPr>
          <w:p w14:paraId="15ECB87D" w14:textId="4D0418B3" w:rsidR="000B2A3E" w:rsidRPr="00AF45B7" w:rsidRDefault="00C731D8"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General</w:t>
            </w:r>
            <w:r w:rsidR="000B2A3E" w:rsidRPr="00AF45B7">
              <w:rPr>
                <w:rFonts w:ascii="Calibri" w:eastAsia="Times New Roman" w:hAnsi="Calibri" w:cs="Calibri"/>
                <w:color w:val="000000"/>
                <w:kern w:val="0"/>
                <w:sz w:val="18"/>
                <w:szCs w:val="18"/>
                <w:lang w:eastAsia="en-GB"/>
                <w14:ligatures w14:val="none"/>
              </w:rPr>
              <w:t xml:space="preserve"> clean and tidy.</w:t>
            </w:r>
          </w:p>
        </w:tc>
        <w:tc>
          <w:tcPr>
            <w:tcW w:w="810" w:type="dxa"/>
            <w:tcBorders>
              <w:top w:val="nil"/>
              <w:left w:val="nil"/>
              <w:bottom w:val="single" w:sz="4" w:space="0" w:color="auto"/>
              <w:right w:val="single" w:sz="4" w:space="0" w:color="auto"/>
            </w:tcBorders>
            <w:shd w:val="clear" w:color="auto" w:fill="auto"/>
            <w:noWrap/>
            <w:vAlign w:val="bottom"/>
            <w:hideMark/>
          </w:tcPr>
          <w:p w14:paraId="356E531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951" w:type="dxa"/>
            <w:tcBorders>
              <w:top w:val="nil"/>
              <w:left w:val="nil"/>
              <w:bottom w:val="single" w:sz="4" w:space="0" w:color="auto"/>
              <w:right w:val="single" w:sz="4" w:space="0" w:color="auto"/>
            </w:tcBorders>
            <w:shd w:val="clear" w:color="auto" w:fill="auto"/>
            <w:noWrap/>
            <w:vAlign w:val="bottom"/>
            <w:hideMark/>
          </w:tcPr>
          <w:p w14:paraId="6476CF0E"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3CF2384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3366071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477" w:type="dxa"/>
            <w:tcBorders>
              <w:top w:val="nil"/>
              <w:left w:val="nil"/>
              <w:bottom w:val="single" w:sz="4" w:space="0" w:color="auto"/>
              <w:right w:val="single" w:sz="4" w:space="0" w:color="auto"/>
            </w:tcBorders>
            <w:shd w:val="clear" w:color="auto" w:fill="auto"/>
            <w:noWrap/>
            <w:vAlign w:val="bottom"/>
            <w:hideMark/>
          </w:tcPr>
          <w:p w14:paraId="6C2AA42A"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3AE8E2E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6M</w:t>
            </w:r>
          </w:p>
        </w:tc>
      </w:tr>
      <w:tr w:rsidR="000B2A3E" w:rsidRPr="00AF45B7" w14:paraId="4969BEFE" w14:textId="77777777" w:rsidTr="0056219D">
        <w:trPr>
          <w:trHeight w:val="95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5A055D" w14:textId="77777777" w:rsidR="000B2A3E" w:rsidRPr="00AF45B7" w:rsidRDefault="000B2A3E" w:rsidP="00E03D45">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lastRenderedPageBreak/>
              <w:t>20</w:t>
            </w:r>
          </w:p>
        </w:tc>
        <w:tc>
          <w:tcPr>
            <w:tcW w:w="2580" w:type="dxa"/>
            <w:tcBorders>
              <w:top w:val="nil"/>
              <w:left w:val="nil"/>
              <w:bottom w:val="single" w:sz="4" w:space="0" w:color="auto"/>
              <w:right w:val="single" w:sz="4" w:space="0" w:color="auto"/>
            </w:tcBorders>
            <w:shd w:val="clear" w:color="auto" w:fill="auto"/>
            <w:vAlign w:val="bottom"/>
            <w:hideMark/>
          </w:tcPr>
          <w:p w14:paraId="278C9C20" w14:textId="77777777" w:rsidR="000B2A3E" w:rsidRPr="00AF45B7" w:rsidRDefault="000B2A3E" w:rsidP="000B2A3E">
            <w:pPr>
              <w:spacing w:after="0" w:line="240" w:lineRule="auto"/>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Flush, clean and replacement of cooling system and water treatment.</w:t>
            </w:r>
          </w:p>
        </w:tc>
        <w:tc>
          <w:tcPr>
            <w:tcW w:w="810" w:type="dxa"/>
            <w:tcBorders>
              <w:top w:val="nil"/>
              <w:left w:val="nil"/>
              <w:bottom w:val="single" w:sz="4" w:space="0" w:color="auto"/>
              <w:right w:val="single" w:sz="4" w:space="0" w:color="auto"/>
            </w:tcBorders>
            <w:shd w:val="clear" w:color="auto" w:fill="auto"/>
            <w:noWrap/>
            <w:vAlign w:val="bottom"/>
            <w:hideMark/>
          </w:tcPr>
          <w:p w14:paraId="584E3B3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4C425A50"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003" w:type="dxa"/>
            <w:tcBorders>
              <w:top w:val="nil"/>
              <w:left w:val="nil"/>
              <w:bottom w:val="single" w:sz="4" w:space="0" w:color="auto"/>
              <w:right w:val="single" w:sz="4" w:space="0" w:color="auto"/>
            </w:tcBorders>
            <w:shd w:val="clear" w:color="auto" w:fill="auto"/>
            <w:noWrap/>
            <w:vAlign w:val="bottom"/>
            <w:hideMark/>
          </w:tcPr>
          <w:p w14:paraId="288F84C8"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 </w:t>
            </w:r>
          </w:p>
        </w:tc>
        <w:tc>
          <w:tcPr>
            <w:tcW w:w="739" w:type="dxa"/>
            <w:tcBorders>
              <w:top w:val="nil"/>
              <w:left w:val="nil"/>
              <w:bottom w:val="single" w:sz="4" w:space="0" w:color="auto"/>
              <w:right w:val="single" w:sz="4" w:space="0" w:color="auto"/>
            </w:tcBorders>
            <w:shd w:val="clear" w:color="auto" w:fill="auto"/>
            <w:noWrap/>
            <w:vAlign w:val="bottom"/>
            <w:hideMark/>
          </w:tcPr>
          <w:p w14:paraId="24E5BEB4"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477" w:type="dxa"/>
            <w:tcBorders>
              <w:top w:val="nil"/>
              <w:left w:val="nil"/>
              <w:bottom w:val="single" w:sz="4" w:space="0" w:color="auto"/>
              <w:right w:val="single" w:sz="4" w:space="0" w:color="auto"/>
            </w:tcBorders>
            <w:shd w:val="clear" w:color="auto" w:fill="auto"/>
            <w:noWrap/>
            <w:vAlign w:val="bottom"/>
            <w:hideMark/>
          </w:tcPr>
          <w:p w14:paraId="1CD1D543"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X</w:t>
            </w:r>
          </w:p>
        </w:tc>
        <w:tc>
          <w:tcPr>
            <w:tcW w:w="1240" w:type="dxa"/>
            <w:tcBorders>
              <w:top w:val="nil"/>
              <w:left w:val="nil"/>
              <w:bottom w:val="single" w:sz="4" w:space="0" w:color="auto"/>
              <w:right w:val="single" w:sz="4" w:space="0" w:color="auto"/>
            </w:tcBorders>
            <w:shd w:val="clear" w:color="auto" w:fill="auto"/>
            <w:noWrap/>
            <w:vAlign w:val="bottom"/>
            <w:hideMark/>
          </w:tcPr>
          <w:p w14:paraId="38EF24F6" w14:textId="77777777" w:rsidR="000B2A3E" w:rsidRPr="00AF45B7" w:rsidRDefault="000B2A3E" w:rsidP="000B2A3E">
            <w:pPr>
              <w:spacing w:after="0" w:line="240" w:lineRule="auto"/>
              <w:jc w:val="center"/>
              <w:rPr>
                <w:rFonts w:ascii="Calibri" w:eastAsia="Times New Roman" w:hAnsi="Calibri" w:cs="Calibri"/>
                <w:color w:val="000000"/>
                <w:kern w:val="0"/>
                <w:sz w:val="18"/>
                <w:szCs w:val="18"/>
                <w:lang w:eastAsia="en-GB"/>
                <w14:ligatures w14:val="none"/>
              </w:rPr>
            </w:pPr>
            <w:r w:rsidRPr="00AF45B7">
              <w:rPr>
                <w:rFonts w:ascii="Calibri" w:eastAsia="Times New Roman" w:hAnsi="Calibri" w:cs="Calibri"/>
                <w:color w:val="000000"/>
                <w:kern w:val="0"/>
                <w:sz w:val="18"/>
                <w:szCs w:val="18"/>
                <w:lang w:eastAsia="en-GB"/>
                <w14:ligatures w14:val="none"/>
              </w:rPr>
              <w:t>3Y</w:t>
            </w:r>
          </w:p>
        </w:tc>
      </w:tr>
    </w:tbl>
    <w:p w14:paraId="53A263F7" w14:textId="36C12EFC" w:rsidR="000B2A3E" w:rsidRPr="00AF45B7" w:rsidRDefault="000B2A3E" w:rsidP="001B0F31">
      <w:pPr>
        <w:pStyle w:val="ListParagraph"/>
      </w:pPr>
    </w:p>
    <w:p w14:paraId="4C27669B" w14:textId="45262B51" w:rsidR="000C18E1" w:rsidRPr="00AF45B7" w:rsidRDefault="000C18E1" w:rsidP="000C18E1">
      <w:pPr>
        <w:pStyle w:val="ListParagraph"/>
        <w:numPr>
          <w:ilvl w:val="0"/>
          <w:numId w:val="1"/>
        </w:numPr>
        <w:rPr>
          <w:u w:val="single"/>
        </w:rPr>
      </w:pPr>
      <w:r w:rsidRPr="00AF45B7">
        <w:rPr>
          <w:u w:val="single"/>
        </w:rPr>
        <w:t xml:space="preserve">Callout and </w:t>
      </w:r>
      <w:r w:rsidR="00757A1A" w:rsidRPr="00AF45B7">
        <w:rPr>
          <w:u w:val="single"/>
        </w:rPr>
        <w:t xml:space="preserve">KPI </w:t>
      </w:r>
      <w:r w:rsidRPr="00AF45B7">
        <w:rPr>
          <w:u w:val="single"/>
        </w:rPr>
        <w:t>requirement</w:t>
      </w:r>
      <w:r w:rsidR="0009420E" w:rsidRPr="00AF45B7">
        <w:rPr>
          <w:u w:val="single"/>
        </w:rPr>
        <w:t>.</w:t>
      </w:r>
    </w:p>
    <w:p w14:paraId="48A966EA" w14:textId="351D2CDF" w:rsidR="0009420E" w:rsidRPr="00AF45B7" w:rsidRDefault="0009420E" w:rsidP="0009420E">
      <w:pPr>
        <w:pStyle w:val="ListParagraph"/>
      </w:pPr>
      <w:r w:rsidRPr="00AF45B7">
        <w:t xml:space="preserve">Callout to site 24/7 with a </w:t>
      </w:r>
      <w:r w:rsidR="00AE44C6" w:rsidRPr="00AF45B7">
        <w:t>4-hour</w:t>
      </w:r>
      <w:r w:rsidRPr="00AF45B7">
        <w:t xml:space="preserve"> response time, </w:t>
      </w:r>
      <w:r w:rsidR="00757A1A" w:rsidRPr="00AF45B7">
        <w:t xml:space="preserve">Engineering </w:t>
      </w:r>
      <w:r w:rsidRPr="00AF45B7">
        <w:t xml:space="preserve">team </w:t>
      </w:r>
      <w:r w:rsidR="00757A1A" w:rsidRPr="00AF45B7">
        <w:t>(</w:t>
      </w:r>
      <w:r w:rsidRPr="00AF45B7">
        <w:t>in case of an emergency</w:t>
      </w:r>
      <w:r w:rsidR="00757A1A" w:rsidRPr="00AF45B7">
        <w:t>)</w:t>
      </w:r>
      <w:r w:rsidRPr="00AF45B7">
        <w:t xml:space="preserve"> must be able to speak with an engineer </w:t>
      </w:r>
      <w:r w:rsidR="00757A1A" w:rsidRPr="00AF45B7">
        <w:t xml:space="preserve">via phone </w:t>
      </w:r>
      <w:r w:rsidRPr="00AF45B7">
        <w:t>for advice if catastrophic issue occurs on site</w:t>
      </w:r>
      <w:r w:rsidR="00757A1A" w:rsidRPr="00AF45B7">
        <w:t>.</w:t>
      </w:r>
    </w:p>
    <w:p w14:paraId="7B834693" w14:textId="21E14E0B" w:rsidR="00757A1A" w:rsidRPr="00AF45B7" w:rsidRDefault="00757A1A" w:rsidP="0009420E">
      <w:pPr>
        <w:pStyle w:val="ListParagraph"/>
      </w:pPr>
      <w:r w:rsidRPr="00AF45B7">
        <w:t>Service visits must be completed on the days they are booked (Min 2 weeks in advance) as extensive work behind the scenes with permits and building closures will be arranged for on load testing etc.</w:t>
      </w:r>
    </w:p>
    <w:p w14:paraId="371537F1" w14:textId="623977DE" w:rsidR="00757A1A" w:rsidRPr="00AF45B7" w:rsidRDefault="00757A1A" w:rsidP="0009420E">
      <w:pPr>
        <w:pStyle w:val="ListParagraph"/>
      </w:pPr>
      <w:r w:rsidRPr="00AF45B7">
        <w:t>Quotations for remedial works to be submitted within 5 working days of service visit or callout.</w:t>
      </w:r>
    </w:p>
    <w:p w14:paraId="2D2A8A16" w14:textId="19222B63" w:rsidR="00757A1A" w:rsidRPr="00AF45B7" w:rsidRDefault="00757A1A" w:rsidP="0009420E">
      <w:pPr>
        <w:pStyle w:val="ListParagraph"/>
      </w:pPr>
      <w:r w:rsidRPr="00AF45B7">
        <w:t>Upon issue of purchase order for remedial works these works must be completed within 5 working days or within 5 working days of materials lead in time.</w:t>
      </w:r>
      <w:r w:rsidR="00636D8A" w:rsidRPr="00AF45B7">
        <w:t xml:space="preserve"> Times to be scheduled in line with sites building shutdown and maintenance works.</w:t>
      </w:r>
    </w:p>
    <w:p w14:paraId="7BF67744" w14:textId="77777777" w:rsidR="00414944" w:rsidRPr="00AF45B7" w:rsidRDefault="00414944" w:rsidP="0009420E">
      <w:pPr>
        <w:pStyle w:val="ListParagraph"/>
      </w:pPr>
    </w:p>
    <w:p w14:paraId="42AA2500" w14:textId="19A37288" w:rsidR="00757A1A" w:rsidRPr="00AF45B7" w:rsidRDefault="00757A1A" w:rsidP="0009420E">
      <w:pPr>
        <w:pStyle w:val="ListParagraph"/>
      </w:pPr>
      <w:r w:rsidRPr="00AF45B7">
        <w:t>Areas where servicing or works taking place must be kept clean and tidy and barriered off if required and all waste must be removed from site on completion of works.</w:t>
      </w:r>
    </w:p>
    <w:p w14:paraId="40A3F1E1" w14:textId="1D38B804" w:rsidR="00757A1A" w:rsidRPr="00AF45B7" w:rsidRDefault="00757A1A" w:rsidP="0009420E">
      <w:pPr>
        <w:pStyle w:val="ListParagraph"/>
      </w:pPr>
      <w:r w:rsidRPr="00AF45B7">
        <w:t>RAMS to be provided no less than 5 calendar days prior to commencement of the work.</w:t>
      </w:r>
    </w:p>
    <w:p w14:paraId="6E7D2A03" w14:textId="1FC4B03C" w:rsidR="006E28A8" w:rsidRPr="00AF45B7" w:rsidRDefault="006E28A8" w:rsidP="0009420E">
      <w:pPr>
        <w:pStyle w:val="ListParagraph"/>
      </w:pPr>
      <w:r w:rsidRPr="00AF45B7">
        <w:t>Comply with all site rules and processes reporting to the Site Electrical Supervisor.</w:t>
      </w:r>
    </w:p>
    <w:p w14:paraId="25402234" w14:textId="199D04B4" w:rsidR="006E28A8" w:rsidRPr="00AF45B7" w:rsidRDefault="006E28A8" w:rsidP="0009420E">
      <w:pPr>
        <w:pStyle w:val="ListParagraph"/>
      </w:pPr>
      <w:r w:rsidRPr="00AF45B7">
        <w:t>Invoices to be submitted with supporting paperwork within 1 week of the completion of service visits or remedial works.</w:t>
      </w:r>
    </w:p>
    <w:p w14:paraId="6210A2A9" w14:textId="0E8A85D3" w:rsidR="006E28A8" w:rsidRPr="00AF45B7" w:rsidRDefault="006E28A8" w:rsidP="0009420E">
      <w:pPr>
        <w:pStyle w:val="ListParagraph"/>
      </w:pPr>
      <w:r w:rsidRPr="00AF45B7">
        <w:t>Invoices for maintenance or callout/quoted extra works to quote relevant Institute Purchase order number.</w:t>
      </w:r>
    </w:p>
    <w:p w14:paraId="77DDBF92" w14:textId="3B79018F" w:rsidR="006E28A8" w:rsidRPr="00AF45B7" w:rsidRDefault="006E28A8" w:rsidP="0009420E">
      <w:pPr>
        <w:pStyle w:val="ListParagraph"/>
      </w:pPr>
      <w:r w:rsidRPr="00AF45B7">
        <w:t>Purchase order for callout/reactive works to be obtained prior to commencing works (excluding “Out of hours” callout or emergency works)</w:t>
      </w:r>
    </w:p>
    <w:p w14:paraId="3FED9A6F" w14:textId="6BFD65E9" w:rsidR="006E28A8" w:rsidRPr="00AF45B7" w:rsidRDefault="00414944" w:rsidP="00414944">
      <w:pPr>
        <w:pStyle w:val="ListParagraph"/>
      </w:pPr>
      <w:r w:rsidRPr="00AF45B7">
        <w:t xml:space="preserve">Narrow angle photos of equipment or parts will be strictly controlled, no open area or wide-angle photos are strictly prohibited. Reporting outside of site on social media is strictly prohibited and use of site as an “case study” will only be granted after appropriate Pirbright scrutiny. </w:t>
      </w:r>
    </w:p>
    <w:p w14:paraId="5726564B" w14:textId="77777777" w:rsidR="006E28A8" w:rsidRPr="00AF45B7" w:rsidRDefault="006E28A8" w:rsidP="006E28A8">
      <w:pPr>
        <w:pStyle w:val="ListParagraph"/>
      </w:pPr>
    </w:p>
    <w:p w14:paraId="204C808C" w14:textId="5655458B" w:rsidR="000C18E1" w:rsidRPr="00AF45B7" w:rsidRDefault="000C18E1" w:rsidP="000C18E1">
      <w:pPr>
        <w:pStyle w:val="ListParagraph"/>
        <w:numPr>
          <w:ilvl w:val="0"/>
          <w:numId w:val="1"/>
        </w:numPr>
        <w:rPr>
          <w:u w:val="single"/>
        </w:rPr>
      </w:pPr>
      <w:r w:rsidRPr="00AF45B7">
        <w:rPr>
          <w:u w:val="single"/>
        </w:rPr>
        <w:t>Supply of emergency standby generators</w:t>
      </w:r>
      <w:r w:rsidR="006E28A8" w:rsidRPr="00AF45B7">
        <w:rPr>
          <w:u w:val="single"/>
        </w:rPr>
        <w:t>.</w:t>
      </w:r>
    </w:p>
    <w:p w14:paraId="2DDD3A1D" w14:textId="45597D5A" w:rsidR="006E28A8" w:rsidRPr="00AF45B7" w:rsidRDefault="00B9391B" w:rsidP="006E28A8">
      <w:pPr>
        <w:pStyle w:val="ListParagraph"/>
      </w:pPr>
      <w:r w:rsidRPr="00AF45B7">
        <w:t xml:space="preserve">In the event of failure to critical infrastructure the Institute must be able to rely on swift </w:t>
      </w:r>
      <w:r w:rsidR="00C17BAD" w:rsidRPr="00AF45B7">
        <w:t>engineering attendance</w:t>
      </w:r>
      <w:r w:rsidRPr="00AF45B7">
        <w:t xml:space="preserve"> with diesel generators and associated cabling in a range from </w:t>
      </w:r>
      <w:r w:rsidR="00F643C3" w:rsidRPr="00AF45B7">
        <w:t>2</w:t>
      </w:r>
      <w:r w:rsidRPr="00AF45B7">
        <w:t xml:space="preserve">00kVA to1500kVA engines within time measure associated with a </w:t>
      </w:r>
      <w:r w:rsidR="00C17BAD" w:rsidRPr="00AF45B7">
        <w:t>high</w:t>
      </w:r>
      <w:r w:rsidRPr="00AF45B7">
        <w:t xml:space="preserve"> containment site.</w:t>
      </w:r>
      <w:r w:rsidR="000348FA" w:rsidRPr="00AF45B7">
        <w:t xml:space="preserve"> Suggested time frame is 4 hours between callout and site attendance.</w:t>
      </w:r>
    </w:p>
    <w:p w14:paraId="24CFACAD" w14:textId="77777777" w:rsidR="00236E45" w:rsidRPr="00AF45B7" w:rsidRDefault="00236E45" w:rsidP="006E28A8">
      <w:pPr>
        <w:pStyle w:val="ListParagraph"/>
      </w:pPr>
    </w:p>
    <w:p w14:paraId="54CAB853" w14:textId="6E3F6266" w:rsidR="000C18E1" w:rsidRPr="00AF45B7" w:rsidRDefault="000C18E1" w:rsidP="000C18E1">
      <w:pPr>
        <w:pStyle w:val="ListParagraph"/>
        <w:numPr>
          <w:ilvl w:val="0"/>
          <w:numId w:val="1"/>
        </w:numPr>
        <w:rPr>
          <w:u w:val="single"/>
        </w:rPr>
      </w:pPr>
      <w:r w:rsidRPr="00AF45B7">
        <w:rPr>
          <w:u w:val="single"/>
        </w:rPr>
        <w:t>Site equipment</w:t>
      </w:r>
      <w:r w:rsidR="000348FA" w:rsidRPr="00AF45B7">
        <w:rPr>
          <w:u w:val="single"/>
        </w:rPr>
        <w:t>.</w:t>
      </w:r>
    </w:p>
    <w:p w14:paraId="1D6E6E0A" w14:textId="123C3B3A" w:rsidR="000348FA" w:rsidRPr="00AF45B7" w:rsidRDefault="00C17BAD" w:rsidP="000348FA">
      <w:pPr>
        <w:pStyle w:val="ListParagraph"/>
      </w:pPr>
      <w:r w:rsidRPr="00AF45B7">
        <w:t>1. Ash IT Room –</w:t>
      </w:r>
      <w:r w:rsidR="00DF4294" w:rsidRPr="00AF45B7">
        <w:t xml:space="preserve"> </w:t>
      </w:r>
      <w:r w:rsidR="008E15F6" w:rsidRPr="00AF45B7">
        <w:t xml:space="preserve">John Deere/Leroy </w:t>
      </w:r>
      <w:proofErr w:type="spellStart"/>
      <w:r w:rsidR="008E15F6" w:rsidRPr="00AF45B7">
        <w:t>Somer</w:t>
      </w:r>
      <w:proofErr w:type="spellEnd"/>
      <w:r w:rsidR="008E15F6" w:rsidRPr="00AF45B7">
        <w:t xml:space="preserve"> </w:t>
      </w:r>
      <w:r w:rsidRPr="00AF45B7">
        <w:t>SDMO</w:t>
      </w:r>
      <w:r w:rsidR="008E15F6" w:rsidRPr="00AF45B7">
        <w:t xml:space="preserve"> - </w:t>
      </w:r>
      <w:r w:rsidR="00DF4294" w:rsidRPr="00AF45B7">
        <w:t>100kVA</w:t>
      </w:r>
      <w:r w:rsidRPr="00AF45B7">
        <w:t xml:space="preserve"> </w:t>
      </w:r>
    </w:p>
    <w:p w14:paraId="1122ECEE" w14:textId="0BB21BEF" w:rsidR="00C17BAD" w:rsidRPr="00AF45B7" w:rsidRDefault="00C17BAD" w:rsidP="000348FA">
      <w:pPr>
        <w:pStyle w:val="ListParagraph"/>
      </w:pPr>
      <w:r w:rsidRPr="00AF45B7">
        <w:t>2. EC1 No 1 –</w:t>
      </w:r>
      <w:r w:rsidR="008E15F6" w:rsidRPr="00AF45B7">
        <w:t xml:space="preserve"> Perkins/Marrelli</w:t>
      </w:r>
      <w:r w:rsidRPr="00AF45B7">
        <w:t xml:space="preserve"> Musgrave</w:t>
      </w:r>
      <w:r w:rsidR="008E15F6" w:rsidRPr="00AF45B7">
        <w:t xml:space="preserve"> - </w:t>
      </w:r>
      <w:r w:rsidRPr="00AF45B7">
        <w:t>1500kVA</w:t>
      </w:r>
    </w:p>
    <w:p w14:paraId="5D8A7D5F" w14:textId="4D2746E3" w:rsidR="00C17BAD" w:rsidRPr="00AF45B7" w:rsidRDefault="00C17BAD" w:rsidP="000348FA">
      <w:pPr>
        <w:pStyle w:val="ListParagraph"/>
      </w:pPr>
      <w:r w:rsidRPr="00AF45B7">
        <w:t xml:space="preserve">3. EC1 No 2 – </w:t>
      </w:r>
      <w:r w:rsidR="008E15F6" w:rsidRPr="00AF45B7">
        <w:t xml:space="preserve">Perkins/Marrelli </w:t>
      </w:r>
      <w:r w:rsidRPr="00AF45B7">
        <w:t xml:space="preserve">Musgrave </w:t>
      </w:r>
      <w:r w:rsidR="008E15F6" w:rsidRPr="00AF45B7">
        <w:t xml:space="preserve">- </w:t>
      </w:r>
      <w:r w:rsidRPr="00AF45B7">
        <w:t>1500kVA</w:t>
      </w:r>
    </w:p>
    <w:p w14:paraId="056BA1BB" w14:textId="7C0482E1" w:rsidR="00C17BAD" w:rsidRPr="00AF45B7" w:rsidRDefault="00C17BAD" w:rsidP="000348FA">
      <w:pPr>
        <w:pStyle w:val="ListParagraph"/>
      </w:pPr>
      <w:r w:rsidRPr="00AF45B7">
        <w:t xml:space="preserve">4. Mobile- </w:t>
      </w:r>
      <w:proofErr w:type="spellStart"/>
      <w:r w:rsidR="00DF4294" w:rsidRPr="00AF45B7">
        <w:t>Mecc</w:t>
      </w:r>
      <w:proofErr w:type="spellEnd"/>
      <w:r w:rsidR="00DF4294" w:rsidRPr="00AF45B7">
        <w:t xml:space="preserve"> Alte/</w:t>
      </w:r>
      <w:proofErr w:type="spellStart"/>
      <w:r w:rsidR="00DF4294" w:rsidRPr="00AF45B7">
        <w:t>Paramac</w:t>
      </w:r>
      <w:proofErr w:type="spellEnd"/>
      <w:r w:rsidR="008E15F6" w:rsidRPr="00AF45B7">
        <w:t xml:space="preserve"> Volvo </w:t>
      </w:r>
      <w:r w:rsidRPr="00AF45B7">
        <w:t xml:space="preserve">GSW510V </w:t>
      </w:r>
      <w:r w:rsidR="008E15F6" w:rsidRPr="00AF45B7">
        <w:t xml:space="preserve">- </w:t>
      </w:r>
      <w:r w:rsidRPr="00AF45B7">
        <w:t>510kVA</w:t>
      </w:r>
    </w:p>
    <w:p w14:paraId="1341F90B" w14:textId="051ED5B5" w:rsidR="00C17BAD" w:rsidRPr="00AF45B7" w:rsidRDefault="00C17BAD" w:rsidP="000348FA">
      <w:pPr>
        <w:pStyle w:val="ListParagraph"/>
      </w:pPr>
      <w:r w:rsidRPr="00AF45B7">
        <w:t xml:space="preserve">5. </w:t>
      </w:r>
      <w:r w:rsidR="00DF4294" w:rsidRPr="00AF45B7">
        <w:t>ISO compound – Kohler/Mitsubishi</w:t>
      </w:r>
      <w:r w:rsidR="008E15F6" w:rsidRPr="00AF45B7">
        <w:t xml:space="preserve"> -</w:t>
      </w:r>
      <w:r w:rsidR="00DF4294" w:rsidRPr="00AF45B7">
        <w:t>1500kVA</w:t>
      </w:r>
    </w:p>
    <w:p w14:paraId="6D34B64A" w14:textId="17131910" w:rsidR="00DF4294" w:rsidRPr="00AF45B7" w:rsidRDefault="00DF4294" w:rsidP="000348FA">
      <w:pPr>
        <w:pStyle w:val="ListParagraph"/>
      </w:pPr>
      <w:r w:rsidRPr="00AF45B7">
        <w:t xml:space="preserve">6. T7 – Inter Power MTU/Marelli </w:t>
      </w:r>
      <w:r w:rsidR="008E15F6" w:rsidRPr="00AF45B7">
        <w:t xml:space="preserve">- </w:t>
      </w:r>
      <w:r w:rsidRPr="00AF45B7">
        <w:t>1100kVA</w:t>
      </w:r>
    </w:p>
    <w:p w14:paraId="1ED64703" w14:textId="406524B3" w:rsidR="008E15F6" w:rsidRPr="00AF45B7" w:rsidRDefault="008E15F6" w:rsidP="000348FA">
      <w:pPr>
        <w:pStyle w:val="ListParagraph"/>
      </w:pPr>
      <w:r w:rsidRPr="00AF45B7">
        <w:t xml:space="preserve">7. Jenner - </w:t>
      </w:r>
      <w:proofErr w:type="spellStart"/>
      <w:r w:rsidRPr="00AF45B7">
        <w:t>Mecc</w:t>
      </w:r>
      <w:proofErr w:type="spellEnd"/>
      <w:r w:rsidRPr="00AF45B7">
        <w:t xml:space="preserve"> Alte/</w:t>
      </w:r>
      <w:proofErr w:type="spellStart"/>
      <w:r w:rsidRPr="00AF45B7">
        <w:t>Paramac</w:t>
      </w:r>
      <w:proofErr w:type="spellEnd"/>
      <w:r w:rsidRPr="00AF45B7">
        <w:t xml:space="preserve"> Volvo GSW510V - 510kVA</w:t>
      </w:r>
    </w:p>
    <w:p w14:paraId="6DA13E7E" w14:textId="79D3BB8B" w:rsidR="008E15F6" w:rsidRPr="00AF45B7" w:rsidRDefault="008E15F6" w:rsidP="00CE65F9">
      <w:pPr>
        <w:pStyle w:val="ListParagraph"/>
      </w:pPr>
      <w:r w:rsidRPr="00AF45B7">
        <w:t>8. Brooksby – Stamford/Cummins GS38 – 1100kVA</w:t>
      </w:r>
    </w:p>
    <w:p w14:paraId="6A3F7C44" w14:textId="528034C1" w:rsidR="0054347D" w:rsidRDefault="0054347D" w:rsidP="00CE65F9">
      <w:pPr>
        <w:pStyle w:val="ListParagraph"/>
      </w:pPr>
      <w:r w:rsidRPr="00AF45B7">
        <w:t>9. CDC – John Deer</w:t>
      </w:r>
      <w:r w:rsidR="00BE5DBA" w:rsidRPr="00AF45B7">
        <w:t>e</w:t>
      </w:r>
      <w:r w:rsidRPr="00AF45B7">
        <w:t xml:space="preserve"> Kohler J200 – 200kVA</w:t>
      </w:r>
    </w:p>
    <w:p w14:paraId="2E76D631" w14:textId="77777777" w:rsidR="00BB0A37" w:rsidRDefault="00BB0A37" w:rsidP="00CE65F9">
      <w:pPr>
        <w:pStyle w:val="ListParagraph"/>
      </w:pPr>
    </w:p>
    <w:p w14:paraId="52AE3102" w14:textId="77777777" w:rsidR="00BB0A37" w:rsidRPr="00AF45B7" w:rsidRDefault="00BB0A37" w:rsidP="00CE65F9">
      <w:pPr>
        <w:pStyle w:val="ListParagraph"/>
      </w:pPr>
    </w:p>
    <w:p w14:paraId="752BE4A5" w14:textId="77777777" w:rsidR="00C17BAD" w:rsidRPr="00AF45B7" w:rsidRDefault="00C17BAD" w:rsidP="000348FA">
      <w:pPr>
        <w:pStyle w:val="ListParagraph"/>
      </w:pPr>
    </w:p>
    <w:p w14:paraId="38246638" w14:textId="4E7EE1B1" w:rsidR="000C18E1" w:rsidRPr="00AF45B7" w:rsidRDefault="000C18E1" w:rsidP="000C18E1">
      <w:pPr>
        <w:pStyle w:val="ListParagraph"/>
        <w:numPr>
          <w:ilvl w:val="0"/>
          <w:numId w:val="1"/>
        </w:numPr>
        <w:rPr>
          <w:u w:val="single"/>
        </w:rPr>
      </w:pPr>
      <w:r w:rsidRPr="00AF45B7">
        <w:rPr>
          <w:u w:val="single"/>
        </w:rPr>
        <w:lastRenderedPageBreak/>
        <w:t>Reports</w:t>
      </w:r>
      <w:r w:rsidR="00CE65F9" w:rsidRPr="00AF45B7">
        <w:rPr>
          <w:u w:val="single"/>
        </w:rPr>
        <w:t>.</w:t>
      </w:r>
    </w:p>
    <w:p w14:paraId="7CE0254F" w14:textId="52473B8A" w:rsidR="00CE65F9" w:rsidRPr="00AF45B7" w:rsidRDefault="00236E45" w:rsidP="00CE65F9">
      <w:pPr>
        <w:pStyle w:val="ListParagraph"/>
      </w:pPr>
      <w:r w:rsidRPr="00AF45B7">
        <w:t xml:space="preserve">All service reports must be made via email attachment (PDF) to site Electrical Supervisor or Technical expert </w:t>
      </w:r>
      <w:proofErr w:type="spellStart"/>
      <w:r w:rsidRPr="00AF45B7">
        <w:t>with in</w:t>
      </w:r>
      <w:proofErr w:type="spellEnd"/>
      <w:r w:rsidRPr="00AF45B7">
        <w:t xml:space="preserve"> 48 hours of service date. Any pressing issues noted when servicing must be brought to the attention of the site Electrical Supervisor or Electrical Technical expert. </w:t>
      </w:r>
    </w:p>
    <w:p w14:paraId="420A05A7" w14:textId="77777777" w:rsidR="00236E45" w:rsidRPr="00AF45B7" w:rsidRDefault="00236E45" w:rsidP="00CE65F9">
      <w:pPr>
        <w:pStyle w:val="ListParagraph"/>
      </w:pPr>
    </w:p>
    <w:p w14:paraId="5BD0CC4D" w14:textId="3BFF3E0E" w:rsidR="000C18E1" w:rsidRPr="00AF45B7" w:rsidRDefault="000C18E1" w:rsidP="000C18E1">
      <w:pPr>
        <w:pStyle w:val="ListParagraph"/>
        <w:numPr>
          <w:ilvl w:val="0"/>
          <w:numId w:val="1"/>
        </w:numPr>
        <w:rPr>
          <w:u w:val="single"/>
        </w:rPr>
      </w:pPr>
      <w:r w:rsidRPr="00AF45B7">
        <w:rPr>
          <w:u w:val="single"/>
        </w:rPr>
        <w:t>Extra to contract works Hourly rates etc</w:t>
      </w:r>
      <w:r w:rsidR="00236E45" w:rsidRPr="00AF45B7">
        <w:rPr>
          <w:u w:val="single"/>
        </w:rPr>
        <w:t>.</w:t>
      </w:r>
    </w:p>
    <w:p w14:paraId="2BB99B6D" w14:textId="77777777" w:rsidR="00636D8A" w:rsidRPr="00AF45B7" w:rsidRDefault="00636D8A" w:rsidP="00236E45">
      <w:pPr>
        <w:pStyle w:val="ListParagraph"/>
      </w:pPr>
      <w:r w:rsidRPr="00AF45B7">
        <w:t>Schedule of costs.</w:t>
      </w:r>
    </w:p>
    <w:p w14:paraId="2115E932" w14:textId="77777777" w:rsidR="006E2B0D" w:rsidRDefault="006E2B0D" w:rsidP="00236E45">
      <w:pPr>
        <w:pStyle w:val="ListParagraph"/>
      </w:pPr>
    </w:p>
    <w:p w14:paraId="73B564EA" w14:textId="44C051FB" w:rsidR="00236E45" w:rsidRPr="00AF45B7" w:rsidRDefault="00236E45" w:rsidP="00236E45">
      <w:pPr>
        <w:pStyle w:val="ListParagraph"/>
      </w:pPr>
      <w:r w:rsidRPr="00AF45B7">
        <w:t xml:space="preserve">Day works rates, </w:t>
      </w:r>
      <w:r w:rsidR="00636D8A" w:rsidRPr="00AF45B7">
        <w:t xml:space="preserve">weekend works rates, </w:t>
      </w:r>
      <w:r w:rsidRPr="00AF45B7">
        <w:t xml:space="preserve">callout rates, site attendance </w:t>
      </w:r>
      <w:r w:rsidR="00636D8A" w:rsidRPr="00AF45B7">
        <w:t xml:space="preserve">rates </w:t>
      </w:r>
      <w:r w:rsidRPr="00AF45B7">
        <w:t xml:space="preserve">due to black building testing or other requirements where a skilled generator engineer are required in case of </w:t>
      </w:r>
      <w:r w:rsidR="00AE44C6" w:rsidRPr="00AF45B7">
        <w:t>emergencies</w:t>
      </w:r>
      <w:r w:rsidRPr="00AF45B7">
        <w:t xml:space="preserve"> </w:t>
      </w:r>
      <w:r w:rsidR="00636D8A" w:rsidRPr="00AF45B7">
        <w:t>and technical support rates are all required and agreed beforehand.</w:t>
      </w:r>
    </w:p>
    <w:p w14:paraId="4C89B709" w14:textId="604223E7" w:rsidR="00414944" w:rsidRPr="00AF45B7" w:rsidRDefault="00414944" w:rsidP="00236E45">
      <w:pPr>
        <w:pStyle w:val="ListParagraph"/>
      </w:pPr>
      <w:r w:rsidRPr="00AF45B7">
        <w:t>Escalation.</w:t>
      </w:r>
    </w:p>
    <w:p w14:paraId="0E631CCB" w14:textId="0E46949F" w:rsidR="00414944" w:rsidRPr="00AF45B7" w:rsidRDefault="00414944" w:rsidP="00236E45">
      <w:pPr>
        <w:pStyle w:val="ListParagraph"/>
      </w:pPr>
      <w:r w:rsidRPr="00AF45B7">
        <w:t xml:space="preserve">All issues must be raised in the first instance with the Pirbright Institute EMS </w:t>
      </w:r>
      <w:r w:rsidR="006E2B0D">
        <w:t>E</w:t>
      </w:r>
      <w:r w:rsidRPr="00AF45B7">
        <w:t xml:space="preserve">ngineering </w:t>
      </w:r>
      <w:r w:rsidR="006E2B0D">
        <w:t>T</w:t>
      </w:r>
      <w:r w:rsidRPr="00AF45B7">
        <w:t xml:space="preserve">eam </w:t>
      </w:r>
      <w:r w:rsidR="006E2B0D">
        <w:t>L</w:t>
      </w:r>
      <w:r w:rsidRPr="00AF45B7">
        <w:t xml:space="preserve">eaders and if unable to resolve it should then be escalated to both the Engineering </w:t>
      </w:r>
      <w:r w:rsidR="006E2B0D">
        <w:t>M</w:t>
      </w:r>
      <w:r w:rsidRPr="00AF45B7">
        <w:t xml:space="preserve">aintenance </w:t>
      </w:r>
      <w:r w:rsidR="006E2B0D">
        <w:t>M</w:t>
      </w:r>
      <w:r w:rsidRPr="00AF45B7">
        <w:t xml:space="preserve">anager and the Procurement </w:t>
      </w:r>
      <w:r w:rsidR="006E2B0D">
        <w:t>M</w:t>
      </w:r>
      <w:r w:rsidRPr="00AF45B7">
        <w:t>anager.</w:t>
      </w:r>
    </w:p>
    <w:p w14:paraId="27A8E634" w14:textId="77777777" w:rsidR="0054347D" w:rsidRPr="00AF45B7" w:rsidRDefault="0054347D" w:rsidP="00236E45">
      <w:pPr>
        <w:pStyle w:val="ListParagraph"/>
      </w:pPr>
    </w:p>
    <w:tbl>
      <w:tblPr>
        <w:tblStyle w:val="TableGrid"/>
        <w:tblW w:w="0" w:type="auto"/>
        <w:tblLayout w:type="fixed"/>
        <w:tblLook w:val="04A0" w:firstRow="1" w:lastRow="0" w:firstColumn="1" w:lastColumn="0" w:noHBand="0" w:noVBand="1"/>
      </w:tblPr>
      <w:tblGrid>
        <w:gridCol w:w="3371"/>
        <w:gridCol w:w="1430"/>
        <w:gridCol w:w="1431"/>
        <w:gridCol w:w="3283"/>
      </w:tblGrid>
      <w:tr w:rsidR="0054347D" w:rsidRPr="00AF45B7" w14:paraId="081BDB2C" w14:textId="77777777" w:rsidTr="00617974">
        <w:tc>
          <w:tcPr>
            <w:tcW w:w="3371" w:type="dxa"/>
            <w:vAlign w:val="center"/>
          </w:tcPr>
          <w:p w14:paraId="55692FC4" w14:textId="77777777" w:rsidR="0054347D" w:rsidRPr="00AF45B7" w:rsidRDefault="0054347D" w:rsidP="0054347D">
            <w:pPr>
              <w:overflowPunct w:val="0"/>
              <w:autoSpaceDE w:val="0"/>
              <w:autoSpaceDN w:val="0"/>
              <w:adjustRightInd w:val="0"/>
              <w:spacing w:after="120"/>
              <w:textAlignment w:val="baseline"/>
              <w:rPr>
                <w:rFonts w:ascii="Arial" w:hAnsi="Arial" w:cs="Arial"/>
                <w:b/>
                <w:bCs/>
                <w:szCs w:val="24"/>
              </w:rPr>
            </w:pPr>
            <w:r w:rsidRPr="00AF45B7">
              <w:rPr>
                <w:rFonts w:ascii="Arial" w:hAnsi="Arial" w:cs="Arial"/>
                <w:b/>
                <w:bCs/>
                <w:color w:val="000000"/>
              </w:rPr>
              <w:t>Requirement</w:t>
            </w:r>
          </w:p>
        </w:tc>
        <w:tc>
          <w:tcPr>
            <w:tcW w:w="1430" w:type="dxa"/>
            <w:vAlign w:val="center"/>
          </w:tcPr>
          <w:p w14:paraId="3F5A503D" w14:textId="77777777" w:rsidR="0054347D" w:rsidRPr="00AF45B7" w:rsidRDefault="0054347D" w:rsidP="0054347D">
            <w:pPr>
              <w:overflowPunct w:val="0"/>
              <w:autoSpaceDE w:val="0"/>
              <w:autoSpaceDN w:val="0"/>
              <w:adjustRightInd w:val="0"/>
              <w:spacing w:after="120"/>
              <w:textAlignment w:val="baseline"/>
              <w:rPr>
                <w:rFonts w:ascii="Arial" w:hAnsi="Arial" w:cs="Arial"/>
                <w:b/>
                <w:bCs/>
                <w:szCs w:val="24"/>
              </w:rPr>
            </w:pPr>
            <w:r w:rsidRPr="00AF45B7">
              <w:rPr>
                <w:rFonts w:ascii="Arial" w:hAnsi="Arial" w:cs="Arial"/>
                <w:b/>
                <w:bCs/>
                <w:color w:val="000000"/>
              </w:rPr>
              <w:t>Type</w:t>
            </w:r>
          </w:p>
        </w:tc>
        <w:tc>
          <w:tcPr>
            <w:tcW w:w="1431" w:type="dxa"/>
            <w:vAlign w:val="center"/>
          </w:tcPr>
          <w:p w14:paraId="06C50C6E" w14:textId="77777777" w:rsidR="0054347D" w:rsidRPr="00AF45B7" w:rsidRDefault="0054347D" w:rsidP="0054347D">
            <w:pPr>
              <w:overflowPunct w:val="0"/>
              <w:autoSpaceDE w:val="0"/>
              <w:autoSpaceDN w:val="0"/>
              <w:adjustRightInd w:val="0"/>
              <w:spacing w:after="120"/>
              <w:textAlignment w:val="baseline"/>
              <w:rPr>
                <w:rFonts w:ascii="Arial" w:hAnsi="Arial" w:cs="Arial"/>
                <w:b/>
                <w:bCs/>
                <w:szCs w:val="24"/>
              </w:rPr>
            </w:pPr>
            <w:r w:rsidRPr="00AF45B7">
              <w:rPr>
                <w:rFonts w:ascii="Arial" w:hAnsi="Arial" w:cs="Arial"/>
                <w:b/>
                <w:bCs/>
                <w:color w:val="000000"/>
              </w:rPr>
              <w:t>Priority</w:t>
            </w:r>
          </w:p>
        </w:tc>
        <w:tc>
          <w:tcPr>
            <w:tcW w:w="3283" w:type="dxa"/>
            <w:vAlign w:val="center"/>
          </w:tcPr>
          <w:p w14:paraId="507A8A63" w14:textId="77777777" w:rsidR="0054347D" w:rsidRPr="00AF45B7" w:rsidRDefault="0054347D" w:rsidP="0054347D">
            <w:pPr>
              <w:overflowPunct w:val="0"/>
              <w:autoSpaceDE w:val="0"/>
              <w:autoSpaceDN w:val="0"/>
              <w:adjustRightInd w:val="0"/>
              <w:spacing w:after="120"/>
              <w:textAlignment w:val="baseline"/>
              <w:rPr>
                <w:rFonts w:ascii="Arial" w:hAnsi="Arial" w:cs="Arial"/>
                <w:b/>
                <w:bCs/>
                <w:szCs w:val="24"/>
              </w:rPr>
            </w:pPr>
            <w:r w:rsidRPr="00AF45B7">
              <w:rPr>
                <w:rFonts w:ascii="Arial" w:hAnsi="Arial" w:cs="Arial"/>
                <w:b/>
                <w:bCs/>
                <w:color w:val="000000"/>
              </w:rPr>
              <w:t>Method to Measure and / or Test Requirement</w:t>
            </w:r>
          </w:p>
        </w:tc>
      </w:tr>
      <w:tr w:rsidR="0054347D" w:rsidRPr="00AF45B7" w14:paraId="0F232406" w14:textId="77777777" w:rsidTr="002F1CA9">
        <w:trPr>
          <w:trHeight w:val="756"/>
        </w:trPr>
        <w:tc>
          <w:tcPr>
            <w:tcW w:w="3371" w:type="dxa"/>
            <w:vAlign w:val="center"/>
          </w:tcPr>
          <w:p w14:paraId="2FB3ED58" w14:textId="22B47A57" w:rsidR="0054347D" w:rsidRPr="00AF45B7" w:rsidRDefault="00ED3E0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Answer emergency calls by phone and give advice 24/7 by callout engineer</w:t>
            </w:r>
          </w:p>
        </w:tc>
        <w:tc>
          <w:tcPr>
            <w:tcW w:w="1430" w:type="dxa"/>
            <w:vAlign w:val="center"/>
          </w:tcPr>
          <w:p w14:paraId="24A511F3"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Functional Requirement</w:t>
            </w:r>
          </w:p>
        </w:tc>
        <w:tc>
          <w:tcPr>
            <w:tcW w:w="1431" w:type="dxa"/>
            <w:vAlign w:val="center"/>
          </w:tcPr>
          <w:p w14:paraId="6BAE6DF8"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Must Have</w:t>
            </w:r>
          </w:p>
        </w:tc>
        <w:tc>
          <w:tcPr>
            <w:tcW w:w="3283" w:type="dxa"/>
            <w:vAlign w:val="center"/>
          </w:tcPr>
          <w:p w14:paraId="1DBDA301" w14:textId="5B3C8F44" w:rsidR="0054347D" w:rsidRPr="00AF45B7" w:rsidRDefault="0016302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Examples from current contracts with similar high containment sites COMAH 2</w:t>
            </w:r>
          </w:p>
        </w:tc>
      </w:tr>
      <w:tr w:rsidR="00B878C8" w:rsidRPr="00AF45B7" w14:paraId="04233576" w14:textId="77777777" w:rsidTr="002F1CA9">
        <w:trPr>
          <w:trHeight w:val="1529"/>
        </w:trPr>
        <w:tc>
          <w:tcPr>
            <w:tcW w:w="3371" w:type="dxa"/>
            <w:vAlign w:val="center"/>
          </w:tcPr>
          <w:p w14:paraId="66A6E9B8" w14:textId="573ACDEC" w:rsidR="00B878C8" w:rsidRPr="00AF45B7" w:rsidRDefault="00B878C8"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An emergency generator callout engineer must have a comprehensive understanding of emergency power generation systems and equipment. This includes knowledge of the engine/primary power source, generator, electrical load connection, and control equipment</w:t>
            </w:r>
          </w:p>
        </w:tc>
        <w:tc>
          <w:tcPr>
            <w:tcW w:w="1430" w:type="dxa"/>
            <w:vAlign w:val="center"/>
          </w:tcPr>
          <w:p w14:paraId="2C6138A6" w14:textId="0ED66738" w:rsidR="00B878C8" w:rsidRPr="00AF45B7" w:rsidRDefault="00D83AC0"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Operational Requirement</w:t>
            </w:r>
          </w:p>
        </w:tc>
        <w:tc>
          <w:tcPr>
            <w:tcW w:w="1431" w:type="dxa"/>
            <w:vAlign w:val="center"/>
          </w:tcPr>
          <w:p w14:paraId="28C6F500" w14:textId="2794A6AA" w:rsidR="00B878C8" w:rsidRPr="00AF45B7" w:rsidRDefault="00163021"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Must Have</w:t>
            </w:r>
          </w:p>
        </w:tc>
        <w:tc>
          <w:tcPr>
            <w:tcW w:w="3283" w:type="dxa"/>
            <w:vAlign w:val="center"/>
          </w:tcPr>
          <w:p w14:paraId="73B1B96B" w14:textId="3CBA31A9" w:rsidR="00B878C8" w:rsidRPr="00AF45B7" w:rsidRDefault="00163021"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sz w:val="16"/>
                <w:szCs w:val="16"/>
              </w:rPr>
              <w:t>Examples from current contracts with similar high containment sites and customer feedback or scoring.</w:t>
            </w:r>
          </w:p>
        </w:tc>
      </w:tr>
      <w:tr w:rsidR="0054347D" w:rsidRPr="00AF45B7" w14:paraId="1095581A" w14:textId="77777777" w:rsidTr="002F1CA9">
        <w:trPr>
          <w:trHeight w:val="684"/>
        </w:trPr>
        <w:tc>
          <w:tcPr>
            <w:tcW w:w="3371" w:type="dxa"/>
            <w:vAlign w:val="center"/>
          </w:tcPr>
          <w:p w14:paraId="5229B8AB" w14:textId="777E2B9F" w:rsidR="0054347D" w:rsidRPr="00AF45B7" w:rsidRDefault="00ED3E0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Callout to site 24/7 in case of emergency, and attendance within 4 hours</w:t>
            </w:r>
          </w:p>
        </w:tc>
        <w:tc>
          <w:tcPr>
            <w:tcW w:w="1430" w:type="dxa"/>
            <w:vAlign w:val="center"/>
          </w:tcPr>
          <w:p w14:paraId="259E64B2"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Regulatory Requirement</w:t>
            </w:r>
          </w:p>
        </w:tc>
        <w:tc>
          <w:tcPr>
            <w:tcW w:w="1431" w:type="dxa"/>
            <w:vAlign w:val="center"/>
          </w:tcPr>
          <w:p w14:paraId="4889BBB5"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Must Have</w:t>
            </w:r>
          </w:p>
        </w:tc>
        <w:tc>
          <w:tcPr>
            <w:tcW w:w="3283" w:type="dxa"/>
            <w:vAlign w:val="center"/>
          </w:tcPr>
          <w:p w14:paraId="66F2EDB0" w14:textId="4D3692D4" w:rsidR="0054347D" w:rsidRPr="00AF45B7" w:rsidRDefault="0016302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Previous examples</w:t>
            </w:r>
            <w:r w:rsidR="002F1CA9" w:rsidRPr="00AF45B7">
              <w:rPr>
                <w:rFonts w:ascii="Arial" w:hAnsi="Arial" w:cs="Arial"/>
                <w:sz w:val="16"/>
                <w:szCs w:val="16"/>
              </w:rPr>
              <w:t>.</w:t>
            </w:r>
          </w:p>
        </w:tc>
      </w:tr>
      <w:tr w:rsidR="00B878C8" w:rsidRPr="00AF45B7" w14:paraId="2978ACB1" w14:textId="77777777" w:rsidTr="002F1CA9">
        <w:trPr>
          <w:trHeight w:val="1173"/>
        </w:trPr>
        <w:tc>
          <w:tcPr>
            <w:tcW w:w="3371" w:type="dxa"/>
            <w:vAlign w:val="center"/>
          </w:tcPr>
          <w:p w14:paraId="7421C34E" w14:textId="7F2D9D86" w:rsidR="00B878C8" w:rsidRPr="00AF45B7" w:rsidRDefault="0016302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 xml:space="preserve">Be qualified and have excellent knowledge of emergency </w:t>
            </w:r>
            <w:r w:rsidR="005C06A3" w:rsidRPr="00AF45B7">
              <w:rPr>
                <w:rFonts w:ascii="Arial" w:hAnsi="Arial" w:cs="Arial"/>
                <w:sz w:val="16"/>
                <w:szCs w:val="16"/>
              </w:rPr>
              <w:t>back-up</w:t>
            </w:r>
            <w:r w:rsidRPr="00AF45B7">
              <w:rPr>
                <w:rFonts w:ascii="Arial" w:hAnsi="Arial" w:cs="Arial"/>
                <w:sz w:val="16"/>
                <w:szCs w:val="16"/>
              </w:rPr>
              <w:t xml:space="preserve"> systems, </w:t>
            </w:r>
            <w:r w:rsidR="00B878C8" w:rsidRPr="00AF45B7">
              <w:rPr>
                <w:rFonts w:ascii="Arial" w:hAnsi="Arial" w:cs="Arial"/>
                <w:sz w:val="16"/>
                <w:szCs w:val="16"/>
              </w:rPr>
              <w:t xml:space="preserve">Must have good knowledge of generator control systems such as “Deepsea” and electrical experience to fault find. </w:t>
            </w:r>
          </w:p>
        </w:tc>
        <w:tc>
          <w:tcPr>
            <w:tcW w:w="1430" w:type="dxa"/>
            <w:vAlign w:val="center"/>
          </w:tcPr>
          <w:p w14:paraId="4E4E6CCA" w14:textId="63CC064A" w:rsidR="00B878C8" w:rsidRPr="00AF45B7" w:rsidRDefault="00D83AC0"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Safety Requirement</w:t>
            </w:r>
          </w:p>
        </w:tc>
        <w:tc>
          <w:tcPr>
            <w:tcW w:w="1431" w:type="dxa"/>
            <w:vAlign w:val="center"/>
          </w:tcPr>
          <w:p w14:paraId="31B05920" w14:textId="0CCA82E1" w:rsidR="00B878C8" w:rsidRPr="00AF45B7" w:rsidRDefault="00163021"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Must Have</w:t>
            </w:r>
          </w:p>
        </w:tc>
        <w:tc>
          <w:tcPr>
            <w:tcW w:w="3283" w:type="dxa"/>
            <w:vAlign w:val="center"/>
          </w:tcPr>
          <w:p w14:paraId="5557EF00" w14:textId="6B2DF744" w:rsidR="00B878C8" w:rsidRPr="00AF45B7" w:rsidRDefault="00163021"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Submission of engineering regulatory accreditation and engineering qualifications.</w:t>
            </w:r>
          </w:p>
        </w:tc>
      </w:tr>
      <w:tr w:rsidR="0054347D" w:rsidRPr="00AF45B7" w14:paraId="3F024998" w14:textId="77777777" w:rsidTr="002F1CA9">
        <w:trPr>
          <w:trHeight w:val="975"/>
        </w:trPr>
        <w:tc>
          <w:tcPr>
            <w:tcW w:w="3371" w:type="dxa"/>
            <w:vAlign w:val="center"/>
          </w:tcPr>
          <w:p w14:paraId="4C6184C8" w14:textId="0B25BEFD" w:rsidR="0054347D" w:rsidRPr="00AF45B7" w:rsidRDefault="00ED3E0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If callout unsuccessful then must have emergency backup generator on site within 8 hours and powering building, sized between 200kVA and 2MVA</w:t>
            </w:r>
          </w:p>
        </w:tc>
        <w:tc>
          <w:tcPr>
            <w:tcW w:w="1430" w:type="dxa"/>
            <w:vAlign w:val="center"/>
          </w:tcPr>
          <w:p w14:paraId="542FD45B"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Operational Requirement</w:t>
            </w:r>
          </w:p>
        </w:tc>
        <w:tc>
          <w:tcPr>
            <w:tcW w:w="1431" w:type="dxa"/>
            <w:vAlign w:val="center"/>
          </w:tcPr>
          <w:p w14:paraId="49F28FE2"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Must Have</w:t>
            </w:r>
          </w:p>
        </w:tc>
        <w:tc>
          <w:tcPr>
            <w:tcW w:w="3283" w:type="dxa"/>
            <w:vAlign w:val="center"/>
          </w:tcPr>
          <w:p w14:paraId="7986AF5C" w14:textId="15E354BD" w:rsidR="0054347D" w:rsidRPr="00AF45B7" w:rsidRDefault="0016302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Previous examples</w:t>
            </w:r>
            <w:r w:rsidR="002F1CA9" w:rsidRPr="00AF45B7">
              <w:rPr>
                <w:rFonts w:ascii="Arial" w:hAnsi="Arial" w:cs="Arial"/>
                <w:sz w:val="16"/>
                <w:szCs w:val="16"/>
              </w:rPr>
              <w:t>.</w:t>
            </w:r>
          </w:p>
        </w:tc>
      </w:tr>
      <w:tr w:rsidR="0054347D" w:rsidRPr="00AF45B7" w14:paraId="347BAA44" w14:textId="77777777" w:rsidTr="002F1CA9">
        <w:trPr>
          <w:trHeight w:val="959"/>
        </w:trPr>
        <w:tc>
          <w:tcPr>
            <w:tcW w:w="3371" w:type="dxa"/>
            <w:vAlign w:val="center"/>
          </w:tcPr>
          <w:p w14:paraId="55CE18B8" w14:textId="74A053D2" w:rsidR="0054347D" w:rsidRPr="00AF45B7" w:rsidRDefault="00ED3E0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Carry general spares in event of breakdown, such as fittings and seals, and be able to source locally parts in times of emergency</w:t>
            </w:r>
            <w:r w:rsidR="00163021" w:rsidRPr="00AF45B7">
              <w:rPr>
                <w:rFonts w:ascii="Arial" w:hAnsi="Arial" w:cs="Arial"/>
                <w:sz w:val="16"/>
                <w:szCs w:val="16"/>
              </w:rPr>
              <w:t xml:space="preserve"> to maintain fast resolution of fault.</w:t>
            </w:r>
            <w:r w:rsidRPr="00AF45B7">
              <w:rPr>
                <w:rFonts w:ascii="Arial" w:hAnsi="Arial" w:cs="Arial"/>
                <w:sz w:val="16"/>
                <w:szCs w:val="16"/>
              </w:rPr>
              <w:t>.</w:t>
            </w:r>
          </w:p>
        </w:tc>
        <w:tc>
          <w:tcPr>
            <w:tcW w:w="1430" w:type="dxa"/>
            <w:vAlign w:val="center"/>
          </w:tcPr>
          <w:p w14:paraId="5E973624" w14:textId="65DA1751" w:rsidR="0054347D" w:rsidRPr="00AF45B7" w:rsidRDefault="0016302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Functional Requirement</w:t>
            </w:r>
          </w:p>
        </w:tc>
        <w:tc>
          <w:tcPr>
            <w:tcW w:w="1431" w:type="dxa"/>
            <w:vAlign w:val="center"/>
          </w:tcPr>
          <w:p w14:paraId="6A04E11C"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Must Have</w:t>
            </w:r>
          </w:p>
        </w:tc>
        <w:tc>
          <w:tcPr>
            <w:tcW w:w="3283" w:type="dxa"/>
            <w:vAlign w:val="center"/>
          </w:tcPr>
          <w:p w14:paraId="583CEDCD" w14:textId="617D1033" w:rsidR="0054347D" w:rsidRPr="00AF45B7" w:rsidRDefault="0016302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Previous examples</w:t>
            </w:r>
            <w:r w:rsidR="002F1CA9" w:rsidRPr="00AF45B7">
              <w:rPr>
                <w:rFonts w:ascii="Arial" w:hAnsi="Arial" w:cs="Arial"/>
                <w:sz w:val="16"/>
                <w:szCs w:val="16"/>
              </w:rPr>
              <w:t>.</w:t>
            </w:r>
          </w:p>
        </w:tc>
      </w:tr>
      <w:tr w:rsidR="0054347D" w:rsidRPr="00AF45B7" w14:paraId="1070A561" w14:textId="77777777" w:rsidTr="00617974">
        <w:tc>
          <w:tcPr>
            <w:tcW w:w="3371" w:type="dxa"/>
            <w:vAlign w:val="center"/>
          </w:tcPr>
          <w:p w14:paraId="073FAF8C" w14:textId="79660AA2" w:rsidR="0054347D" w:rsidRPr="00AF45B7" w:rsidRDefault="00ED3E01"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Arrive on call with correct diagnostic equipment for our generators.</w:t>
            </w:r>
          </w:p>
        </w:tc>
        <w:tc>
          <w:tcPr>
            <w:tcW w:w="1430" w:type="dxa"/>
            <w:vAlign w:val="center"/>
          </w:tcPr>
          <w:p w14:paraId="313E5438"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Safety Requirement</w:t>
            </w:r>
          </w:p>
        </w:tc>
        <w:tc>
          <w:tcPr>
            <w:tcW w:w="1431" w:type="dxa"/>
            <w:vAlign w:val="center"/>
          </w:tcPr>
          <w:p w14:paraId="3F31B153" w14:textId="77777777" w:rsidR="0054347D" w:rsidRPr="00AF45B7" w:rsidRDefault="0054347D"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color w:val="000000"/>
                <w:sz w:val="16"/>
                <w:szCs w:val="16"/>
              </w:rPr>
              <w:t>Must Have</w:t>
            </w:r>
          </w:p>
        </w:tc>
        <w:tc>
          <w:tcPr>
            <w:tcW w:w="3283" w:type="dxa"/>
            <w:vAlign w:val="center"/>
          </w:tcPr>
          <w:p w14:paraId="706C93D7" w14:textId="08F60727" w:rsidR="0054347D" w:rsidRPr="00AF45B7" w:rsidRDefault="002F1CA9" w:rsidP="0054347D">
            <w:pPr>
              <w:overflowPunct w:val="0"/>
              <w:autoSpaceDE w:val="0"/>
              <w:autoSpaceDN w:val="0"/>
              <w:adjustRightInd w:val="0"/>
              <w:spacing w:after="120"/>
              <w:textAlignment w:val="baseline"/>
              <w:rPr>
                <w:rFonts w:ascii="Arial" w:hAnsi="Arial" w:cs="Arial"/>
                <w:sz w:val="16"/>
                <w:szCs w:val="16"/>
              </w:rPr>
            </w:pPr>
            <w:r w:rsidRPr="00AF45B7">
              <w:rPr>
                <w:rFonts w:ascii="Arial" w:hAnsi="Arial" w:cs="Arial"/>
                <w:sz w:val="16"/>
                <w:szCs w:val="16"/>
              </w:rPr>
              <w:t>Continuous assessment and familiarisation with Pirbright’s power resilience equipment.</w:t>
            </w:r>
          </w:p>
        </w:tc>
      </w:tr>
      <w:tr w:rsidR="0054347D" w:rsidRPr="00AF45B7" w14:paraId="09AAA091" w14:textId="77777777" w:rsidTr="002F1CA9">
        <w:trPr>
          <w:trHeight w:val="1251"/>
        </w:trPr>
        <w:tc>
          <w:tcPr>
            <w:tcW w:w="3371" w:type="dxa"/>
            <w:vAlign w:val="center"/>
          </w:tcPr>
          <w:p w14:paraId="4C8540E5" w14:textId="63C688EF" w:rsidR="0054347D" w:rsidRPr="00AF45B7" w:rsidRDefault="00B878C8"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 xml:space="preserve">Become an approved contractor and pass our </w:t>
            </w:r>
            <w:r w:rsidR="00F643C3" w:rsidRPr="00AF45B7">
              <w:rPr>
                <w:rFonts w:ascii="Arial" w:hAnsi="Arial" w:cs="Arial"/>
                <w:color w:val="000000"/>
                <w:sz w:val="16"/>
                <w:szCs w:val="16"/>
              </w:rPr>
              <w:t xml:space="preserve">stringent vetting process. Be willing to have a principal generator engineer and a standby who is also gains familiarly with the </w:t>
            </w:r>
            <w:r w:rsidR="00BE5DBA" w:rsidRPr="00AF45B7">
              <w:rPr>
                <w:rFonts w:ascii="Arial" w:hAnsi="Arial" w:cs="Arial"/>
                <w:color w:val="000000"/>
                <w:sz w:val="16"/>
                <w:szCs w:val="16"/>
              </w:rPr>
              <w:t>site’s</w:t>
            </w:r>
            <w:r w:rsidR="00F643C3" w:rsidRPr="00AF45B7">
              <w:rPr>
                <w:rFonts w:ascii="Arial" w:hAnsi="Arial" w:cs="Arial"/>
                <w:color w:val="000000"/>
                <w:sz w:val="16"/>
                <w:szCs w:val="16"/>
              </w:rPr>
              <w:t xml:space="preserve"> emergency </w:t>
            </w:r>
            <w:r w:rsidR="00BE5DBA" w:rsidRPr="00AF45B7">
              <w:rPr>
                <w:rFonts w:ascii="Arial" w:hAnsi="Arial" w:cs="Arial"/>
                <w:color w:val="000000"/>
                <w:sz w:val="16"/>
                <w:szCs w:val="16"/>
              </w:rPr>
              <w:t>back-up</w:t>
            </w:r>
            <w:r w:rsidR="00F643C3" w:rsidRPr="00AF45B7">
              <w:rPr>
                <w:rFonts w:ascii="Arial" w:hAnsi="Arial" w:cs="Arial"/>
                <w:color w:val="000000"/>
                <w:sz w:val="16"/>
                <w:szCs w:val="16"/>
              </w:rPr>
              <w:t xml:space="preserve"> generators</w:t>
            </w:r>
          </w:p>
        </w:tc>
        <w:tc>
          <w:tcPr>
            <w:tcW w:w="1430" w:type="dxa"/>
            <w:vAlign w:val="center"/>
          </w:tcPr>
          <w:p w14:paraId="2F17760C" w14:textId="7ABD5E68" w:rsidR="0054347D" w:rsidRPr="00AF45B7" w:rsidRDefault="00163021"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Functional Requirement</w:t>
            </w:r>
          </w:p>
        </w:tc>
        <w:tc>
          <w:tcPr>
            <w:tcW w:w="1431" w:type="dxa"/>
            <w:vAlign w:val="center"/>
          </w:tcPr>
          <w:p w14:paraId="32187092" w14:textId="3B4F044A" w:rsidR="0054347D" w:rsidRPr="00AF45B7" w:rsidRDefault="00163021"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Should</w:t>
            </w:r>
            <w:r w:rsidR="0054347D" w:rsidRPr="00AF45B7">
              <w:rPr>
                <w:rFonts w:ascii="Arial" w:hAnsi="Arial" w:cs="Arial"/>
                <w:color w:val="000000"/>
                <w:sz w:val="16"/>
                <w:szCs w:val="16"/>
              </w:rPr>
              <w:t xml:space="preserve"> Have</w:t>
            </w:r>
          </w:p>
        </w:tc>
        <w:tc>
          <w:tcPr>
            <w:tcW w:w="3283" w:type="dxa"/>
            <w:vAlign w:val="center"/>
          </w:tcPr>
          <w:p w14:paraId="6EA34C14" w14:textId="5A81E64D" w:rsidR="0054347D" w:rsidRPr="00AF45B7" w:rsidRDefault="002F1CA9"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Company skills matrix and company previous examples.</w:t>
            </w:r>
          </w:p>
        </w:tc>
      </w:tr>
      <w:tr w:rsidR="0054347D" w:rsidRPr="00AF45B7" w14:paraId="5C618AE3" w14:textId="77777777" w:rsidTr="002F1CA9">
        <w:trPr>
          <w:trHeight w:val="1195"/>
        </w:trPr>
        <w:tc>
          <w:tcPr>
            <w:tcW w:w="3371" w:type="dxa"/>
            <w:vAlign w:val="center"/>
          </w:tcPr>
          <w:p w14:paraId="71DE938B" w14:textId="6D24E601" w:rsidR="0054347D" w:rsidRPr="00AF45B7" w:rsidRDefault="00F643C3"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lastRenderedPageBreak/>
              <w:t>Be able to attend site on prearranged consecutive days for service visits which have been pre planned and agreed to by both the EMS team and generator maintenance provider.</w:t>
            </w:r>
          </w:p>
        </w:tc>
        <w:tc>
          <w:tcPr>
            <w:tcW w:w="1430" w:type="dxa"/>
            <w:vAlign w:val="center"/>
          </w:tcPr>
          <w:p w14:paraId="02CF3688" w14:textId="77777777" w:rsidR="0054347D" w:rsidRPr="00AF45B7" w:rsidRDefault="0054347D"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Safety Requirement</w:t>
            </w:r>
          </w:p>
        </w:tc>
        <w:tc>
          <w:tcPr>
            <w:tcW w:w="1431" w:type="dxa"/>
            <w:vAlign w:val="center"/>
          </w:tcPr>
          <w:p w14:paraId="626BBCC5" w14:textId="77777777" w:rsidR="0054347D" w:rsidRPr="00AF45B7" w:rsidRDefault="0054347D"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Must Have</w:t>
            </w:r>
          </w:p>
        </w:tc>
        <w:tc>
          <w:tcPr>
            <w:tcW w:w="3283" w:type="dxa"/>
            <w:vAlign w:val="center"/>
          </w:tcPr>
          <w:p w14:paraId="5A35C8B4" w14:textId="5BE005E7" w:rsidR="0054347D" w:rsidRPr="00AF45B7" w:rsidRDefault="002F1CA9"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sz w:val="16"/>
                <w:szCs w:val="16"/>
              </w:rPr>
              <w:t>Previous examples.</w:t>
            </w:r>
          </w:p>
        </w:tc>
      </w:tr>
      <w:tr w:rsidR="0054347D" w:rsidRPr="00AF45B7" w14:paraId="52B3DDF1" w14:textId="77777777" w:rsidTr="002F1CA9">
        <w:trPr>
          <w:trHeight w:val="843"/>
        </w:trPr>
        <w:tc>
          <w:tcPr>
            <w:tcW w:w="3371" w:type="dxa"/>
            <w:vAlign w:val="center"/>
          </w:tcPr>
          <w:p w14:paraId="251A1D14" w14:textId="1E70F80A" w:rsidR="0054347D" w:rsidRPr="00AF45B7" w:rsidRDefault="00F643C3"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Give a schedule of yearly spares and replacements required for budgetary purposes.</w:t>
            </w:r>
          </w:p>
        </w:tc>
        <w:tc>
          <w:tcPr>
            <w:tcW w:w="1430" w:type="dxa"/>
            <w:vAlign w:val="center"/>
          </w:tcPr>
          <w:p w14:paraId="75DA5058" w14:textId="111973CF" w:rsidR="0054347D" w:rsidRPr="00AF45B7" w:rsidRDefault="00D83AC0"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Functional Requirement</w:t>
            </w:r>
          </w:p>
        </w:tc>
        <w:tc>
          <w:tcPr>
            <w:tcW w:w="1431" w:type="dxa"/>
            <w:vAlign w:val="center"/>
          </w:tcPr>
          <w:p w14:paraId="53493621" w14:textId="32A39A3B" w:rsidR="0054347D" w:rsidRPr="00AF45B7" w:rsidRDefault="002F1CA9"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Should</w:t>
            </w:r>
            <w:r w:rsidR="0054347D" w:rsidRPr="00AF45B7">
              <w:rPr>
                <w:rFonts w:ascii="Arial" w:hAnsi="Arial" w:cs="Arial"/>
                <w:color w:val="000000"/>
                <w:sz w:val="16"/>
                <w:szCs w:val="16"/>
              </w:rPr>
              <w:t xml:space="preserve"> Have</w:t>
            </w:r>
          </w:p>
        </w:tc>
        <w:tc>
          <w:tcPr>
            <w:tcW w:w="3283" w:type="dxa"/>
            <w:vAlign w:val="center"/>
          </w:tcPr>
          <w:p w14:paraId="3AAE7B10" w14:textId="3C4F49CE" w:rsidR="0054347D" w:rsidRPr="00AF45B7" w:rsidRDefault="002F1CA9"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sz w:val="16"/>
                <w:szCs w:val="16"/>
              </w:rPr>
              <w:t>Previous examples.</w:t>
            </w:r>
          </w:p>
        </w:tc>
      </w:tr>
      <w:tr w:rsidR="0054347D" w:rsidRPr="00AF45B7" w14:paraId="1CA0417A" w14:textId="77777777" w:rsidTr="002F1CA9">
        <w:trPr>
          <w:trHeight w:val="596"/>
        </w:trPr>
        <w:tc>
          <w:tcPr>
            <w:tcW w:w="3371" w:type="dxa"/>
            <w:vAlign w:val="center"/>
          </w:tcPr>
          <w:p w14:paraId="59564B2E" w14:textId="2E514615" w:rsidR="0054347D" w:rsidRPr="00AF45B7" w:rsidRDefault="00BE5DBA"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Ensure reports are sent within 48 hours of site maintenance or breakdown visits.</w:t>
            </w:r>
          </w:p>
        </w:tc>
        <w:tc>
          <w:tcPr>
            <w:tcW w:w="1430" w:type="dxa"/>
            <w:vAlign w:val="center"/>
          </w:tcPr>
          <w:p w14:paraId="5E8EFB60" w14:textId="28D31115" w:rsidR="0054347D" w:rsidRPr="00AF45B7" w:rsidRDefault="00D83AC0"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Functional Requirement</w:t>
            </w:r>
          </w:p>
        </w:tc>
        <w:tc>
          <w:tcPr>
            <w:tcW w:w="1431" w:type="dxa"/>
            <w:vAlign w:val="center"/>
          </w:tcPr>
          <w:p w14:paraId="2E4E7FA5" w14:textId="77777777" w:rsidR="0054347D" w:rsidRPr="00AF45B7" w:rsidRDefault="0054347D"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Must Have</w:t>
            </w:r>
          </w:p>
        </w:tc>
        <w:tc>
          <w:tcPr>
            <w:tcW w:w="3283" w:type="dxa"/>
            <w:vAlign w:val="center"/>
          </w:tcPr>
          <w:p w14:paraId="1483BAC1" w14:textId="6527C73A" w:rsidR="0054347D" w:rsidRPr="00AF45B7" w:rsidRDefault="002F1CA9"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Examples of reports generated from maintenance visits on other sites.</w:t>
            </w:r>
          </w:p>
        </w:tc>
      </w:tr>
      <w:tr w:rsidR="0054347D" w:rsidRPr="00AF45B7" w14:paraId="026629F8" w14:textId="77777777" w:rsidTr="002F1CA9">
        <w:trPr>
          <w:trHeight w:val="815"/>
        </w:trPr>
        <w:tc>
          <w:tcPr>
            <w:tcW w:w="3371" w:type="dxa"/>
            <w:vAlign w:val="center"/>
          </w:tcPr>
          <w:p w14:paraId="4AFCA41C" w14:textId="4910E195" w:rsidR="0054347D" w:rsidRPr="00AF45B7" w:rsidRDefault="00BE5DBA"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 xml:space="preserve">Be able to supply costs for new equipment in new locations and give options in regard to energy initiatives and sustainability.  </w:t>
            </w:r>
          </w:p>
        </w:tc>
        <w:tc>
          <w:tcPr>
            <w:tcW w:w="1430" w:type="dxa"/>
            <w:vAlign w:val="center"/>
          </w:tcPr>
          <w:p w14:paraId="5930A840" w14:textId="1C80406B" w:rsidR="0054347D" w:rsidRPr="00AF45B7" w:rsidRDefault="00D83AC0"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Functional Requirement</w:t>
            </w:r>
          </w:p>
        </w:tc>
        <w:tc>
          <w:tcPr>
            <w:tcW w:w="1431" w:type="dxa"/>
            <w:vAlign w:val="center"/>
          </w:tcPr>
          <w:p w14:paraId="3AB39689" w14:textId="77777777" w:rsidR="0054347D" w:rsidRPr="00AF45B7" w:rsidRDefault="0054347D"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Should Have</w:t>
            </w:r>
          </w:p>
        </w:tc>
        <w:tc>
          <w:tcPr>
            <w:tcW w:w="3283" w:type="dxa"/>
            <w:vAlign w:val="center"/>
          </w:tcPr>
          <w:p w14:paraId="16A2E635" w14:textId="5561B595" w:rsidR="0054347D" w:rsidRPr="00AF45B7" w:rsidRDefault="002F1CA9"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Continuous improvement of equipment and life cycle examples.</w:t>
            </w:r>
          </w:p>
        </w:tc>
      </w:tr>
      <w:tr w:rsidR="00D83AC0" w:rsidRPr="0054347D" w14:paraId="5B91361C" w14:textId="77777777" w:rsidTr="002F1CA9">
        <w:trPr>
          <w:trHeight w:val="833"/>
        </w:trPr>
        <w:tc>
          <w:tcPr>
            <w:tcW w:w="3371" w:type="dxa"/>
            <w:vAlign w:val="center"/>
          </w:tcPr>
          <w:p w14:paraId="2310833B" w14:textId="274191B5" w:rsidR="00D83AC0" w:rsidRPr="00AF45B7" w:rsidRDefault="00D83AC0"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 xml:space="preserve">The engineer must ensure that the Research buildings Bio Containment systems are maintained at all </w:t>
            </w:r>
            <w:r w:rsidR="005C06A3" w:rsidRPr="00AF45B7">
              <w:rPr>
                <w:rFonts w:ascii="Arial" w:hAnsi="Arial" w:cs="Arial"/>
                <w:color w:val="000000"/>
                <w:sz w:val="16"/>
                <w:szCs w:val="16"/>
              </w:rPr>
              <w:t>times</w:t>
            </w:r>
          </w:p>
        </w:tc>
        <w:tc>
          <w:tcPr>
            <w:tcW w:w="1430" w:type="dxa"/>
            <w:vAlign w:val="center"/>
          </w:tcPr>
          <w:p w14:paraId="4B87310B" w14:textId="760CF991" w:rsidR="00D83AC0" w:rsidRPr="00AF45B7" w:rsidRDefault="00D83AC0"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Regulatory Requirement</w:t>
            </w:r>
          </w:p>
        </w:tc>
        <w:tc>
          <w:tcPr>
            <w:tcW w:w="1431" w:type="dxa"/>
            <w:vAlign w:val="center"/>
          </w:tcPr>
          <w:p w14:paraId="1C715F32" w14:textId="2752C58F" w:rsidR="00D83AC0" w:rsidRPr="00AF45B7" w:rsidRDefault="00163021"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Must Have</w:t>
            </w:r>
          </w:p>
        </w:tc>
        <w:tc>
          <w:tcPr>
            <w:tcW w:w="3283" w:type="dxa"/>
            <w:vAlign w:val="center"/>
          </w:tcPr>
          <w:p w14:paraId="445DBFBB" w14:textId="4D99C45C" w:rsidR="00D83AC0" w:rsidRPr="0054347D" w:rsidRDefault="002F1CA9" w:rsidP="0054347D">
            <w:pPr>
              <w:overflowPunct w:val="0"/>
              <w:autoSpaceDE w:val="0"/>
              <w:autoSpaceDN w:val="0"/>
              <w:adjustRightInd w:val="0"/>
              <w:spacing w:after="120"/>
              <w:textAlignment w:val="baseline"/>
              <w:rPr>
                <w:rFonts w:ascii="Arial" w:hAnsi="Arial" w:cs="Arial"/>
                <w:color w:val="000000"/>
                <w:sz w:val="16"/>
                <w:szCs w:val="16"/>
              </w:rPr>
            </w:pPr>
            <w:r w:rsidRPr="00AF45B7">
              <w:rPr>
                <w:rFonts w:ascii="Arial" w:hAnsi="Arial" w:cs="Arial"/>
                <w:color w:val="000000"/>
                <w:sz w:val="16"/>
                <w:szCs w:val="16"/>
              </w:rPr>
              <w:t>Safety record and accident reporting.</w:t>
            </w:r>
            <w:r w:rsidR="005A4319" w:rsidRPr="00AF45B7">
              <w:rPr>
                <w:rFonts w:ascii="Arial" w:hAnsi="Arial" w:cs="Arial"/>
                <w:color w:val="000000"/>
                <w:sz w:val="16"/>
                <w:szCs w:val="16"/>
              </w:rPr>
              <w:t xml:space="preserve"> Examples from Data centres as an example.</w:t>
            </w:r>
          </w:p>
        </w:tc>
      </w:tr>
      <w:tr w:rsidR="0054347D" w:rsidRPr="0054347D" w14:paraId="4108A882" w14:textId="77777777" w:rsidTr="00617974">
        <w:tc>
          <w:tcPr>
            <w:tcW w:w="3371" w:type="dxa"/>
            <w:vAlign w:val="center"/>
          </w:tcPr>
          <w:p w14:paraId="2464B0BD" w14:textId="11A6C4AB" w:rsidR="0054347D" w:rsidRPr="0054347D" w:rsidRDefault="0054347D" w:rsidP="0054347D">
            <w:pPr>
              <w:overflowPunct w:val="0"/>
              <w:autoSpaceDE w:val="0"/>
              <w:autoSpaceDN w:val="0"/>
              <w:adjustRightInd w:val="0"/>
              <w:spacing w:after="120"/>
              <w:textAlignment w:val="baseline"/>
              <w:rPr>
                <w:rFonts w:ascii="Arial" w:hAnsi="Arial" w:cs="Arial"/>
                <w:color w:val="000000"/>
                <w:sz w:val="16"/>
                <w:szCs w:val="16"/>
              </w:rPr>
            </w:pPr>
          </w:p>
        </w:tc>
        <w:tc>
          <w:tcPr>
            <w:tcW w:w="1430" w:type="dxa"/>
            <w:vAlign w:val="center"/>
          </w:tcPr>
          <w:p w14:paraId="45DD0B7E" w14:textId="4DD97692" w:rsidR="0054347D" w:rsidRPr="0054347D" w:rsidRDefault="0054347D" w:rsidP="0054347D">
            <w:pPr>
              <w:overflowPunct w:val="0"/>
              <w:autoSpaceDE w:val="0"/>
              <w:autoSpaceDN w:val="0"/>
              <w:adjustRightInd w:val="0"/>
              <w:spacing w:after="120"/>
              <w:textAlignment w:val="baseline"/>
              <w:rPr>
                <w:rFonts w:ascii="Arial" w:hAnsi="Arial" w:cs="Arial"/>
                <w:color w:val="000000"/>
                <w:sz w:val="16"/>
                <w:szCs w:val="16"/>
              </w:rPr>
            </w:pPr>
          </w:p>
        </w:tc>
        <w:tc>
          <w:tcPr>
            <w:tcW w:w="1431" w:type="dxa"/>
            <w:vAlign w:val="center"/>
          </w:tcPr>
          <w:p w14:paraId="4C0EC088" w14:textId="617B2F7B" w:rsidR="0054347D" w:rsidRPr="0054347D" w:rsidRDefault="0054347D" w:rsidP="0054347D">
            <w:pPr>
              <w:overflowPunct w:val="0"/>
              <w:autoSpaceDE w:val="0"/>
              <w:autoSpaceDN w:val="0"/>
              <w:adjustRightInd w:val="0"/>
              <w:spacing w:after="120"/>
              <w:textAlignment w:val="baseline"/>
              <w:rPr>
                <w:rFonts w:ascii="Arial" w:hAnsi="Arial" w:cs="Arial"/>
                <w:color w:val="000000"/>
                <w:sz w:val="16"/>
                <w:szCs w:val="16"/>
              </w:rPr>
            </w:pPr>
          </w:p>
        </w:tc>
        <w:tc>
          <w:tcPr>
            <w:tcW w:w="3283" w:type="dxa"/>
            <w:vAlign w:val="center"/>
          </w:tcPr>
          <w:p w14:paraId="6CFD007D" w14:textId="27AAE0B4" w:rsidR="0054347D" w:rsidRPr="0054347D" w:rsidRDefault="0054347D" w:rsidP="0054347D">
            <w:pPr>
              <w:overflowPunct w:val="0"/>
              <w:autoSpaceDE w:val="0"/>
              <w:autoSpaceDN w:val="0"/>
              <w:adjustRightInd w:val="0"/>
              <w:spacing w:after="120"/>
              <w:textAlignment w:val="baseline"/>
              <w:rPr>
                <w:rFonts w:ascii="Arial" w:hAnsi="Arial" w:cs="Arial"/>
                <w:color w:val="000000"/>
                <w:sz w:val="16"/>
                <w:szCs w:val="16"/>
              </w:rPr>
            </w:pPr>
          </w:p>
        </w:tc>
      </w:tr>
    </w:tbl>
    <w:p w14:paraId="56EFDD88" w14:textId="77777777" w:rsidR="0054347D" w:rsidRDefault="0054347D" w:rsidP="00236E45">
      <w:pPr>
        <w:pStyle w:val="ListParagraph"/>
      </w:pPr>
    </w:p>
    <w:p w14:paraId="68158424" w14:textId="77777777" w:rsidR="00414944" w:rsidRDefault="00414944" w:rsidP="00236E45">
      <w:pPr>
        <w:pStyle w:val="ListParagraph"/>
      </w:pPr>
    </w:p>
    <w:sectPr w:rsidR="00414944" w:rsidSect="00413A7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4E2D" w14:textId="77777777" w:rsidR="0026624F" w:rsidRDefault="0026624F" w:rsidP="00413A79">
      <w:pPr>
        <w:spacing w:after="0" w:line="240" w:lineRule="auto"/>
      </w:pPr>
      <w:r>
        <w:separator/>
      </w:r>
    </w:p>
  </w:endnote>
  <w:endnote w:type="continuationSeparator" w:id="0">
    <w:p w14:paraId="59036DBA" w14:textId="77777777" w:rsidR="0026624F" w:rsidRDefault="0026624F" w:rsidP="0041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1296107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8D8D69C" w14:textId="650F7CB8" w:rsidR="00BB0A37" w:rsidRPr="00BB0A37" w:rsidRDefault="00BB0A37">
            <w:pPr>
              <w:pStyle w:val="Footer"/>
              <w:jc w:val="right"/>
              <w:rPr>
                <w:sz w:val="20"/>
                <w:szCs w:val="20"/>
              </w:rPr>
            </w:pPr>
            <w:r w:rsidRPr="00BB0A37">
              <w:rPr>
                <w:sz w:val="20"/>
                <w:szCs w:val="20"/>
              </w:rPr>
              <w:t xml:space="preserve">Page </w:t>
            </w:r>
            <w:r w:rsidRPr="00BB0A37">
              <w:rPr>
                <w:b/>
                <w:bCs/>
                <w:sz w:val="20"/>
                <w:szCs w:val="20"/>
              </w:rPr>
              <w:fldChar w:fldCharType="begin"/>
            </w:r>
            <w:r w:rsidRPr="00BB0A37">
              <w:rPr>
                <w:b/>
                <w:bCs/>
                <w:sz w:val="20"/>
                <w:szCs w:val="20"/>
              </w:rPr>
              <w:instrText xml:space="preserve"> PAGE </w:instrText>
            </w:r>
            <w:r w:rsidRPr="00BB0A37">
              <w:rPr>
                <w:b/>
                <w:bCs/>
                <w:sz w:val="20"/>
                <w:szCs w:val="20"/>
              </w:rPr>
              <w:fldChar w:fldCharType="separate"/>
            </w:r>
            <w:r w:rsidRPr="00BB0A37">
              <w:rPr>
                <w:b/>
                <w:bCs/>
                <w:noProof/>
                <w:sz w:val="20"/>
                <w:szCs w:val="20"/>
              </w:rPr>
              <w:t>2</w:t>
            </w:r>
            <w:r w:rsidRPr="00BB0A37">
              <w:rPr>
                <w:b/>
                <w:bCs/>
                <w:sz w:val="20"/>
                <w:szCs w:val="20"/>
              </w:rPr>
              <w:fldChar w:fldCharType="end"/>
            </w:r>
            <w:r w:rsidRPr="00BB0A37">
              <w:rPr>
                <w:sz w:val="20"/>
                <w:szCs w:val="20"/>
              </w:rPr>
              <w:t xml:space="preserve"> of </w:t>
            </w:r>
            <w:r w:rsidRPr="00BB0A37">
              <w:rPr>
                <w:b/>
                <w:bCs/>
                <w:sz w:val="20"/>
                <w:szCs w:val="20"/>
              </w:rPr>
              <w:fldChar w:fldCharType="begin"/>
            </w:r>
            <w:r w:rsidRPr="00BB0A37">
              <w:rPr>
                <w:b/>
                <w:bCs/>
                <w:sz w:val="20"/>
                <w:szCs w:val="20"/>
              </w:rPr>
              <w:instrText xml:space="preserve"> NUMPAGES  </w:instrText>
            </w:r>
            <w:r w:rsidRPr="00BB0A37">
              <w:rPr>
                <w:b/>
                <w:bCs/>
                <w:sz w:val="20"/>
                <w:szCs w:val="20"/>
              </w:rPr>
              <w:fldChar w:fldCharType="separate"/>
            </w:r>
            <w:r w:rsidRPr="00BB0A37">
              <w:rPr>
                <w:b/>
                <w:bCs/>
                <w:noProof/>
                <w:sz w:val="20"/>
                <w:szCs w:val="20"/>
              </w:rPr>
              <w:t>2</w:t>
            </w:r>
            <w:r w:rsidRPr="00BB0A37">
              <w:rPr>
                <w:b/>
                <w:bCs/>
                <w:sz w:val="20"/>
                <w:szCs w:val="20"/>
              </w:rPr>
              <w:fldChar w:fldCharType="end"/>
            </w:r>
          </w:p>
        </w:sdtContent>
      </w:sdt>
    </w:sdtContent>
  </w:sdt>
  <w:p w14:paraId="20234540" w14:textId="77777777" w:rsidR="00BB0A37" w:rsidRDefault="00BB0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C525" w14:textId="77777777" w:rsidR="0026624F" w:rsidRDefault="0026624F" w:rsidP="00413A79">
      <w:pPr>
        <w:spacing w:after="0" w:line="240" w:lineRule="auto"/>
      </w:pPr>
      <w:r>
        <w:separator/>
      </w:r>
    </w:p>
  </w:footnote>
  <w:footnote w:type="continuationSeparator" w:id="0">
    <w:p w14:paraId="30D3A0A1" w14:textId="77777777" w:rsidR="0026624F" w:rsidRDefault="0026624F" w:rsidP="00413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2FD6" w14:textId="09A28CC0" w:rsidR="00413A79" w:rsidRDefault="00413A79">
    <w:pPr>
      <w:pStyle w:val="Header"/>
    </w:pPr>
    <w:r>
      <w:rPr>
        <w:noProof/>
      </w:rPr>
      <w:drawing>
        <wp:inline distT="0" distB="0" distL="0" distR="0" wp14:anchorId="0D7F9AC9" wp14:editId="5E423781">
          <wp:extent cx="1524000" cy="685800"/>
          <wp:effectExtent l="0" t="0" r="0" b="0"/>
          <wp:docPr id="1"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967" cy="689835"/>
                  </a:xfrm>
                  <a:prstGeom prst="rect">
                    <a:avLst/>
                  </a:prstGeom>
                  <a:noFill/>
                  <a:ln>
                    <a:noFill/>
                  </a:ln>
                </pic:spPr>
              </pic:pic>
            </a:graphicData>
          </a:graphic>
        </wp:inline>
      </w:drawing>
    </w:r>
    <w:r>
      <w:t xml:space="preserve"> </w:t>
    </w:r>
    <w:r w:rsidRPr="00413A79">
      <w:rPr>
        <w:b/>
        <w:bCs/>
        <w:sz w:val="36"/>
        <w:szCs w:val="36"/>
      </w:rPr>
      <w:ptab w:relativeTo="margin" w:alignment="center" w:leader="none"/>
    </w:r>
    <w:r w:rsidRPr="00413A79">
      <w:rPr>
        <w:b/>
        <w:bCs/>
        <w:sz w:val="36"/>
        <w:szCs w:val="36"/>
      </w:rPr>
      <w:t>Site emergency generator</w:t>
    </w:r>
    <w:r w:rsidRPr="00413A79">
      <w:rPr>
        <w:sz w:val="36"/>
        <w:szCs w:val="36"/>
      </w:rPr>
      <w:t xml:space="preserve"> </w:t>
    </w:r>
    <w:r w:rsidRPr="00413A79">
      <w:rPr>
        <w:b/>
        <w:bCs/>
        <w:sz w:val="36"/>
        <w:szCs w:val="36"/>
      </w:rPr>
      <w:t>maintenance</w:t>
    </w:r>
    <w:r w:rsidRPr="00413A79">
      <w:rPr>
        <w:sz w:val="36"/>
        <w:szCs w:val="36"/>
      </w:rPr>
      <w:ptab w:relativeTo="margin" w:alignment="right" w:leader="none"/>
    </w:r>
    <w:r w:rsidRPr="00413A79">
      <w:rPr>
        <w:sz w:val="24"/>
        <w:szCs w:val="24"/>
      </w:rPr>
      <w:t>202</w:t>
    </w:r>
    <w:r w:rsidR="00683DF0">
      <w:rPr>
        <w:sz w:val="24"/>
        <w:szCs w:val="24"/>
      </w:rPr>
      <w:t>6</w:t>
    </w:r>
    <w:r w:rsidRPr="00413A79">
      <w:rPr>
        <w:sz w:val="24"/>
        <w:szCs w:val="24"/>
      </w:rPr>
      <w:t>/20</w:t>
    </w:r>
    <w:r w:rsidR="00683DF0">
      <w:rPr>
        <w:sz w:val="24"/>
        <w:szCs w:val="24"/>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F7985"/>
    <w:multiLevelType w:val="hybridMultilevel"/>
    <w:tmpl w:val="EE946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26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1"/>
    <w:rsid w:val="000348FA"/>
    <w:rsid w:val="0009420E"/>
    <w:rsid w:val="000B2A3E"/>
    <w:rsid w:val="000C18E1"/>
    <w:rsid w:val="000F4BFA"/>
    <w:rsid w:val="00114DD7"/>
    <w:rsid w:val="00163021"/>
    <w:rsid w:val="001B0F31"/>
    <w:rsid w:val="00236E45"/>
    <w:rsid w:val="0026624F"/>
    <w:rsid w:val="0027286A"/>
    <w:rsid w:val="002F1CA9"/>
    <w:rsid w:val="003C6018"/>
    <w:rsid w:val="00413A79"/>
    <w:rsid w:val="00414944"/>
    <w:rsid w:val="004F3610"/>
    <w:rsid w:val="0054347D"/>
    <w:rsid w:val="0056219D"/>
    <w:rsid w:val="00573297"/>
    <w:rsid w:val="00594C66"/>
    <w:rsid w:val="005A4319"/>
    <w:rsid w:val="005C06A3"/>
    <w:rsid w:val="00636D8A"/>
    <w:rsid w:val="0065718D"/>
    <w:rsid w:val="00683DF0"/>
    <w:rsid w:val="006E28A8"/>
    <w:rsid w:val="006E2B0D"/>
    <w:rsid w:val="00757A1A"/>
    <w:rsid w:val="007C4458"/>
    <w:rsid w:val="008957D5"/>
    <w:rsid w:val="008E15F6"/>
    <w:rsid w:val="00AB20ED"/>
    <w:rsid w:val="00AE44C6"/>
    <w:rsid w:val="00AF45B7"/>
    <w:rsid w:val="00B878C8"/>
    <w:rsid w:val="00B9391B"/>
    <w:rsid w:val="00BB0A37"/>
    <w:rsid w:val="00BE5DBA"/>
    <w:rsid w:val="00BF29C5"/>
    <w:rsid w:val="00C17BAD"/>
    <w:rsid w:val="00C731D8"/>
    <w:rsid w:val="00CC119A"/>
    <w:rsid w:val="00CE65F9"/>
    <w:rsid w:val="00D771B3"/>
    <w:rsid w:val="00D83AC0"/>
    <w:rsid w:val="00DB3B87"/>
    <w:rsid w:val="00DD188D"/>
    <w:rsid w:val="00DF4294"/>
    <w:rsid w:val="00E03D45"/>
    <w:rsid w:val="00E70680"/>
    <w:rsid w:val="00EB5A6D"/>
    <w:rsid w:val="00ED3E01"/>
    <w:rsid w:val="00F477C7"/>
    <w:rsid w:val="00F643C3"/>
    <w:rsid w:val="00F67B1C"/>
    <w:rsid w:val="00F91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5D96B"/>
  <w15:chartTrackingRefBased/>
  <w15:docId w15:val="{BE14B25A-2FD1-4293-A429-606002F4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E1"/>
    <w:rPr>
      <w:rFonts w:eastAsiaTheme="majorEastAsia" w:cstheme="majorBidi"/>
      <w:color w:val="272727" w:themeColor="text1" w:themeTint="D8"/>
    </w:rPr>
  </w:style>
  <w:style w:type="paragraph" w:styleId="Title">
    <w:name w:val="Title"/>
    <w:basedOn w:val="Normal"/>
    <w:next w:val="Normal"/>
    <w:link w:val="TitleChar"/>
    <w:uiPriority w:val="10"/>
    <w:qFormat/>
    <w:rsid w:val="000C1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E1"/>
    <w:pPr>
      <w:spacing w:before="160"/>
      <w:jc w:val="center"/>
    </w:pPr>
    <w:rPr>
      <w:i/>
      <w:iCs/>
      <w:color w:val="404040" w:themeColor="text1" w:themeTint="BF"/>
    </w:rPr>
  </w:style>
  <w:style w:type="character" w:customStyle="1" w:styleId="QuoteChar">
    <w:name w:val="Quote Char"/>
    <w:basedOn w:val="DefaultParagraphFont"/>
    <w:link w:val="Quote"/>
    <w:uiPriority w:val="29"/>
    <w:rsid w:val="000C18E1"/>
    <w:rPr>
      <w:i/>
      <w:iCs/>
      <w:color w:val="404040" w:themeColor="text1" w:themeTint="BF"/>
    </w:rPr>
  </w:style>
  <w:style w:type="paragraph" w:styleId="ListParagraph">
    <w:name w:val="List Paragraph"/>
    <w:basedOn w:val="Normal"/>
    <w:uiPriority w:val="34"/>
    <w:qFormat/>
    <w:rsid w:val="000C18E1"/>
    <w:pPr>
      <w:ind w:left="720"/>
      <w:contextualSpacing/>
    </w:pPr>
  </w:style>
  <w:style w:type="character" w:styleId="IntenseEmphasis">
    <w:name w:val="Intense Emphasis"/>
    <w:basedOn w:val="DefaultParagraphFont"/>
    <w:uiPriority w:val="21"/>
    <w:qFormat/>
    <w:rsid w:val="000C18E1"/>
    <w:rPr>
      <w:i/>
      <w:iCs/>
      <w:color w:val="0F4761" w:themeColor="accent1" w:themeShade="BF"/>
    </w:rPr>
  </w:style>
  <w:style w:type="paragraph" w:styleId="IntenseQuote">
    <w:name w:val="Intense Quote"/>
    <w:basedOn w:val="Normal"/>
    <w:next w:val="Normal"/>
    <w:link w:val="IntenseQuoteChar"/>
    <w:uiPriority w:val="30"/>
    <w:qFormat/>
    <w:rsid w:val="000C1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8E1"/>
    <w:rPr>
      <w:i/>
      <w:iCs/>
      <w:color w:val="0F4761" w:themeColor="accent1" w:themeShade="BF"/>
    </w:rPr>
  </w:style>
  <w:style w:type="character" w:styleId="IntenseReference">
    <w:name w:val="Intense Reference"/>
    <w:basedOn w:val="DefaultParagraphFont"/>
    <w:uiPriority w:val="32"/>
    <w:qFormat/>
    <w:rsid w:val="000C18E1"/>
    <w:rPr>
      <w:b/>
      <w:bCs/>
      <w:smallCaps/>
      <w:color w:val="0F4761" w:themeColor="accent1" w:themeShade="BF"/>
      <w:spacing w:val="5"/>
    </w:rPr>
  </w:style>
  <w:style w:type="paragraph" w:styleId="Header">
    <w:name w:val="header"/>
    <w:basedOn w:val="Normal"/>
    <w:link w:val="HeaderChar"/>
    <w:uiPriority w:val="99"/>
    <w:unhideWhenUsed/>
    <w:rsid w:val="00413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A79"/>
  </w:style>
  <w:style w:type="paragraph" w:styleId="Footer">
    <w:name w:val="footer"/>
    <w:basedOn w:val="Normal"/>
    <w:link w:val="FooterChar"/>
    <w:uiPriority w:val="99"/>
    <w:unhideWhenUsed/>
    <w:rsid w:val="00413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A79"/>
  </w:style>
  <w:style w:type="paragraph" w:styleId="NormalWeb">
    <w:name w:val="Normal (Web)"/>
    <w:basedOn w:val="Normal"/>
    <w:uiPriority w:val="99"/>
    <w:semiHidden/>
    <w:unhideWhenUsed/>
    <w:rsid w:val="00413A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54347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9681">
      <w:bodyDiv w:val="1"/>
      <w:marLeft w:val="0"/>
      <w:marRight w:val="0"/>
      <w:marTop w:val="0"/>
      <w:marBottom w:val="0"/>
      <w:divBdr>
        <w:top w:val="none" w:sz="0" w:space="0" w:color="auto"/>
        <w:left w:val="none" w:sz="0" w:space="0" w:color="auto"/>
        <w:bottom w:val="none" w:sz="0" w:space="0" w:color="auto"/>
        <w:right w:val="none" w:sz="0" w:space="0" w:color="auto"/>
      </w:divBdr>
    </w:div>
    <w:div w:id="674573797">
      <w:bodyDiv w:val="1"/>
      <w:marLeft w:val="0"/>
      <w:marRight w:val="0"/>
      <w:marTop w:val="0"/>
      <w:marBottom w:val="0"/>
      <w:divBdr>
        <w:top w:val="none" w:sz="0" w:space="0" w:color="auto"/>
        <w:left w:val="none" w:sz="0" w:space="0" w:color="auto"/>
        <w:bottom w:val="none" w:sz="0" w:space="0" w:color="auto"/>
        <w:right w:val="none" w:sz="0" w:space="0" w:color="auto"/>
      </w:divBdr>
    </w:div>
    <w:div w:id="883253994">
      <w:bodyDiv w:val="1"/>
      <w:marLeft w:val="0"/>
      <w:marRight w:val="0"/>
      <w:marTop w:val="0"/>
      <w:marBottom w:val="0"/>
      <w:divBdr>
        <w:top w:val="none" w:sz="0" w:space="0" w:color="auto"/>
        <w:left w:val="none" w:sz="0" w:space="0" w:color="auto"/>
        <w:bottom w:val="none" w:sz="0" w:space="0" w:color="auto"/>
        <w:right w:val="none" w:sz="0" w:space="0" w:color="auto"/>
      </w:divBdr>
    </w:div>
    <w:div w:id="10846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5</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Martin</dc:creator>
  <cp:keywords/>
  <dc:description/>
  <cp:lastModifiedBy>John Nixon</cp:lastModifiedBy>
  <cp:revision>23</cp:revision>
  <dcterms:created xsi:type="dcterms:W3CDTF">2025-05-16T07:33:00Z</dcterms:created>
  <dcterms:modified xsi:type="dcterms:W3CDTF">2025-11-25T13:44:00Z</dcterms:modified>
</cp:coreProperties>
</file>