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C2FE" w14:textId="5BB3DD1A" w:rsidR="003411D3" w:rsidRDefault="003411D3" w:rsidP="0082475E">
      <w:pPr>
        <w:widowControl w:val="0"/>
        <w:pBdr>
          <w:top w:val="nil"/>
          <w:left w:val="nil"/>
          <w:bottom w:val="nil"/>
          <w:right w:val="nil"/>
          <w:between w:val="nil"/>
        </w:pBdr>
        <w:spacing w:before="3200" w:line="276" w:lineRule="auto"/>
        <w:rPr>
          <w:rFonts w:ascii="Arial" w:eastAsia="Arial" w:hAnsi="Arial" w:cs="Arial"/>
          <w:color w:val="000000"/>
          <w:sz w:val="22"/>
          <w:szCs w:val="22"/>
        </w:rPr>
      </w:pPr>
      <w:r>
        <w:rPr>
          <w:b/>
          <w:noProof/>
        </w:rPr>
        <w:drawing>
          <wp:anchor distT="0" distB="0" distL="114300" distR="114300" simplePos="0" relativeHeight="251658240" behindDoc="0" locked="0" layoutInCell="1" allowOverlap="1" wp14:anchorId="5498394D" wp14:editId="607BD398">
            <wp:simplePos x="0" y="0"/>
            <wp:positionH relativeFrom="column">
              <wp:posOffset>-116840</wp:posOffset>
            </wp:positionH>
            <wp:positionV relativeFrom="paragraph">
              <wp:posOffset>0</wp:posOffset>
            </wp:positionV>
            <wp:extent cx="3452495" cy="867410"/>
            <wp:effectExtent l="0" t="0" r="0" b="8890"/>
            <wp:wrapSquare wrapText="bothSides"/>
            <wp:docPr id="2" name="Picture 2" descr="MHPRA_3268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PRA_3268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2495" cy="867410"/>
                    </a:xfrm>
                    <a:prstGeom prst="rect">
                      <a:avLst/>
                    </a:prstGeom>
                    <a:noFill/>
                    <a:ln>
                      <a:noFill/>
                    </a:ln>
                  </pic:spPr>
                </pic:pic>
              </a:graphicData>
            </a:graphic>
          </wp:anchor>
        </w:drawing>
      </w:r>
    </w:p>
    <w:tbl>
      <w:tblPr>
        <w:tblStyle w:val="af4"/>
        <w:tblW w:w="9809" w:type="dxa"/>
        <w:tblInd w:w="-199" w:type="dxa"/>
        <w:tblLayout w:type="fixed"/>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34207B19" w14:textId="1DC0B7B7" w:rsidR="000B0B77" w:rsidRDefault="000B0B77" w:rsidP="00C04337">
            <w:pPr>
              <w:pStyle w:val="Cover-ReportTitle"/>
            </w:pPr>
            <w:bookmarkStart w:id="0" w:name="_Hlk163741831"/>
            <w:r>
              <w:t>Invitation to Tender</w:t>
            </w:r>
          </w:p>
          <w:p w14:paraId="406CD2EE" w14:textId="41037D70" w:rsidR="00C04337" w:rsidRPr="00CC6E42" w:rsidRDefault="007B426F" w:rsidP="00C04337">
            <w:pPr>
              <w:pStyle w:val="Cover-ReportTitle"/>
            </w:pPr>
            <w:r>
              <w:t>Open</w:t>
            </w:r>
            <w:r w:rsidR="00F361B0">
              <w:t xml:space="preserve"> Procedure (P</w:t>
            </w:r>
            <w:r w:rsidR="006461CC">
              <w:t xml:space="preserve">rocurement </w:t>
            </w:r>
            <w:r w:rsidR="00F361B0">
              <w:t>A</w:t>
            </w:r>
            <w:r w:rsidR="006461CC">
              <w:t>ct</w:t>
            </w:r>
            <w:r w:rsidR="00F361B0">
              <w:t> 2023)</w:t>
            </w:r>
          </w:p>
          <w:bookmarkEnd w:id="0"/>
          <w:p w14:paraId="29E4C2EA" w14:textId="4DEA106D" w:rsidR="00C04337" w:rsidRDefault="00C04337" w:rsidP="00C04337">
            <w:pPr>
              <w:pStyle w:val="Cover-Subtitle"/>
            </w:pPr>
          </w:p>
          <w:p w14:paraId="4816454D" w14:textId="62635369" w:rsidR="00F361B0" w:rsidRDefault="00D554CD" w:rsidP="00F361B0">
            <w:pPr>
              <w:pStyle w:val="Cover-Subtitle"/>
            </w:pPr>
            <w:r>
              <w:t xml:space="preserve">MHRA </w:t>
            </w:r>
            <w:r w:rsidR="00DE132E">
              <w:t>Learning Management</w:t>
            </w:r>
            <w:r w:rsidR="004D7433">
              <w:t xml:space="preserve">/Experience </w:t>
            </w:r>
            <w:r w:rsidR="00DE132E">
              <w:t xml:space="preserve"> System</w:t>
            </w:r>
          </w:p>
          <w:p w14:paraId="18F8CC49" w14:textId="099E9D9B" w:rsidR="00F72F39" w:rsidRDefault="770B83F7" w:rsidP="00C04337">
            <w:pPr>
              <w:pStyle w:val="Cover-Subtitle"/>
            </w:pPr>
            <w:r w:rsidRPr="065551C7">
              <w:rPr>
                <w:rFonts w:ascii="Arial" w:eastAsia="Arial" w:hAnsi="Arial" w:cs="Arial"/>
              </w:rPr>
              <w:t>C334420</w:t>
            </w:r>
          </w:p>
        </w:tc>
      </w:tr>
      <w:tr w:rsidR="00F72F39" w14:paraId="4F90307C" w14:textId="77777777" w:rsidTr="00CB63E6">
        <w:trPr>
          <w:trHeight w:val="1191"/>
        </w:trPr>
        <w:tc>
          <w:tcPr>
            <w:tcW w:w="173" w:type="dxa"/>
          </w:tcPr>
          <w:p w14:paraId="764DC482" w14:textId="5E64029B" w:rsidR="00F72F39" w:rsidRDefault="00F72F39">
            <w:pPr>
              <w:pBdr>
                <w:top w:val="nil"/>
                <w:left w:val="nil"/>
                <w:bottom w:val="nil"/>
                <w:right w:val="nil"/>
                <w:between w:val="nil"/>
              </w:pBdr>
              <w:rPr>
                <w:color w:val="000000"/>
              </w:rPr>
            </w:pPr>
          </w:p>
        </w:tc>
        <w:tc>
          <w:tcPr>
            <w:tcW w:w="9636" w:type="dxa"/>
          </w:tcPr>
          <w:p w14:paraId="5F164520" w14:textId="302BE7E2" w:rsidR="00241DBB" w:rsidRDefault="009E6287" w:rsidP="002C710C">
            <w:pPr>
              <w:pStyle w:val="Cover-Date"/>
            </w:pPr>
            <w:r>
              <w:t>24</w:t>
            </w:r>
            <w:r w:rsidRPr="009E6287">
              <w:rPr>
                <w:vertAlign w:val="superscript"/>
              </w:rPr>
              <w:t>th</w:t>
            </w:r>
            <w:r>
              <w:t xml:space="preserve"> </w:t>
            </w:r>
            <w:r w:rsidR="00100A34">
              <w:t>November</w:t>
            </w:r>
            <w:r w:rsidR="00375142">
              <w:t xml:space="preserve"> 2025</w:t>
            </w:r>
          </w:p>
          <w:p w14:paraId="3933235E" w14:textId="5854F656" w:rsidR="00F72F39" w:rsidRDefault="00F72F39" w:rsidP="002C710C">
            <w:pPr>
              <w:pStyle w:val="Cover-Date"/>
            </w:pPr>
          </w:p>
          <w:p w14:paraId="7E734C6E" w14:textId="77777777" w:rsidR="00AC5F68" w:rsidRDefault="00AC5F68" w:rsidP="002C710C">
            <w:pPr>
              <w:pStyle w:val="Cover-Date"/>
            </w:pPr>
          </w:p>
          <w:p w14:paraId="2078A64A" w14:textId="65C0814E" w:rsidR="00AC5F68" w:rsidRPr="00AC5F68" w:rsidRDefault="00AC5F68" w:rsidP="00591894">
            <w:pPr>
              <w:pStyle w:val="Cover-Date"/>
              <w:rPr>
                <w:sz w:val="36"/>
                <w:szCs w:val="30"/>
              </w:rPr>
            </w:pPr>
          </w:p>
        </w:tc>
      </w:tr>
    </w:tbl>
    <w:p w14:paraId="69A0E973" w14:textId="77777777" w:rsidR="00F72F39" w:rsidRDefault="00F72F39">
      <w:pPr>
        <w:pBdr>
          <w:top w:val="nil"/>
          <w:left w:val="nil"/>
          <w:bottom w:val="nil"/>
          <w:right w:val="nil"/>
          <w:between w:val="nil"/>
        </w:pBdr>
        <w:rPr>
          <w:color w:val="000000"/>
        </w:rPr>
      </w:pPr>
    </w:p>
    <w:p w14:paraId="5D28C9E6" w14:textId="64F867A3" w:rsidR="00FD19BF" w:rsidRDefault="00FD19BF">
      <w:r>
        <w:br w:type="page"/>
      </w:r>
    </w:p>
    <w:p w14:paraId="28ACD619" w14:textId="77777777" w:rsidR="00F72F39" w:rsidRDefault="00F72F39">
      <w:pPr>
        <w:pBdr>
          <w:top w:val="nil"/>
          <w:left w:val="nil"/>
          <w:bottom w:val="nil"/>
          <w:right w:val="nil"/>
          <w:between w:val="nil"/>
        </w:pBdr>
      </w:pPr>
    </w:p>
    <w:p w14:paraId="159FA547" w14:textId="77777777" w:rsidR="00FD19BF" w:rsidRDefault="00FD19BF">
      <w:pPr>
        <w:pBdr>
          <w:top w:val="nil"/>
          <w:left w:val="nil"/>
          <w:bottom w:val="nil"/>
          <w:right w:val="nil"/>
          <w:between w:val="nil"/>
        </w:pBdr>
      </w:pPr>
    </w:p>
    <w:p w14:paraId="5DE9F69D" w14:textId="77777777" w:rsidR="00FD19BF" w:rsidRDefault="00FD19BF">
      <w:pPr>
        <w:pBdr>
          <w:top w:val="nil"/>
          <w:left w:val="nil"/>
          <w:bottom w:val="nil"/>
          <w:right w:val="nil"/>
          <w:between w:val="nil"/>
        </w:pBdr>
      </w:pPr>
    </w:p>
    <w:p w14:paraId="609ED5E8" w14:textId="77777777" w:rsidR="00FD19BF" w:rsidRDefault="00FD19BF">
      <w:pPr>
        <w:pBdr>
          <w:top w:val="nil"/>
          <w:left w:val="nil"/>
          <w:bottom w:val="nil"/>
          <w:right w:val="nil"/>
          <w:between w:val="nil"/>
        </w:pBdr>
      </w:pPr>
    </w:p>
    <w:p w14:paraId="185213BB" w14:textId="77777777" w:rsidR="00FD19BF" w:rsidRDefault="00FD19BF">
      <w:pPr>
        <w:pBdr>
          <w:top w:val="nil"/>
          <w:left w:val="nil"/>
          <w:bottom w:val="nil"/>
          <w:right w:val="nil"/>
          <w:between w:val="nil"/>
        </w:pBdr>
      </w:pPr>
    </w:p>
    <w:p w14:paraId="60DE78F0" w14:textId="77777777" w:rsidR="00FD19BF" w:rsidRDefault="00FD19BF">
      <w:pPr>
        <w:pBdr>
          <w:top w:val="nil"/>
          <w:left w:val="nil"/>
          <w:bottom w:val="nil"/>
          <w:right w:val="nil"/>
          <w:between w:val="nil"/>
        </w:pBdr>
      </w:pP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4A1C8E" w14:paraId="3E941AA0" w14:textId="77777777" w:rsidTr="00CB63E6">
        <w:trPr>
          <w:cantSplit/>
          <w:tblHeader/>
        </w:trPr>
        <w:tc>
          <w:tcPr>
            <w:tcW w:w="9512" w:type="dxa"/>
            <w:gridSpan w:val="4"/>
            <w:tcBorders>
              <w:top w:val="nil"/>
              <w:bottom w:val="nil"/>
            </w:tcBorders>
          </w:tcPr>
          <w:p w14:paraId="00D676B1" w14:textId="77777777" w:rsidR="004A1C8E" w:rsidRPr="002C710C" w:rsidRDefault="004A1C8E" w:rsidP="009E4535">
            <w:pPr>
              <w:rPr>
                <w:b/>
                <w:bCs/>
              </w:rPr>
            </w:pPr>
            <w:r>
              <w:rPr>
                <w:b/>
                <w:bCs/>
              </w:rPr>
              <w:t>Version control</w:t>
            </w:r>
          </w:p>
        </w:tc>
      </w:tr>
      <w:tr w:rsidR="004A1C8E" w14:paraId="75F7F9B3" w14:textId="77777777" w:rsidTr="00CB63E6">
        <w:trPr>
          <w:cantSplit/>
        </w:trPr>
        <w:tc>
          <w:tcPr>
            <w:tcW w:w="1950" w:type="dxa"/>
            <w:tcBorders>
              <w:top w:val="nil"/>
            </w:tcBorders>
            <w:shd w:val="clear" w:color="auto" w:fill="D9EBFF"/>
          </w:tcPr>
          <w:p w14:paraId="52CE3A0D" w14:textId="77777777" w:rsidR="004A1C8E" w:rsidRPr="002C710C" w:rsidRDefault="004A1C8E" w:rsidP="009E4535">
            <w:pPr>
              <w:rPr>
                <w:b/>
                <w:bCs/>
              </w:rPr>
            </w:pPr>
            <w:r w:rsidRPr="002C710C">
              <w:rPr>
                <w:b/>
                <w:bCs/>
              </w:rPr>
              <w:t>Version number</w:t>
            </w:r>
          </w:p>
        </w:tc>
        <w:tc>
          <w:tcPr>
            <w:tcW w:w="2268" w:type="dxa"/>
            <w:tcBorders>
              <w:top w:val="nil"/>
            </w:tcBorders>
            <w:shd w:val="clear" w:color="auto" w:fill="D9EBFF"/>
          </w:tcPr>
          <w:p w14:paraId="4C95E66E" w14:textId="77777777" w:rsidR="004A1C8E" w:rsidRPr="002C710C" w:rsidRDefault="004A1C8E" w:rsidP="009E4535">
            <w:pPr>
              <w:rPr>
                <w:b/>
                <w:bCs/>
              </w:rPr>
            </w:pPr>
            <w:r w:rsidRPr="002C710C">
              <w:rPr>
                <w:b/>
                <w:bCs/>
              </w:rPr>
              <w:t>Author</w:t>
            </w:r>
          </w:p>
        </w:tc>
        <w:tc>
          <w:tcPr>
            <w:tcW w:w="1701" w:type="dxa"/>
            <w:tcBorders>
              <w:top w:val="nil"/>
            </w:tcBorders>
            <w:shd w:val="clear" w:color="auto" w:fill="D9EBFF"/>
          </w:tcPr>
          <w:p w14:paraId="2DB5DE68" w14:textId="77777777" w:rsidR="004A1C8E" w:rsidRPr="002C710C" w:rsidRDefault="004A1C8E" w:rsidP="009E4535">
            <w:pPr>
              <w:rPr>
                <w:b/>
                <w:bCs/>
              </w:rPr>
            </w:pPr>
            <w:r w:rsidRPr="002C710C">
              <w:rPr>
                <w:b/>
                <w:bCs/>
              </w:rPr>
              <w:t>Date</w:t>
            </w:r>
          </w:p>
        </w:tc>
        <w:tc>
          <w:tcPr>
            <w:tcW w:w="3593" w:type="dxa"/>
            <w:tcBorders>
              <w:top w:val="nil"/>
            </w:tcBorders>
            <w:shd w:val="clear" w:color="auto" w:fill="D9EBFF"/>
          </w:tcPr>
          <w:p w14:paraId="35220A75" w14:textId="77777777" w:rsidR="004A1C8E" w:rsidRPr="002C710C" w:rsidRDefault="004A1C8E" w:rsidP="009E4535">
            <w:pPr>
              <w:rPr>
                <w:b/>
                <w:bCs/>
              </w:rPr>
            </w:pPr>
            <w:r w:rsidRPr="002C710C">
              <w:rPr>
                <w:b/>
                <w:bCs/>
              </w:rPr>
              <w:t>Changes</w:t>
            </w:r>
          </w:p>
        </w:tc>
      </w:tr>
      <w:tr w:rsidR="004A1C8E" w14:paraId="5A3F7DC2" w14:textId="77777777" w:rsidTr="00CB63E6">
        <w:trPr>
          <w:cantSplit/>
        </w:trPr>
        <w:tc>
          <w:tcPr>
            <w:tcW w:w="1950" w:type="dxa"/>
          </w:tcPr>
          <w:p w14:paraId="45334801" w14:textId="50294177" w:rsidR="004A1C8E" w:rsidRDefault="009C5590" w:rsidP="009E4535">
            <w:pPr>
              <w:rPr>
                <w:color w:val="000000"/>
              </w:rPr>
            </w:pPr>
            <w:r>
              <w:rPr>
                <w:color w:val="000000"/>
              </w:rPr>
              <w:t>0.1</w:t>
            </w:r>
          </w:p>
        </w:tc>
        <w:tc>
          <w:tcPr>
            <w:tcW w:w="2268" w:type="dxa"/>
          </w:tcPr>
          <w:p w14:paraId="5B5E317E" w14:textId="59641007" w:rsidR="004A1C8E" w:rsidRDefault="00100A34" w:rsidP="009E4535">
            <w:pPr>
              <w:rPr>
                <w:color w:val="000000"/>
              </w:rPr>
            </w:pPr>
            <w:r>
              <w:rPr>
                <w:color w:val="000000"/>
              </w:rPr>
              <w:t>Sarah Cook</w:t>
            </w:r>
          </w:p>
        </w:tc>
        <w:tc>
          <w:tcPr>
            <w:tcW w:w="1701" w:type="dxa"/>
          </w:tcPr>
          <w:p w14:paraId="479D9487" w14:textId="4B002A74" w:rsidR="004A1C8E" w:rsidRDefault="00CA2F88" w:rsidP="009E4535">
            <w:pPr>
              <w:rPr>
                <w:color w:val="000000"/>
              </w:rPr>
            </w:pPr>
            <w:r>
              <w:rPr>
                <w:color w:val="000000"/>
              </w:rPr>
              <w:t>3</w:t>
            </w:r>
            <w:r w:rsidRPr="00CA2F88">
              <w:rPr>
                <w:color w:val="000000"/>
                <w:vertAlign w:val="superscript"/>
              </w:rPr>
              <w:t>rd</w:t>
            </w:r>
            <w:r>
              <w:rPr>
                <w:color w:val="000000"/>
              </w:rPr>
              <w:t xml:space="preserve"> Nov</w:t>
            </w:r>
            <w:r w:rsidR="00375142">
              <w:rPr>
                <w:color w:val="000000"/>
              </w:rPr>
              <w:t xml:space="preserve"> 2025</w:t>
            </w:r>
          </w:p>
        </w:tc>
        <w:tc>
          <w:tcPr>
            <w:tcW w:w="3593" w:type="dxa"/>
          </w:tcPr>
          <w:p w14:paraId="0357CC26" w14:textId="770DAD25" w:rsidR="004A1C8E" w:rsidRDefault="00375142" w:rsidP="009E4535">
            <w:pPr>
              <w:rPr>
                <w:color w:val="000000"/>
              </w:rPr>
            </w:pPr>
            <w:r>
              <w:rPr>
                <w:color w:val="000000"/>
              </w:rPr>
              <w:t>Draft created</w:t>
            </w:r>
          </w:p>
        </w:tc>
      </w:tr>
      <w:tr w:rsidR="004A1C8E" w14:paraId="69413C0E" w14:textId="77777777" w:rsidTr="00CB63E6">
        <w:trPr>
          <w:cantSplit/>
          <w:trHeight w:val="264"/>
        </w:trPr>
        <w:tc>
          <w:tcPr>
            <w:tcW w:w="1950" w:type="dxa"/>
          </w:tcPr>
          <w:p w14:paraId="50C85EE8" w14:textId="53CF4AE7" w:rsidR="004A1C8E" w:rsidRDefault="009C5590" w:rsidP="009E4535">
            <w:pPr>
              <w:rPr>
                <w:color w:val="000000"/>
              </w:rPr>
            </w:pPr>
            <w:r>
              <w:rPr>
                <w:color w:val="000000"/>
              </w:rPr>
              <w:t>0.2</w:t>
            </w:r>
          </w:p>
        </w:tc>
        <w:tc>
          <w:tcPr>
            <w:tcW w:w="2268" w:type="dxa"/>
          </w:tcPr>
          <w:p w14:paraId="31EDC58C" w14:textId="52C98D53" w:rsidR="004A1C8E" w:rsidRDefault="002E4729" w:rsidP="009E4535">
            <w:pPr>
              <w:rPr>
                <w:color w:val="000000"/>
              </w:rPr>
            </w:pPr>
            <w:r>
              <w:rPr>
                <w:color w:val="000000"/>
              </w:rPr>
              <w:t>Commercial Team</w:t>
            </w:r>
          </w:p>
        </w:tc>
        <w:tc>
          <w:tcPr>
            <w:tcW w:w="1701" w:type="dxa"/>
          </w:tcPr>
          <w:p w14:paraId="09C0487B" w14:textId="32E4B589" w:rsidR="004A1C8E" w:rsidRDefault="002E4729" w:rsidP="009E4535">
            <w:pPr>
              <w:rPr>
                <w:color w:val="000000"/>
              </w:rPr>
            </w:pPr>
            <w:r>
              <w:rPr>
                <w:color w:val="000000"/>
              </w:rPr>
              <w:t>10</w:t>
            </w:r>
            <w:r w:rsidRPr="002E4729">
              <w:rPr>
                <w:color w:val="000000"/>
                <w:vertAlign w:val="superscript"/>
              </w:rPr>
              <w:t>th</w:t>
            </w:r>
            <w:r>
              <w:rPr>
                <w:color w:val="000000"/>
              </w:rPr>
              <w:t xml:space="preserve"> November 2025</w:t>
            </w:r>
          </w:p>
        </w:tc>
        <w:tc>
          <w:tcPr>
            <w:tcW w:w="3593" w:type="dxa"/>
          </w:tcPr>
          <w:p w14:paraId="30A94823" w14:textId="0AE4FAAF" w:rsidR="004A1C8E" w:rsidRPr="00CA2F88" w:rsidRDefault="002E4729" w:rsidP="009E4535">
            <w:pPr>
              <w:rPr>
                <w:color w:val="FF0000"/>
              </w:rPr>
            </w:pPr>
            <w:r w:rsidRPr="002E4729">
              <w:t>Initial review and QA checks</w:t>
            </w:r>
          </w:p>
        </w:tc>
      </w:tr>
      <w:tr w:rsidR="00144A55" w14:paraId="30B95228" w14:textId="77777777" w:rsidTr="00CB63E6">
        <w:trPr>
          <w:cantSplit/>
          <w:trHeight w:val="264"/>
        </w:trPr>
        <w:tc>
          <w:tcPr>
            <w:tcW w:w="1950" w:type="dxa"/>
          </w:tcPr>
          <w:p w14:paraId="06A9E105" w14:textId="4799DEC0" w:rsidR="00144A55" w:rsidRDefault="00BE7E3B" w:rsidP="009E4535">
            <w:pPr>
              <w:rPr>
                <w:color w:val="000000"/>
              </w:rPr>
            </w:pPr>
            <w:r>
              <w:rPr>
                <w:color w:val="000000"/>
              </w:rPr>
              <w:t>0.3</w:t>
            </w:r>
          </w:p>
        </w:tc>
        <w:tc>
          <w:tcPr>
            <w:tcW w:w="2268" w:type="dxa"/>
          </w:tcPr>
          <w:p w14:paraId="3E2A40ED" w14:textId="3048496E" w:rsidR="00144A55" w:rsidRDefault="002E4729" w:rsidP="009E4535">
            <w:pPr>
              <w:rPr>
                <w:color w:val="000000"/>
              </w:rPr>
            </w:pPr>
            <w:r>
              <w:rPr>
                <w:color w:val="000000"/>
              </w:rPr>
              <w:t>Sarah Cook, Jonathon Moloney</w:t>
            </w:r>
          </w:p>
        </w:tc>
        <w:tc>
          <w:tcPr>
            <w:tcW w:w="1701" w:type="dxa"/>
          </w:tcPr>
          <w:p w14:paraId="7609A234" w14:textId="7B9563E7" w:rsidR="00144A55" w:rsidRDefault="002E4729" w:rsidP="009E4535">
            <w:pPr>
              <w:rPr>
                <w:color w:val="000000"/>
              </w:rPr>
            </w:pPr>
            <w:r>
              <w:rPr>
                <w:color w:val="000000"/>
              </w:rPr>
              <w:t>20</w:t>
            </w:r>
            <w:r w:rsidRPr="002E4729">
              <w:rPr>
                <w:color w:val="000000"/>
                <w:vertAlign w:val="superscript"/>
              </w:rPr>
              <w:t>th</w:t>
            </w:r>
            <w:r>
              <w:rPr>
                <w:color w:val="000000"/>
              </w:rPr>
              <w:t xml:space="preserve"> November 2025</w:t>
            </w:r>
          </w:p>
        </w:tc>
        <w:tc>
          <w:tcPr>
            <w:tcW w:w="3593" w:type="dxa"/>
          </w:tcPr>
          <w:p w14:paraId="6AA0AA7C" w14:textId="0D73C0DF" w:rsidR="00144A55" w:rsidRPr="00CA2F88" w:rsidRDefault="00532734" w:rsidP="009E4535">
            <w:pPr>
              <w:rPr>
                <w:color w:val="FF0000"/>
              </w:rPr>
            </w:pPr>
            <w:r w:rsidRPr="005F7C01">
              <w:t>Incorporated comments and added text regarding Supplier Day; worked example for evaluation</w:t>
            </w:r>
          </w:p>
        </w:tc>
      </w:tr>
      <w:tr w:rsidR="00232580" w14:paraId="36D97E1D" w14:textId="77777777" w:rsidTr="00CB63E6">
        <w:trPr>
          <w:cantSplit/>
          <w:trHeight w:val="264"/>
        </w:trPr>
        <w:tc>
          <w:tcPr>
            <w:tcW w:w="1950" w:type="dxa"/>
          </w:tcPr>
          <w:p w14:paraId="0EB5D502" w14:textId="18E17298" w:rsidR="00232580" w:rsidRDefault="00232580" w:rsidP="009E4535">
            <w:pPr>
              <w:rPr>
                <w:color w:val="000000"/>
              </w:rPr>
            </w:pPr>
            <w:r>
              <w:rPr>
                <w:color w:val="000000"/>
              </w:rPr>
              <w:t>1.0</w:t>
            </w:r>
          </w:p>
        </w:tc>
        <w:tc>
          <w:tcPr>
            <w:tcW w:w="2268" w:type="dxa"/>
          </w:tcPr>
          <w:p w14:paraId="70B96000" w14:textId="71C70D65" w:rsidR="00232580" w:rsidRDefault="005F7C01" w:rsidP="009E4535">
            <w:pPr>
              <w:rPr>
                <w:color w:val="000000"/>
              </w:rPr>
            </w:pPr>
            <w:r>
              <w:rPr>
                <w:color w:val="000000"/>
              </w:rPr>
              <w:t>Commercial Team</w:t>
            </w:r>
          </w:p>
        </w:tc>
        <w:tc>
          <w:tcPr>
            <w:tcW w:w="1701" w:type="dxa"/>
          </w:tcPr>
          <w:p w14:paraId="12A4DBA3" w14:textId="040C5E4B" w:rsidR="00232580" w:rsidRDefault="005F7C01" w:rsidP="009E4535">
            <w:pPr>
              <w:rPr>
                <w:color w:val="000000"/>
              </w:rPr>
            </w:pPr>
            <w:r>
              <w:rPr>
                <w:color w:val="000000"/>
              </w:rPr>
              <w:t>24</w:t>
            </w:r>
            <w:r w:rsidRPr="005F7C01">
              <w:rPr>
                <w:color w:val="000000"/>
                <w:vertAlign w:val="superscript"/>
              </w:rPr>
              <w:t>th</w:t>
            </w:r>
            <w:r>
              <w:rPr>
                <w:color w:val="000000"/>
              </w:rPr>
              <w:t xml:space="preserve"> November 2025</w:t>
            </w:r>
          </w:p>
        </w:tc>
        <w:tc>
          <w:tcPr>
            <w:tcW w:w="3593" w:type="dxa"/>
          </w:tcPr>
          <w:p w14:paraId="598AA49A" w14:textId="18AF7B24" w:rsidR="00232580" w:rsidRDefault="00232580" w:rsidP="009E4535">
            <w:pPr>
              <w:rPr>
                <w:color w:val="000000"/>
              </w:rPr>
            </w:pPr>
            <w:r>
              <w:rPr>
                <w:color w:val="000000"/>
              </w:rPr>
              <w:t>Finalised documentation</w:t>
            </w:r>
            <w:r w:rsidR="002E4729">
              <w:rPr>
                <w:color w:val="000000"/>
              </w:rPr>
              <w:t xml:space="preserve"> and final QA check</w:t>
            </w:r>
          </w:p>
        </w:tc>
      </w:tr>
    </w:tbl>
    <w:p w14:paraId="3F0614DB" w14:textId="08BF0BDA" w:rsidR="00D35FD0" w:rsidRDefault="009D0F86" w:rsidP="00FD19BF">
      <w:pPr>
        <w:rPr>
          <w:sz w:val="20"/>
          <w:szCs w:val="20"/>
        </w:rPr>
      </w:pPr>
      <w:r>
        <w:rPr>
          <w:sz w:val="20"/>
          <w:szCs w:val="20"/>
        </w:rPr>
        <w:t>*Add rows as required</w:t>
      </w:r>
    </w:p>
    <w:p w14:paraId="5283DA60" w14:textId="77777777" w:rsidR="00FD19BF" w:rsidRDefault="00FD19BF" w:rsidP="00FD19BF">
      <w:pPr>
        <w:rPr>
          <w:sz w:val="20"/>
          <w:szCs w:val="20"/>
        </w:rPr>
      </w:pPr>
    </w:p>
    <w:p w14:paraId="460E586C" w14:textId="77777777" w:rsidR="00FD19BF" w:rsidRDefault="00FD19BF" w:rsidP="00FD19BF">
      <w:pPr>
        <w:rPr>
          <w:sz w:val="20"/>
          <w:szCs w:val="20"/>
        </w:rPr>
      </w:pPr>
    </w:p>
    <w:p w14:paraId="017E067D" w14:textId="77777777" w:rsidR="00FD19BF" w:rsidRDefault="00FD19BF" w:rsidP="00FD19BF">
      <w:pPr>
        <w:rPr>
          <w:sz w:val="20"/>
          <w:szCs w:val="20"/>
        </w:rPr>
      </w:pPr>
    </w:p>
    <w:p w14:paraId="4E5D3883" w14:textId="77777777" w:rsidR="00FD19BF" w:rsidRDefault="00FD19BF" w:rsidP="00FD19BF">
      <w:pPr>
        <w:rPr>
          <w:sz w:val="20"/>
          <w:szCs w:val="20"/>
        </w:rPr>
      </w:pPr>
    </w:p>
    <w:p w14:paraId="68F73D2B" w14:textId="77777777" w:rsidR="00FD19BF" w:rsidRDefault="00FD19BF" w:rsidP="00FD19BF">
      <w:pPr>
        <w:rPr>
          <w:sz w:val="20"/>
          <w:szCs w:val="20"/>
        </w:rPr>
      </w:pPr>
    </w:p>
    <w:p w14:paraId="43DD9F5E" w14:textId="77777777" w:rsidR="00FD19BF" w:rsidRDefault="00FD19BF" w:rsidP="00FD19BF">
      <w:pPr>
        <w:rPr>
          <w:sz w:val="20"/>
          <w:szCs w:val="20"/>
        </w:rPr>
      </w:pPr>
    </w:p>
    <w:p w14:paraId="7A19F9C1" w14:textId="77777777" w:rsidR="00FD19BF" w:rsidRDefault="00FD19BF" w:rsidP="00FD19BF">
      <w:pPr>
        <w:rPr>
          <w:sz w:val="20"/>
          <w:szCs w:val="20"/>
        </w:rPr>
      </w:pPr>
    </w:p>
    <w:p w14:paraId="031F82FD" w14:textId="77777777" w:rsidR="00FD19BF" w:rsidRDefault="00FD19BF" w:rsidP="00FD19BF">
      <w:pPr>
        <w:rPr>
          <w:sz w:val="20"/>
          <w:szCs w:val="20"/>
        </w:rPr>
      </w:pPr>
    </w:p>
    <w:p w14:paraId="354A19B7" w14:textId="77777777" w:rsidR="00FD19BF" w:rsidRDefault="00FD19BF" w:rsidP="00FD19BF">
      <w:pPr>
        <w:rPr>
          <w:sz w:val="20"/>
          <w:szCs w:val="20"/>
        </w:rPr>
      </w:pPr>
    </w:p>
    <w:p w14:paraId="26C3DED3" w14:textId="77777777" w:rsidR="00FD19BF" w:rsidRDefault="00FD19BF" w:rsidP="00FD19BF">
      <w:pPr>
        <w:rPr>
          <w:sz w:val="20"/>
          <w:szCs w:val="20"/>
        </w:rPr>
      </w:pPr>
    </w:p>
    <w:p w14:paraId="3CDE4674" w14:textId="77777777" w:rsidR="00FD19BF" w:rsidRDefault="00FD19BF" w:rsidP="00FD19BF">
      <w:pPr>
        <w:rPr>
          <w:sz w:val="20"/>
          <w:szCs w:val="20"/>
        </w:rPr>
      </w:pPr>
    </w:p>
    <w:p w14:paraId="0C853D80" w14:textId="77777777" w:rsidR="00FD19BF" w:rsidRDefault="00FD19BF" w:rsidP="00FD19BF">
      <w:pPr>
        <w:rPr>
          <w:sz w:val="20"/>
          <w:szCs w:val="20"/>
        </w:rPr>
      </w:pPr>
    </w:p>
    <w:p w14:paraId="6A25C436" w14:textId="77777777" w:rsidR="00FD19BF" w:rsidRDefault="00FD19BF" w:rsidP="00FD19BF">
      <w:pPr>
        <w:rPr>
          <w:sz w:val="20"/>
          <w:szCs w:val="20"/>
        </w:rPr>
      </w:pPr>
    </w:p>
    <w:p w14:paraId="03FA3E3F" w14:textId="77777777" w:rsidR="00FD19BF" w:rsidRDefault="00FD19BF" w:rsidP="00FD19BF">
      <w:pPr>
        <w:rPr>
          <w:sz w:val="20"/>
          <w:szCs w:val="20"/>
        </w:rPr>
      </w:pPr>
    </w:p>
    <w:p w14:paraId="5E28B329" w14:textId="77777777" w:rsidR="00FD19BF" w:rsidRDefault="00FD19BF" w:rsidP="00FD19BF">
      <w:pPr>
        <w:rPr>
          <w:sz w:val="20"/>
          <w:szCs w:val="20"/>
        </w:rPr>
      </w:pPr>
    </w:p>
    <w:p w14:paraId="4C79B0F7" w14:textId="77777777" w:rsidR="00FD19BF" w:rsidRDefault="00FD19BF" w:rsidP="00FD19BF">
      <w:pPr>
        <w:rPr>
          <w:sz w:val="20"/>
          <w:szCs w:val="20"/>
        </w:rPr>
      </w:pPr>
    </w:p>
    <w:p w14:paraId="15EAE751" w14:textId="77777777" w:rsidR="00FD19BF" w:rsidRDefault="00FD19BF" w:rsidP="00FD19BF">
      <w:pPr>
        <w:rPr>
          <w:sz w:val="20"/>
          <w:szCs w:val="20"/>
        </w:rPr>
      </w:pPr>
    </w:p>
    <w:p w14:paraId="1FE1F659" w14:textId="77777777" w:rsidR="00FD19BF" w:rsidRDefault="00FD19BF" w:rsidP="00FD19BF">
      <w:pPr>
        <w:rPr>
          <w:sz w:val="20"/>
          <w:szCs w:val="20"/>
        </w:rPr>
      </w:pPr>
    </w:p>
    <w:p w14:paraId="38F61FBB" w14:textId="77777777" w:rsidR="00FD19BF" w:rsidRDefault="00FD19BF" w:rsidP="00FD19BF">
      <w:pPr>
        <w:rPr>
          <w:sz w:val="20"/>
          <w:szCs w:val="20"/>
        </w:rPr>
      </w:pPr>
    </w:p>
    <w:p w14:paraId="171CB02D" w14:textId="77777777" w:rsidR="00FD19BF" w:rsidRDefault="00FD19BF" w:rsidP="00FD19BF">
      <w:pPr>
        <w:rPr>
          <w:sz w:val="20"/>
          <w:szCs w:val="20"/>
        </w:rPr>
      </w:pPr>
    </w:p>
    <w:p w14:paraId="79C312F0" w14:textId="77777777" w:rsidR="00FD19BF" w:rsidRDefault="00FD19BF" w:rsidP="00FD19BF">
      <w:pPr>
        <w:rPr>
          <w:sz w:val="20"/>
          <w:szCs w:val="20"/>
        </w:rPr>
      </w:pPr>
    </w:p>
    <w:p w14:paraId="4D6FE629" w14:textId="77777777" w:rsidR="00FD19BF" w:rsidRDefault="00FD19BF" w:rsidP="00FD19BF">
      <w:pPr>
        <w:rPr>
          <w:sz w:val="20"/>
          <w:szCs w:val="20"/>
        </w:rPr>
      </w:pPr>
    </w:p>
    <w:p w14:paraId="46EE3426" w14:textId="77777777" w:rsidR="00FD19BF" w:rsidRDefault="00FD19BF" w:rsidP="00FD19BF">
      <w:pPr>
        <w:rPr>
          <w:sz w:val="20"/>
          <w:szCs w:val="20"/>
        </w:rPr>
      </w:pPr>
    </w:p>
    <w:p w14:paraId="739311D7" w14:textId="77777777" w:rsidR="00FD19BF" w:rsidRPr="00FD19BF" w:rsidRDefault="00FD19BF" w:rsidP="00FD19BF">
      <w:pPr>
        <w:rPr>
          <w:sz w:val="20"/>
          <w:szCs w:val="20"/>
        </w:rPr>
      </w:pPr>
    </w:p>
    <w:p w14:paraId="275D7D40" w14:textId="77777777" w:rsidR="007A5B69" w:rsidRDefault="007A5B69" w:rsidP="009D0F86">
      <w:pPr>
        <w:pStyle w:val="BodyText1"/>
      </w:pPr>
    </w:p>
    <w:p w14:paraId="7218D64D" w14:textId="77777777" w:rsidR="007A5B69" w:rsidRDefault="007A5B69" w:rsidP="009D0F86">
      <w:pPr>
        <w:pStyle w:val="BodyText1"/>
      </w:pPr>
    </w:p>
    <w:p w14:paraId="2962C147" w14:textId="77777777" w:rsidR="007A5B69" w:rsidRDefault="007A5B69" w:rsidP="009D0F86">
      <w:pPr>
        <w:pStyle w:val="BodyText1"/>
      </w:pPr>
    </w:p>
    <w:p w14:paraId="50FADBCC" w14:textId="77777777" w:rsidR="007A5B69" w:rsidRDefault="007A5B69" w:rsidP="009D0F86">
      <w:pPr>
        <w:pStyle w:val="BodyText1"/>
      </w:pPr>
    </w:p>
    <w:p w14:paraId="19027383" w14:textId="77777777" w:rsidR="007A5B69" w:rsidRDefault="007A5B69" w:rsidP="009D0F86">
      <w:pPr>
        <w:pStyle w:val="BodyText1"/>
      </w:pPr>
    </w:p>
    <w:p w14:paraId="46A7ABAB" w14:textId="43218BA5" w:rsidR="00D35FD0" w:rsidRDefault="00D35FD0" w:rsidP="00185A38">
      <w:pPr>
        <w:pStyle w:val="BodyText1"/>
        <w:sectPr w:rsidR="00D35FD0" w:rsidSect="00523FC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docGrid w:linePitch="326"/>
        </w:sectPr>
      </w:pPr>
    </w:p>
    <w:p w14:paraId="29719C09" w14:textId="77777777" w:rsidR="00F72F39" w:rsidRPr="00BD4A1D" w:rsidRDefault="004E76AE" w:rsidP="00D35FD0">
      <w:pPr>
        <w:keepNext/>
        <w:pBdr>
          <w:top w:val="nil"/>
          <w:left w:val="nil"/>
          <w:bottom w:val="nil"/>
          <w:right w:val="nil"/>
          <w:between w:val="nil"/>
        </w:pBdr>
        <w:spacing w:after="600"/>
        <w:rPr>
          <w:b/>
          <w:color w:val="005ABB" w:themeColor="accent2"/>
          <w:sz w:val="36"/>
          <w:szCs w:val="42"/>
        </w:rPr>
      </w:pPr>
      <w:r w:rsidRPr="00BD4A1D">
        <w:rPr>
          <w:b/>
          <w:color w:val="005ABB" w:themeColor="accent2"/>
          <w:sz w:val="36"/>
          <w:szCs w:val="42"/>
        </w:rPr>
        <w:lastRenderedPageBreak/>
        <w:t>Contents</w:t>
      </w:r>
    </w:p>
    <w:sdt>
      <w:sdtPr>
        <w:id w:val="-1060397390"/>
        <w:docPartObj>
          <w:docPartGallery w:val="Table of Contents"/>
          <w:docPartUnique/>
        </w:docPartObj>
      </w:sdtPr>
      <w:sdtContent>
        <w:p w14:paraId="2449F785" w14:textId="1BFDE185" w:rsidR="00600529" w:rsidRDefault="005963DA">
          <w:pPr>
            <w:pStyle w:val="TOC1"/>
            <w:rPr>
              <w:rFonts w:eastAsiaTheme="minorEastAsia" w:cstheme="minorBidi"/>
              <w:b w:val="0"/>
              <w:noProof/>
              <w:kern w:val="2"/>
              <w14:ligatures w14:val="standardContextual"/>
            </w:rPr>
          </w:pPr>
          <w:r>
            <w:fldChar w:fldCharType="begin"/>
          </w:r>
          <w:r>
            <w:instrText xml:space="preserve"> TOC \o "1-1" \h \z \t "Heading 2,2" </w:instrText>
          </w:r>
          <w:r>
            <w:fldChar w:fldCharType="separate"/>
          </w:r>
          <w:hyperlink w:anchor="_Toc214868660" w:history="1">
            <w:r w:rsidR="00600529" w:rsidRPr="00B32272">
              <w:rPr>
                <w:rStyle w:val="Hyperlink"/>
                <w:noProof/>
              </w:rPr>
              <w:t>Deadline for responding to this document via the Portal</w:t>
            </w:r>
            <w:r w:rsidR="00600529">
              <w:rPr>
                <w:noProof/>
                <w:webHidden/>
              </w:rPr>
              <w:tab/>
            </w:r>
            <w:r w:rsidR="00600529">
              <w:rPr>
                <w:noProof/>
                <w:webHidden/>
              </w:rPr>
              <w:fldChar w:fldCharType="begin"/>
            </w:r>
            <w:r w:rsidR="00600529">
              <w:rPr>
                <w:noProof/>
                <w:webHidden/>
              </w:rPr>
              <w:instrText xml:space="preserve"> PAGEREF _Toc214868660 \h </w:instrText>
            </w:r>
            <w:r w:rsidR="00600529">
              <w:rPr>
                <w:noProof/>
                <w:webHidden/>
              </w:rPr>
            </w:r>
            <w:r w:rsidR="00600529">
              <w:rPr>
                <w:noProof/>
                <w:webHidden/>
              </w:rPr>
              <w:fldChar w:fldCharType="separate"/>
            </w:r>
            <w:r w:rsidR="00600529">
              <w:rPr>
                <w:noProof/>
                <w:webHidden/>
              </w:rPr>
              <w:t>4</w:t>
            </w:r>
            <w:r w:rsidR="00600529">
              <w:rPr>
                <w:noProof/>
                <w:webHidden/>
              </w:rPr>
              <w:fldChar w:fldCharType="end"/>
            </w:r>
          </w:hyperlink>
        </w:p>
        <w:p w14:paraId="44A96AE1" w14:textId="19EABA8E" w:rsidR="00600529" w:rsidRDefault="00600529">
          <w:pPr>
            <w:pStyle w:val="TOC1"/>
            <w:rPr>
              <w:rFonts w:eastAsiaTheme="minorEastAsia" w:cstheme="minorBidi"/>
              <w:b w:val="0"/>
              <w:noProof/>
              <w:kern w:val="2"/>
              <w14:ligatures w14:val="standardContextual"/>
            </w:rPr>
          </w:pPr>
          <w:hyperlink w:anchor="_Toc214868661" w:history="1">
            <w:r w:rsidRPr="00B32272">
              <w:rPr>
                <w:rStyle w:val="Hyperlink"/>
                <w:noProof/>
              </w:rPr>
              <w:t>Introduction</w:t>
            </w:r>
            <w:r>
              <w:rPr>
                <w:noProof/>
                <w:webHidden/>
              </w:rPr>
              <w:tab/>
            </w:r>
            <w:r>
              <w:rPr>
                <w:noProof/>
                <w:webHidden/>
              </w:rPr>
              <w:fldChar w:fldCharType="begin"/>
            </w:r>
            <w:r>
              <w:rPr>
                <w:noProof/>
                <w:webHidden/>
              </w:rPr>
              <w:instrText xml:space="preserve"> PAGEREF _Toc214868661 \h </w:instrText>
            </w:r>
            <w:r>
              <w:rPr>
                <w:noProof/>
                <w:webHidden/>
              </w:rPr>
            </w:r>
            <w:r>
              <w:rPr>
                <w:noProof/>
                <w:webHidden/>
              </w:rPr>
              <w:fldChar w:fldCharType="separate"/>
            </w:r>
            <w:r>
              <w:rPr>
                <w:noProof/>
                <w:webHidden/>
              </w:rPr>
              <w:t>5</w:t>
            </w:r>
            <w:r>
              <w:rPr>
                <w:noProof/>
                <w:webHidden/>
              </w:rPr>
              <w:fldChar w:fldCharType="end"/>
            </w:r>
          </w:hyperlink>
        </w:p>
        <w:p w14:paraId="3276111B" w14:textId="6C8C6D61" w:rsidR="00600529" w:rsidRDefault="00600529">
          <w:pPr>
            <w:pStyle w:val="TOC1"/>
            <w:rPr>
              <w:rFonts w:eastAsiaTheme="minorEastAsia" w:cstheme="minorBidi"/>
              <w:b w:val="0"/>
              <w:noProof/>
              <w:kern w:val="2"/>
              <w14:ligatures w14:val="standardContextual"/>
            </w:rPr>
          </w:pPr>
          <w:hyperlink w:anchor="_Toc214868662" w:history="1">
            <w:r w:rsidRPr="00B32272">
              <w:rPr>
                <w:rStyle w:val="Hyperlink"/>
                <w:noProof/>
              </w:rPr>
              <w:t>Introduction to the Authority</w:t>
            </w:r>
            <w:r>
              <w:rPr>
                <w:noProof/>
                <w:webHidden/>
              </w:rPr>
              <w:tab/>
            </w:r>
            <w:r>
              <w:rPr>
                <w:noProof/>
                <w:webHidden/>
              </w:rPr>
              <w:fldChar w:fldCharType="begin"/>
            </w:r>
            <w:r>
              <w:rPr>
                <w:noProof/>
                <w:webHidden/>
              </w:rPr>
              <w:instrText xml:space="preserve"> PAGEREF _Toc214868662 \h </w:instrText>
            </w:r>
            <w:r>
              <w:rPr>
                <w:noProof/>
                <w:webHidden/>
              </w:rPr>
            </w:r>
            <w:r>
              <w:rPr>
                <w:noProof/>
                <w:webHidden/>
              </w:rPr>
              <w:fldChar w:fldCharType="separate"/>
            </w:r>
            <w:r>
              <w:rPr>
                <w:noProof/>
                <w:webHidden/>
              </w:rPr>
              <w:t>6</w:t>
            </w:r>
            <w:r>
              <w:rPr>
                <w:noProof/>
                <w:webHidden/>
              </w:rPr>
              <w:fldChar w:fldCharType="end"/>
            </w:r>
          </w:hyperlink>
        </w:p>
        <w:p w14:paraId="767B0AB4" w14:textId="40CB01DB" w:rsidR="00600529" w:rsidRDefault="00600529">
          <w:pPr>
            <w:pStyle w:val="TOC1"/>
            <w:rPr>
              <w:rFonts w:eastAsiaTheme="minorEastAsia" w:cstheme="minorBidi"/>
              <w:b w:val="0"/>
              <w:noProof/>
              <w:kern w:val="2"/>
              <w14:ligatures w14:val="standardContextual"/>
            </w:rPr>
          </w:pPr>
          <w:hyperlink w:anchor="_Toc214868663" w:history="1">
            <w:r w:rsidRPr="00B32272">
              <w:rPr>
                <w:rStyle w:val="Hyperlink"/>
                <w:noProof/>
              </w:rPr>
              <w:t>Overview of the Authority’s requirement</w:t>
            </w:r>
            <w:r>
              <w:rPr>
                <w:noProof/>
                <w:webHidden/>
              </w:rPr>
              <w:tab/>
            </w:r>
            <w:r>
              <w:rPr>
                <w:noProof/>
                <w:webHidden/>
              </w:rPr>
              <w:fldChar w:fldCharType="begin"/>
            </w:r>
            <w:r>
              <w:rPr>
                <w:noProof/>
                <w:webHidden/>
              </w:rPr>
              <w:instrText xml:space="preserve"> PAGEREF _Toc214868663 \h </w:instrText>
            </w:r>
            <w:r>
              <w:rPr>
                <w:noProof/>
                <w:webHidden/>
              </w:rPr>
            </w:r>
            <w:r>
              <w:rPr>
                <w:noProof/>
                <w:webHidden/>
              </w:rPr>
              <w:fldChar w:fldCharType="separate"/>
            </w:r>
            <w:r>
              <w:rPr>
                <w:noProof/>
                <w:webHidden/>
              </w:rPr>
              <w:t>7</w:t>
            </w:r>
            <w:r>
              <w:rPr>
                <w:noProof/>
                <w:webHidden/>
              </w:rPr>
              <w:fldChar w:fldCharType="end"/>
            </w:r>
          </w:hyperlink>
        </w:p>
        <w:p w14:paraId="695689AF" w14:textId="3DF9FC76" w:rsidR="00600529" w:rsidRDefault="00600529">
          <w:pPr>
            <w:pStyle w:val="TOC1"/>
            <w:rPr>
              <w:rFonts w:eastAsiaTheme="minorEastAsia" w:cstheme="minorBidi"/>
              <w:b w:val="0"/>
              <w:noProof/>
              <w:kern w:val="2"/>
              <w14:ligatures w14:val="standardContextual"/>
            </w:rPr>
          </w:pPr>
          <w:hyperlink w:anchor="_Toc214868664" w:history="1">
            <w:r w:rsidRPr="00B32272">
              <w:rPr>
                <w:rStyle w:val="Hyperlink"/>
                <w:noProof/>
              </w:rPr>
              <w:t>Preliminary market engagement</w:t>
            </w:r>
            <w:r>
              <w:rPr>
                <w:noProof/>
                <w:webHidden/>
              </w:rPr>
              <w:tab/>
            </w:r>
            <w:r>
              <w:rPr>
                <w:noProof/>
                <w:webHidden/>
              </w:rPr>
              <w:fldChar w:fldCharType="begin"/>
            </w:r>
            <w:r>
              <w:rPr>
                <w:noProof/>
                <w:webHidden/>
              </w:rPr>
              <w:instrText xml:space="preserve"> PAGEREF _Toc214868664 \h </w:instrText>
            </w:r>
            <w:r>
              <w:rPr>
                <w:noProof/>
                <w:webHidden/>
              </w:rPr>
            </w:r>
            <w:r>
              <w:rPr>
                <w:noProof/>
                <w:webHidden/>
              </w:rPr>
              <w:fldChar w:fldCharType="separate"/>
            </w:r>
            <w:r>
              <w:rPr>
                <w:noProof/>
                <w:webHidden/>
              </w:rPr>
              <w:t>11</w:t>
            </w:r>
            <w:r>
              <w:rPr>
                <w:noProof/>
                <w:webHidden/>
              </w:rPr>
              <w:fldChar w:fldCharType="end"/>
            </w:r>
          </w:hyperlink>
        </w:p>
        <w:p w14:paraId="37ECE6CD" w14:textId="3BDBBD3E" w:rsidR="00600529" w:rsidRDefault="00600529">
          <w:pPr>
            <w:pStyle w:val="TOC1"/>
            <w:rPr>
              <w:rFonts w:eastAsiaTheme="minorEastAsia" w:cstheme="minorBidi"/>
              <w:b w:val="0"/>
              <w:noProof/>
              <w:kern w:val="2"/>
              <w14:ligatures w14:val="standardContextual"/>
            </w:rPr>
          </w:pPr>
          <w:hyperlink w:anchor="_Toc214868665" w:history="1">
            <w:r w:rsidRPr="00B32272">
              <w:rPr>
                <w:rStyle w:val="Hyperlink"/>
                <w:noProof/>
              </w:rPr>
              <w:t>The procurement process</w:t>
            </w:r>
            <w:r>
              <w:rPr>
                <w:noProof/>
                <w:webHidden/>
              </w:rPr>
              <w:tab/>
            </w:r>
            <w:r>
              <w:rPr>
                <w:noProof/>
                <w:webHidden/>
              </w:rPr>
              <w:fldChar w:fldCharType="begin"/>
            </w:r>
            <w:r>
              <w:rPr>
                <w:noProof/>
                <w:webHidden/>
              </w:rPr>
              <w:instrText xml:space="preserve"> PAGEREF _Toc214868665 \h </w:instrText>
            </w:r>
            <w:r>
              <w:rPr>
                <w:noProof/>
                <w:webHidden/>
              </w:rPr>
            </w:r>
            <w:r>
              <w:rPr>
                <w:noProof/>
                <w:webHidden/>
              </w:rPr>
              <w:fldChar w:fldCharType="separate"/>
            </w:r>
            <w:r>
              <w:rPr>
                <w:noProof/>
                <w:webHidden/>
              </w:rPr>
              <w:t>12</w:t>
            </w:r>
            <w:r>
              <w:rPr>
                <w:noProof/>
                <w:webHidden/>
              </w:rPr>
              <w:fldChar w:fldCharType="end"/>
            </w:r>
          </w:hyperlink>
        </w:p>
        <w:p w14:paraId="165F135A" w14:textId="77FBA10D" w:rsidR="00600529" w:rsidRDefault="00600529">
          <w:pPr>
            <w:pStyle w:val="TOC1"/>
            <w:rPr>
              <w:rFonts w:eastAsiaTheme="minorEastAsia" w:cstheme="minorBidi"/>
              <w:b w:val="0"/>
              <w:noProof/>
              <w:kern w:val="2"/>
              <w14:ligatures w14:val="standardContextual"/>
            </w:rPr>
          </w:pPr>
          <w:hyperlink w:anchor="_Toc214868666" w:history="1">
            <w:r w:rsidRPr="00B32272">
              <w:rPr>
                <w:rStyle w:val="Hyperlink"/>
                <w:noProof/>
              </w:rPr>
              <w:t>Procurement timetable</w:t>
            </w:r>
            <w:r>
              <w:rPr>
                <w:noProof/>
                <w:webHidden/>
              </w:rPr>
              <w:tab/>
            </w:r>
            <w:r>
              <w:rPr>
                <w:noProof/>
                <w:webHidden/>
              </w:rPr>
              <w:fldChar w:fldCharType="begin"/>
            </w:r>
            <w:r>
              <w:rPr>
                <w:noProof/>
                <w:webHidden/>
              </w:rPr>
              <w:instrText xml:space="preserve"> PAGEREF _Toc214868666 \h </w:instrText>
            </w:r>
            <w:r>
              <w:rPr>
                <w:noProof/>
                <w:webHidden/>
              </w:rPr>
            </w:r>
            <w:r>
              <w:rPr>
                <w:noProof/>
                <w:webHidden/>
              </w:rPr>
              <w:fldChar w:fldCharType="separate"/>
            </w:r>
            <w:r>
              <w:rPr>
                <w:noProof/>
                <w:webHidden/>
              </w:rPr>
              <w:t>17</w:t>
            </w:r>
            <w:r>
              <w:rPr>
                <w:noProof/>
                <w:webHidden/>
              </w:rPr>
              <w:fldChar w:fldCharType="end"/>
            </w:r>
          </w:hyperlink>
        </w:p>
        <w:p w14:paraId="5876251B" w14:textId="3DEACC06" w:rsidR="00600529" w:rsidRDefault="00600529">
          <w:pPr>
            <w:pStyle w:val="TOC1"/>
            <w:rPr>
              <w:rFonts w:eastAsiaTheme="minorEastAsia" w:cstheme="minorBidi"/>
              <w:b w:val="0"/>
              <w:noProof/>
              <w:kern w:val="2"/>
              <w14:ligatures w14:val="standardContextual"/>
            </w:rPr>
          </w:pPr>
          <w:hyperlink w:anchor="_Toc214868667" w:history="1">
            <w:r w:rsidRPr="00B32272">
              <w:rPr>
                <w:rStyle w:val="Hyperlink"/>
                <w:noProof/>
              </w:rPr>
              <w:t>Service Levels, Service Credits and KPIs</w:t>
            </w:r>
            <w:r>
              <w:rPr>
                <w:noProof/>
                <w:webHidden/>
              </w:rPr>
              <w:tab/>
            </w:r>
            <w:r>
              <w:rPr>
                <w:noProof/>
                <w:webHidden/>
              </w:rPr>
              <w:fldChar w:fldCharType="begin"/>
            </w:r>
            <w:r>
              <w:rPr>
                <w:noProof/>
                <w:webHidden/>
              </w:rPr>
              <w:instrText xml:space="preserve"> PAGEREF _Toc214868667 \h </w:instrText>
            </w:r>
            <w:r>
              <w:rPr>
                <w:noProof/>
                <w:webHidden/>
              </w:rPr>
            </w:r>
            <w:r>
              <w:rPr>
                <w:noProof/>
                <w:webHidden/>
              </w:rPr>
              <w:fldChar w:fldCharType="separate"/>
            </w:r>
            <w:r>
              <w:rPr>
                <w:noProof/>
                <w:webHidden/>
              </w:rPr>
              <w:t>18</w:t>
            </w:r>
            <w:r>
              <w:rPr>
                <w:noProof/>
                <w:webHidden/>
              </w:rPr>
              <w:fldChar w:fldCharType="end"/>
            </w:r>
          </w:hyperlink>
        </w:p>
        <w:p w14:paraId="477A6C9A" w14:textId="1FFEC5F8" w:rsidR="00600529" w:rsidRDefault="00600529">
          <w:pPr>
            <w:pStyle w:val="TOC1"/>
            <w:rPr>
              <w:rFonts w:eastAsiaTheme="minorEastAsia" w:cstheme="minorBidi"/>
              <w:b w:val="0"/>
              <w:noProof/>
              <w:kern w:val="2"/>
              <w14:ligatures w14:val="standardContextual"/>
            </w:rPr>
          </w:pPr>
          <w:hyperlink w:anchor="_Toc214868668" w:history="1">
            <w:r w:rsidRPr="00B32272">
              <w:rPr>
                <w:rStyle w:val="Hyperlink"/>
                <w:noProof/>
              </w:rPr>
              <w:t>Key dependencies</w:t>
            </w:r>
            <w:r>
              <w:rPr>
                <w:noProof/>
                <w:webHidden/>
              </w:rPr>
              <w:tab/>
            </w:r>
            <w:r>
              <w:rPr>
                <w:noProof/>
                <w:webHidden/>
              </w:rPr>
              <w:fldChar w:fldCharType="begin"/>
            </w:r>
            <w:r>
              <w:rPr>
                <w:noProof/>
                <w:webHidden/>
              </w:rPr>
              <w:instrText xml:space="preserve"> PAGEREF _Toc214868668 \h </w:instrText>
            </w:r>
            <w:r>
              <w:rPr>
                <w:noProof/>
                <w:webHidden/>
              </w:rPr>
            </w:r>
            <w:r>
              <w:rPr>
                <w:noProof/>
                <w:webHidden/>
              </w:rPr>
              <w:fldChar w:fldCharType="separate"/>
            </w:r>
            <w:r>
              <w:rPr>
                <w:noProof/>
                <w:webHidden/>
              </w:rPr>
              <w:t>20</w:t>
            </w:r>
            <w:r>
              <w:rPr>
                <w:noProof/>
                <w:webHidden/>
              </w:rPr>
              <w:fldChar w:fldCharType="end"/>
            </w:r>
          </w:hyperlink>
        </w:p>
        <w:p w14:paraId="3EA52A16" w14:textId="180E401B" w:rsidR="00600529" w:rsidRDefault="00600529">
          <w:pPr>
            <w:pStyle w:val="TOC1"/>
            <w:rPr>
              <w:rFonts w:eastAsiaTheme="minorEastAsia" w:cstheme="minorBidi"/>
              <w:b w:val="0"/>
              <w:noProof/>
              <w:kern w:val="2"/>
              <w14:ligatures w14:val="standardContextual"/>
            </w:rPr>
          </w:pPr>
          <w:hyperlink w:anchor="_Toc214868669" w:history="1">
            <w:r w:rsidRPr="00B32272">
              <w:rPr>
                <w:rStyle w:val="Hyperlink"/>
                <w:noProof/>
              </w:rPr>
              <w:t>Contract risks</w:t>
            </w:r>
            <w:r>
              <w:rPr>
                <w:noProof/>
                <w:webHidden/>
              </w:rPr>
              <w:tab/>
            </w:r>
            <w:r>
              <w:rPr>
                <w:noProof/>
                <w:webHidden/>
              </w:rPr>
              <w:fldChar w:fldCharType="begin"/>
            </w:r>
            <w:r>
              <w:rPr>
                <w:noProof/>
                <w:webHidden/>
              </w:rPr>
              <w:instrText xml:space="preserve"> PAGEREF _Toc214868669 \h </w:instrText>
            </w:r>
            <w:r>
              <w:rPr>
                <w:noProof/>
                <w:webHidden/>
              </w:rPr>
            </w:r>
            <w:r>
              <w:rPr>
                <w:noProof/>
                <w:webHidden/>
              </w:rPr>
              <w:fldChar w:fldCharType="separate"/>
            </w:r>
            <w:r>
              <w:rPr>
                <w:noProof/>
                <w:webHidden/>
              </w:rPr>
              <w:t>21</w:t>
            </w:r>
            <w:r>
              <w:rPr>
                <w:noProof/>
                <w:webHidden/>
              </w:rPr>
              <w:fldChar w:fldCharType="end"/>
            </w:r>
          </w:hyperlink>
        </w:p>
        <w:p w14:paraId="614C552C" w14:textId="1672D420" w:rsidR="00600529" w:rsidRDefault="00600529">
          <w:pPr>
            <w:pStyle w:val="TOC1"/>
            <w:rPr>
              <w:rFonts w:eastAsiaTheme="minorEastAsia" w:cstheme="minorBidi"/>
              <w:b w:val="0"/>
              <w:noProof/>
              <w:kern w:val="2"/>
              <w14:ligatures w14:val="standardContextual"/>
            </w:rPr>
          </w:pPr>
          <w:hyperlink w:anchor="_Toc214868670" w:history="1">
            <w:r w:rsidRPr="00B32272">
              <w:rPr>
                <w:rStyle w:val="Hyperlink"/>
                <w:noProof/>
              </w:rPr>
              <w:t>Contract terms</w:t>
            </w:r>
            <w:r>
              <w:rPr>
                <w:noProof/>
                <w:webHidden/>
              </w:rPr>
              <w:tab/>
            </w:r>
            <w:r>
              <w:rPr>
                <w:noProof/>
                <w:webHidden/>
              </w:rPr>
              <w:fldChar w:fldCharType="begin"/>
            </w:r>
            <w:r>
              <w:rPr>
                <w:noProof/>
                <w:webHidden/>
              </w:rPr>
              <w:instrText xml:space="preserve"> PAGEREF _Toc214868670 \h </w:instrText>
            </w:r>
            <w:r>
              <w:rPr>
                <w:noProof/>
                <w:webHidden/>
              </w:rPr>
            </w:r>
            <w:r>
              <w:rPr>
                <w:noProof/>
                <w:webHidden/>
              </w:rPr>
              <w:fldChar w:fldCharType="separate"/>
            </w:r>
            <w:r>
              <w:rPr>
                <w:noProof/>
                <w:webHidden/>
              </w:rPr>
              <w:t>22</w:t>
            </w:r>
            <w:r>
              <w:rPr>
                <w:noProof/>
                <w:webHidden/>
              </w:rPr>
              <w:fldChar w:fldCharType="end"/>
            </w:r>
          </w:hyperlink>
        </w:p>
        <w:p w14:paraId="486C6841" w14:textId="1ADE5A89" w:rsidR="00600529" w:rsidRDefault="00600529">
          <w:pPr>
            <w:pStyle w:val="TOC1"/>
            <w:rPr>
              <w:rFonts w:eastAsiaTheme="minorEastAsia" w:cstheme="minorBidi"/>
              <w:b w:val="0"/>
              <w:noProof/>
              <w:kern w:val="2"/>
              <w14:ligatures w14:val="standardContextual"/>
            </w:rPr>
          </w:pPr>
          <w:hyperlink w:anchor="_Toc214868671" w:history="1">
            <w:r w:rsidRPr="00B32272">
              <w:rPr>
                <w:rStyle w:val="Hyperlink"/>
                <w:noProof/>
              </w:rPr>
              <w:t>Data room</w:t>
            </w:r>
            <w:r>
              <w:rPr>
                <w:noProof/>
                <w:webHidden/>
              </w:rPr>
              <w:tab/>
            </w:r>
            <w:r>
              <w:rPr>
                <w:noProof/>
                <w:webHidden/>
              </w:rPr>
              <w:fldChar w:fldCharType="begin"/>
            </w:r>
            <w:r>
              <w:rPr>
                <w:noProof/>
                <w:webHidden/>
              </w:rPr>
              <w:instrText xml:space="preserve"> PAGEREF _Toc214868671 \h </w:instrText>
            </w:r>
            <w:r>
              <w:rPr>
                <w:noProof/>
                <w:webHidden/>
              </w:rPr>
            </w:r>
            <w:r>
              <w:rPr>
                <w:noProof/>
                <w:webHidden/>
              </w:rPr>
              <w:fldChar w:fldCharType="separate"/>
            </w:r>
            <w:r>
              <w:rPr>
                <w:noProof/>
                <w:webHidden/>
              </w:rPr>
              <w:t>23</w:t>
            </w:r>
            <w:r>
              <w:rPr>
                <w:noProof/>
                <w:webHidden/>
              </w:rPr>
              <w:fldChar w:fldCharType="end"/>
            </w:r>
          </w:hyperlink>
        </w:p>
        <w:p w14:paraId="01E85557" w14:textId="4DAC07A4" w:rsidR="00600529" w:rsidRDefault="00600529">
          <w:pPr>
            <w:pStyle w:val="TOC1"/>
            <w:rPr>
              <w:rFonts w:eastAsiaTheme="minorEastAsia" w:cstheme="minorBidi"/>
              <w:b w:val="0"/>
              <w:noProof/>
              <w:kern w:val="2"/>
              <w14:ligatures w14:val="standardContextual"/>
            </w:rPr>
          </w:pPr>
          <w:hyperlink w:anchor="_Toc214868672" w:history="1">
            <w:r w:rsidRPr="00B32272">
              <w:rPr>
                <w:rStyle w:val="Hyperlink"/>
                <w:noProof/>
              </w:rPr>
              <w:t>How to respond to this opportunity</w:t>
            </w:r>
            <w:r>
              <w:rPr>
                <w:noProof/>
                <w:webHidden/>
              </w:rPr>
              <w:tab/>
            </w:r>
            <w:r>
              <w:rPr>
                <w:noProof/>
                <w:webHidden/>
              </w:rPr>
              <w:fldChar w:fldCharType="begin"/>
            </w:r>
            <w:r>
              <w:rPr>
                <w:noProof/>
                <w:webHidden/>
              </w:rPr>
              <w:instrText xml:space="preserve"> PAGEREF _Toc214868672 \h </w:instrText>
            </w:r>
            <w:r>
              <w:rPr>
                <w:noProof/>
                <w:webHidden/>
              </w:rPr>
            </w:r>
            <w:r>
              <w:rPr>
                <w:noProof/>
                <w:webHidden/>
              </w:rPr>
              <w:fldChar w:fldCharType="separate"/>
            </w:r>
            <w:r>
              <w:rPr>
                <w:noProof/>
                <w:webHidden/>
              </w:rPr>
              <w:t>24</w:t>
            </w:r>
            <w:r>
              <w:rPr>
                <w:noProof/>
                <w:webHidden/>
              </w:rPr>
              <w:fldChar w:fldCharType="end"/>
            </w:r>
          </w:hyperlink>
        </w:p>
        <w:p w14:paraId="491EA845" w14:textId="3EAF550F" w:rsidR="00600529" w:rsidRDefault="00600529">
          <w:pPr>
            <w:pStyle w:val="TOC1"/>
            <w:rPr>
              <w:rFonts w:eastAsiaTheme="minorEastAsia" w:cstheme="minorBidi"/>
              <w:b w:val="0"/>
              <w:noProof/>
              <w:kern w:val="2"/>
              <w14:ligatures w14:val="standardContextual"/>
            </w:rPr>
          </w:pPr>
          <w:hyperlink w:anchor="_Toc214868673" w:history="1">
            <w:r w:rsidRPr="00B32272">
              <w:rPr>
                <w:rStyle w:val="Hyperlink"/>
                <w:noProof/>
              </w:rPr>
              <w:t>Requests for clarification</w:t>
            </w:r>
            <w:r>
              <w:rPr>
                <w:noProof/>
                <w:webHidden/>
              </w:rPr>
              <w:tab/>
            </w:r>
            <w:r>
              <w:rPr>
                <w:noProof/>
                <w:webHidden/>
              </w:rPr>
              <w:fldChar w:fldCharType="begin"/>
            </w:r>
            <w:r>
              <w:rPr>
                <w:noProof/>
                <w:webHidden/>
              </w:rPr>
              <w:instrText xml:space="preserve"> PAGEREF _Toc214868673 \h </w:instrText>
            </w:r>
            <w:r>
              <w:rPr>
                <w:noProof/>
                <w:webHidden/>
              </w:rPr>
            </w:r>
            <w:r>
              <w:rPr>
                <w:noProof/>
                <w:webHidden/>
              </w:rPr>
              <w:fldChar w:fldCharType="separate"/>
            </w:r>
            <w:r>
              <w:rPr>
                <w:noProof/>
                <w:webHidden/>
              </w:rPr>
              <w:t>29</w:t>
            </w:r>
            <w:r>
              <w:rPr>
                <w:noProof/>
                <w:webHidden/>
              </w:rPr>
              <w:fldChar w:fldCharType="end"/>
            </w:r>
          </w:hyperlink>
        </w:p>
        <w:p w14:paraId="382A4BB7" w14:textId="3ECF1BEC" w:rsidR="00600529" w:rsidRDefault="00600529">
          <w:pPr>
            <w:pStyle w:val="TOC1"/>
            <w:rPr>
              <w:rFonts w:eastAsiaTheme="minorEastAsia" w:cstheme="minorBidi"/>
              <w:b w:val="0"/>
              <w:noProof/>
              <w:kern w:val="2"/>
              <w14:ligatures w14:val="standardContextual"/>
            </w:rPr>
          </w:pPr>
          <w:hyperlink w:anchor="_Toc214868674" w:history="1">
            <w:r w:rsidRPr="00B32272">
              <w:rPr>
                <w:rStyle w:val="Hyperlink"/>
                <w:noProof/>
              </w:rPr>
              <w:t>The assessment process and award criteria</w:t>
            </w:r>
            <w:r>
              <w:rPr>
                <w:noProof/>
                <w:webHidden/>
              </w:rPr>
              <w:tab/>
            </w:r>
            <w:r>
              <w:rPr>
                <w:noProof/>
                <w:webHidden/>
              </w:rPr>
              <w:fldChar w:fldCharType="begin"/>
            </w:r>
            <w:r>
              <w:rPr>
                <w:noProof/>
                <w:webHidden/>
              </w:rPr>
              <w:instrText xml:space="preserve"> PAGEREF _Toc214868674 \h </w:instrText>
            </w:r>
            <w:r>
              <w:rPr>
                <w:noProof/>
                <w:webHidden/>
              </w:rPr>
            </w:r>
            <w:r>
              <w:rPr>
                <w:noProof/>
                <w:webHidden/>
              </w:rPr>
              <w:fldChar w:fldCharType="separate"/>
            </w:r>
            <w:r>
              <w:rPr>
                <w:noProof/>
                <w:webHidden/>
              </w:rPr>
              <w:t>30</w:t>
            </w:r>
            <w:r>
              <w:rPr>
                <w:noProof/>
                <w:webHidden/>
              </w:rPr>
              <w:fldChar w:fldCharType="end"/>
            </w:r>
          </w:hyperlink>
        </w:p>
        <w:p w14:paraId="49A7847F" w14:textId="7EA71ABA" w:rsidR="00600529" w:rsidRDefault="00600529">
          <w:pPr>
            <w:pStyle w:val="TOC1"/>
            <w:rPr>
              <w:rFonts w:eastAsiaTheme="minorEastAsia" w:cstheme="minorBidi"/>
              <w:b w:val="0"/>
              <w:noProof/>
              <w:kern w:val="2"/>
              <w14:ligatures w14:val="standardContextual"/>
            </w:rPr>
          </w:pPr>
          <w:hyperlink w:anchor="_Toc214868675" w:history="1">
            <w:r w:rsidRPr="00B32272">
              <w:rPr>
                <w:rStyle w:val="Hyperlink"/>
                <w:noProof/>
              </w:rPr>
              <w:t>Appendix A: Procurement terms and conditions</w:t>
            </w:r>
            <w:r>
              <w:rPr>
                <w:noProof/>
                <w:webHidden/>
              </w:rPr>
              <w:tab/>
            </w:r>
            <w:r>
              <w:rPr>
                <w:noProof/>
                <w:webHidden/>
              </w:rPr>
              <w:fldChar w:fldCharType="begin"/>
            </w:r>
            <w:r>
              <w:rPr>
                <w:noProof/>
                <w:webHidden/>
              </w:rPr>
              <w:instrText xml:space="preserve"> PAGEREF _Toc214868675 \h </w:instrText>
            </w:r>
            <w:r>
              <w:rPr>
                <w:noProof/>
                <w:webHidden/>
              </w:rPr>
            </w:r>
            <w:r>
              <w:rPr>
                <w:noProof/>
                <w:webHidden/>
              </w:rPr>
              <w:fldChar w:fldCharType="separate"/>
            </w:r>
            <w:r>
              <w:rPr>
                <w:noProof/>
                <w:webHidden/>
              </w:rPr>
              <w:t>43</w:t>
            </w:r>
            <w:r>
              <w:rPr>
                <w:noProof/>
                <w:webHidden/>
              </w:rPr>
              <w:fldChar w:fldCharType="end"/>
            </w:r>
          </w:hyperlink>
        </w:p>
        <w:p w14:paraId="2D60FC67" w14:textId="415495BA" w:rsidR="00600529" w:rsidRDefault="00600529">
          <w:pPr>
            <w:pStyle w:val="TOC1"/>
            <w:rPr>
              <w:rFonts w:eastAsiaTheme="minorEastAsia" w:cstheme="minorBidi"/>
              <w:b w:val="0"/>
              <w:noProof/>
              <w:kern w:val="2"/>
              <w14:ligatures w14:val="standardContextual"/>
            </w:rPr>
          </w:pPr>
          <w:hyperlink w:anchor="_Toc214868685" w:history="1">
            <w:r w:rsidRPr="00B32272">
              <w:rPr>
                <w:rStyle w:val="Hyperlink"/>
                <w:noProof/>
              </w:rPr>
              <w:t>Appendix B: The Authority’s detailed requirement</w:t>
            </w:r>
            <w:r>
              <w:rPr>
                <w:noProof/>
                <w:webHidden/>
              </w:rPr>
              <w:tab/>
            </w:r>
            <w:r>
              <w:rPr>
                <w:noProof/>
                <w:webHidden/>
              </w:rPr>
              <w:fldChar w:fldCharType="begin"/>
            </w:r>
            <w:r>
              <w:rPr>
                <w:noProof/>
                <w:webHidden/>
              </w:rPr>
              <w:instrText xml:space="preserve"> PAGEREF _Toc214868685 \h </w:instrText>
            </w:r>
            <w:r>
              <w:rPr>
                <w:noProof/>
                <w:webHidden/>
              </w:rPr>
            </w:r>
            <w:r>
              <w:rPr>
                <w:noProof/>
                <w:webHidden/>
              </w:rPr>
              <w:fldChar w:fldCharType="separate"/>
            </w:r>
            <w:r>
              <w:rPr>
                <w:noProof/>
                <w:webHidden/>
              </w:rPr>
              <w:t>51</w:t>
            </w:r>
            <w:r>
              <w:rPr>
                <w:noProof/>
                <w:webHidden/>
              </w:rPr>
              <w:fldChar w:fldCharType="end"/>
            </w:r>
          </w:hyperlink>
        </w:p>
        <w:p w14:paraId="7CBFCFB5" w14:textId="6B748F13" w:rsidR="00600529" w:rsidRDefault="00600529">
          <w:pPr>
            <w:pStyle w:val="TOC1"/>
            <w:rPr>
              <w:rFonts w:eastAsiaTheme="minorEastAsia" w:cstheme="minorBidi"/>
              <w:b w:val="0"/>
              <w:noProof/>
              <w:kern w:val="2"/>
              <w14:ligatures w14:val="standardContextual"/>
            </w:rPr>
          </w:pPr>
          <w:hyperlink w:anchor="_Toc214868686" w:history="1">
            <w:r w:rsidRPr="00B32272">
              <w:rPr>
                <w:rStyle w:val="Hyperlink"/>
                <w:noProof/>
              </w:rPr>
              <w:t>Appendix C: Service Levels, Service Credits and KPIs</w:t>
            </w:r>
            <w:r>
              <w:rPr>
                <w:noProof/>
                <w:webHidden/>
              </w:rPr>
              <w:tab/>
            </w:r>
            <w:r>
              <w:rPr>
                <w:noProof/>
                <w:webHidden/>
              </w:rPr>
              <w:fldChar w:fldCharType="begin"/>
            </w:r>
            <w:r>
              <w:rPr>
                <w:noProof/>
                <w:webHidden/>
              </w:rPr>
              <w:instrText xml:space="preserve"> PAGEREF _Toc214868686 \h </w:instrText>
            </w:r>
            <w:r>
              <w:rPr>
                <w:noProof/>
                <w:webHidden/>
              </w:rPr>
            </w:r>
            <w:r>
              <w:rPr>
                <w:noProof/>
                <w:webHidden/>
              </w:rPr>
              <w:fldChar w:fldCharType="separate"/>
            </w:r>
            <w:r>
              <w:rPr>
                <w:noProof/>
                <w:webHidden/>
              </w:rPr>
              <w:t>55</w:t>
            </w:r>
            <w:r>
              <w:rPr>
                <w:noProof/>
                <w:webHidden/>
              </w:rPr>
              <w:fldChar w:fldCharType="end"/>
            </w:r>
          </w:hyperlink>
        </w:p>
        <w:p w14:paraId="65906037" w14:textId="65318FCC" w:rsidR="00600529" w:rsidRDefault="00600529">
          <w:pPr>
            <w:pStyle w:val="TOC1"/>
            <w:rPr>
              <w:rFonts w:eastAsiaTheme="minorEastAsia" w:cstheme="minorBidi"/>
              <w:b w:val="0"/>
              <w:noProof/>
              <w:kern w:val="2"/>
              <w14:ligatures w14:val="standardContextual"/>
            </w:rPr>
          </w:pPr>
          <w:hyperlink w:anchor="_Toc214868687" w:history="1">
            <w:r w:rsidRPr="00B32272">
              <w:rPr>
                <w:rStyle w:val="Hyperlink"/>
                <w:noProof/>
              </w:rPr>
              <w:t>Appendix D: The draft contract terms</w:t>
            </w:r>
            <w:r>
              <w:rPr>
                <w:noProof/>
                <w:webHidden/>
              </w:rPr>
              <w:tab/>
            </w:r>
            <w:r>
              <w:rPr>
                <w:noProof/>
                <w:webHidden/>
              </w:rPr>
              <w:fldChar w:fldCharType="begin"/>
            </w:r>
            <w:r>
              <w:rPr>
                <w:noProof/>
                <w:webHidden/>
              </w:rPr>
              <w:instrText xml:space="preserve"> PAGEREF _Toc214868687 \h </w:instrText>
            </w:r>
            <w:r>
              <w:rPr>
                <w:noProof/>
                <w:webHidden/>
              </w:rPr>
            </w:r>
            <w:r>
              <w:rPr>
                <w:noProof/>
                <w:webHidden/>
              </w:rPr>
              <w:fldChar w:fldCharType="separate"/>
            </w:r>
            <w:r>
              <w:rPr>
                <w:noProof/>
                <w:webHidden/>
              </w:rPr>
              <w:t>57</w:t>
            </w:r>
            <w:r>
              <w:rPr>
                <w:noProof/>
                <w:webHidden/>
              </w:rPr>
              <w:fldChar w:fldCharType="end"/>
            </w:r>
          </w:hyperlink>
        </w:p>
        <w:p w14:paraId="6EC81BC8" w14:textId="2B0FB704" w:rsidR="00600529" w:rsidRDefault="00600529">
          <w:pPr>
            <w:pStyle w:val="TOC1"/>
            <w:rPr>
              <w:rFonts w:eastAsiaTheme="minorEastAsia" w:cstheme="minorBidi"/>
              <w:b w:val="0"/>
              <w:noProof/>
              <w:kern w:val="2"/>
              <w14:ligatures w14:val="standardContextual"/>
            </w:rPr>
          </w:pPr>
          <w:hyperlink w:anchor="_Toc214868688" w:history="1">
            <w:r w:rsidRPr="00B32272">
              <w:rPr>
                <w:rStyle w:val="Hyperlink"/>
                <w:noProof/>
              </w:rPr>
              <w:t>Appendix E: Glossary</w:t>
            </w:r>
            <w:r>
              <w:rPr>
                <w:noProof/>
                <w:webHidden/>
              </w:rPr>
              <w:tab/>
            </w:r>
            <w:r>
              <w:rPr>
                <w:noProof/>
                <w:webHidden/>
              </w:rPr>
              <w:fldChar w:fldCharType="begin"/>
            </w:r>
            <w:r>
              <w:rPr>
                <w:noProof/>
                <w:webHidden/>
              </w:rPr>
              <w:instrText xml:space="preserve"> PAGEREF _Toc214868688 \h </w:instrText>
            </w:r>
            <w:r>
              <w:rPr>
                <w:noProof/>
                <w:webHidden/>
              </w:rPr>
            </w:r>
            <w:r>
              <w:rPr>
                <w:noProof/>
                <w:webHidden/>
              </w:rPr>
              <w:fldChar w:fldCharType="separate"/>
            </w:r>
            <w:r>
              <w:rPr>
                <w:noProof/>
                <w:webHidden/>
              </w:rPr>
              <w:t>58</w:t>
            </w:r>
            <w:r>
              <w:rPr>
                <w:noProof/>
                <w:webHidden/>
              </w:rPr>
              <w:fldChar w:fldCharType="end"/>
            </w:r>
          </w:hyperlink>
        </w:p>
        <w:p w14:paraId="0DDEC6E3" w14:textId="5C9BF1AA" w:rsidR="00600529" w:rsidRDefault="00600529">
          <w:pPr>
            <w:pStyle w:val="TOC1"/>
            <w:rPr>
              <w:rFonts w:eastAsiaTheme="minorEastAsia" w:cstheme="minorBidi"/>
              <w:b w:val="0"/>
              <w:noProof/>
              <w:kern w:val="2"/>
              <w14:ligatures w14:val="standardContextual"/>
            </w:rPr>
          </w:pPr>
          <w:hyperlink w:anchor="_Toc214868689" w:history="1">
            <w:r w:rsidRPr="00B32272">
              <w:rPr>
                <w:rStyle w:val="Hyperlink"/>
                <w:noProof/>
              </w:rPr>
              <w:t>Appendix F: Form of tender</w:t>
            </w:r>
            <w:r>
              <w:rPr>
                <w:noProof/>
                <w:webHidden/>
              </w:rPr>
              <w:tab/>
            </w:r>
            <w:r>
              <w:rPr>
                <w:noProof/>
                <w:webHidden/>
              </w:rPr>
              <w:fldChar w:fldCharType="begin"/>
            </w:r>
            <w:r>
              <w:rPr>
                <w:noProof/>
                <w:webHidden/>
              </w:rPr>
              <w:instrText xml:space="preserve"> PAGEREF _Toc214868689 \h </w:instrText>
            </w:r>
            <w:r>
              <w:rPr>
                <w:noProof/>
                <w:webHidden/>
              </w:rPr>
            </w:r>
            <w:r>
              <w:rPr>
                <w:noProof/>
                <w:webHidden/>
              </w:rPr>
              <w:fldChar w:fldCharType="separate"/>
            </w:r>
            <w:r>
              <w:rPr>
                <w:noProof/>
                <w:webHidden/>
              </w:rPr>
              <w:t>63</w:t>
            </w:r>
            <w:r>
              <w:rPr>
                <w:noProof/>
                <w:webHidden/>
              </w:rPr>
              <w:fldChar w:fldCharType="end"/>
            </w:r>
          </w:hyperlink>
        </w:p>
        <w:p w14:paraId="3680B66D" w14:textId="4FA514E8" w:rsidR="00600529" w:rsidRDefault="00600529">
          <w:pPr>
            <w:pStyle w:val="TOC1"/>
            <w:rPr>
              <w:rFonts w:eastAsiaTheme="minorEastAsia" w:cstheme="minorBidi"/>
              <w:b w:val="0"/>
              <w:noProof/>
              <w:kern w:val="2"/>
              <w14:ligatures w14:val="standardContextual"/>
            </w:rPr>
          </w:pPr>
          <w:hyperlink w:anchor="_Toc214868690" w:history="1">
            <w:r w:rsidRPr="00B32272">
              <w:rPr>
                <w:rStyle w:val="Hyperlink"/>
                <w:noProof/>
              </w:rPr>
              <w:t>Appendix G: Certificate of non-collusion and non-canvassing</w:t>
            </w:r>
            <w:r>
              <w:rPr>
                <w:noProof/>
                <w:webHidden/>
              </w:rPr>
              <w:tab/>
            </w:r>
            <w:r>
              <w:rPr>
                <w:noProof/>
                <w:webHidden/>
              </w:rPr>
              <w:fldChar w:fldCharType="begin"/>
            </w:r>
            <w:r>
              <w:rPr>
                <w:noProof/>
                <w:webHidden/>
              </w:rPr>
              <w:instrText xml:space="preserve"> PAGEREF _Toc214868690 \h </w:instrText>
            </w:r>
            <w:r>
              <w:rPr>
                <w:noProof/>
                <w:webHidden/>
              </w:rPr>
            </w:r>
            <w:r>
              <w:rPr>
                <w:noProof/>
                <w:webHidden/>
              </w:rPr>
              <w:fldChar w:fldCharType="separate"/>
            </w:r>
            <w:r>
              <w:rPr>
                <w:noProof/>
                <w:webHidden/>
              </w:rPr>
              <w:t>66</w:t>
            </w:r>
            <w:r>
              <w:rPr>
                <w:noProof/>
                <w:webHidden/>
              </w:rPr>
              <w:fldChar w:fldCharType="end"/>
            </w:r>
          </w:hyperlink>
        </w:p>
        <w:p w14:paraId="02E343C6" w14:textId="637736CF" w:rsidR="00600529" w:rsidRDefault="00600529">
          <w:pPr>
            <w:pStyle w:val="TOC1"/>
            <w:rPr>
              <w:rFonts w:eastAsiaTheme="minorEastAsia" w:cstheme="minorBidi"/>
              <w:b w:val="0"/>
              <w:noProof/>
              <w:kern w:val="2"/>
              <w14:ligatures w14:val="standardContextual"/>
            </w:rPr>
          </w:pPr>
          <w:hyperlink w:anchor="_Toc214868691" w:history="1">
            <w:r w:rsidRPr="00B32272">
              <w:rPr>
                <w:rStyle w:val="Hyperlink"/>
                <w:noProof/>
              </w:rPr>
              <w:t>Appendix H: Commercially sensitive information</w:t>
            </w:r>
            <w:r>
              <w:rPr>
                <w:noProof/>
                <w:webHidden/>
              </w:rPr>
              <w:tab/>
            </w:r>
            <w:r>
              <w:rPr>
                <w:noProof/>
                <w:webHidden/>
              </w:rPr>
              <w:fldChar w:fldCharType="begin"/>
            </w:r>
            <w:r>
              <w:rPr>
                <w:noProof/>
                <w:webHidden/>
              </w:rPr>
              <w:instrText xml:space="preserve"> PAGEREF _Toc214868691 \h </w:instrText>
            </w:r>
            <w:r>
              <w:rPr>
                <w:noProof/>
                <w:webHidden/>
              </w:rPr>
            </w:r>
            <w:r>
              <w:rPr>
                <w:noProof/>
                <w:webHidden/>
              </w:rPr>
              <w:fldChar w:fldCharType="separate"/>
            </w:r>
            <w:r>
              <w:rPr>
                <w:noProof/>
                <w:webHidden/>
              </w:rPr>
              <w:t>68</w:t>
            </w:r>
            <w:r>
              <w:rPr>
                <w:noProof/>
                <w:webHidden/>
              </w:rPr>
              <w:fldChar w:fldCharType="end"/>
            </w:r>
          </w:hyperlink>
        </w:p>
        <w:p w14:paraId="63ABC40A" w14:textId="6439272A" w:rsidR="00600529" w:rsidRDefault="00600529">
          <w:pPr>
            <w:pStyle w:val="TOC1"/>
            <w:rPr>
              <w:rFonts w:eastAsiaTheme="minorEastAsia" w:cstheme="minorBidi"/>
              <w:b w:val="0"/>
              <w:noProof/>
              <w:kern w:val="2"/>
              <w14:ligatures w14:val="standardContextual"/>
            </w:rPr>
          </w:pPr>
          <w:hyperlink w:anchor="_Toc214868692" w:history="1">
            <w:r w:rsidRPr="00B32272">
              <w:rPr>
                <w:rStyle w:val="Hyperlink"/>
                <w:noProof/>
              </w:rPr>
              <w:t>Appendix I: Procurement Specific Questionnaire</w:t>
            </w:r>
            <w:r>
              <w:rPr>
                <w:noProof/>
                <w:webHidden/>
              </w:rPr>
              <w:tab/>
            </w:r>
            <w:r>
              <w:rPr>
                <w:noProof/>
                <w:webHidden/>
              </w:rPr>
              <w:fldChar w:fldCharType="begin"/>
            </w:r>
            <w:r>
              <w:rPr>
                <w:noProof/>
                <w:webHidden/>
              </w:rPr>
              <w:instrText xml:space="preserve"> PAGEREF _Toc214868692 \h </w:instrText>
            </w:r>
            <w:r>
              <w:rPr>
                <w:noProof/>
                <w:webHidden/>
              </w:rPr>
            </w:r>
            <w:r>
              <w:rPr>
                <w:noProof/>
                <w:webHidden/>
              </w:rPr>
              <w:fldChar w:fldCharType="separate"/>
            </w:r>
            <w:r>
              <w:rPr>
                <w:noProof/>
                <w:webHidden/>
              </w:rPr>
              <w:t>69</w:t>
            </w:r>
            <w:r>
              <w:rPr>
                <w:noProof/>
                <w:webHidden/>
              </w:rPr>
              <w:fldChar w:fldCharType="end"/>
            </w:r>
          </w:hyperlink>
        </w:p>
        <w:p w14:paraId="4F8CADEB" w14:textId="44B79A8C" w:rsidR="00600529" w:rsidRDefault="00600529">
          <w:pPr>
            <w:pStyle w:val="TOC1"/>
            <w:rPr>
              <w:rFonts w:eastAsiaTheme="minorEastAsia" w:cstheme="minorBidi"/>
              <w:b w:val="0"/>
              <w:noProof/>
              <w:kern w:val="2"/>
              <w14:ligatures w14:val="standardContextual"/>
            </w:rPr>
          </w:pPr>
          <w:hyperlink w:anchor="_Toc214868693" w:history="1">
            <w:r w:rsidRPr="00B32272">
              <w:rPr>
                <w:rStyle w:val="Hyperlink"/>
                <w:noProof/>
              </w:rPr>
              <w:t>Appendix J: Pricing</w:t>
            </w:r>
            <w:r>
              <w:rPr>
                <w:noProof/>
                <w:webHidden/>
              </w:rPr>
              <w:tab/>
            </w:r>
            <w:r>
              <w:rPr>
                <w:noProof/>
                <w:webHidden/>
              </w:rPr>
              <w:fldChar w:fldCharType="begin"/>
            </w:r>
            <w:r>
              <w:rPr>
                <w:noProof/>
                <w:webHidden/>
              </w:rPr>
              <w:instrText xml:space="preserve"> PAGEREF _Toc214868693 \h </w:instrText>
            </w:r>
            <w:r>
              <w:rPr>
                <w:noProof/>
                <w:webHidden/>
              </w:rPr>
            </w:r>
            <w:r>
              <w:rPr>
                <w:noProof/>
                <w:webHidden/>
              </w:rPr>
              <w:fldChar w:fldCharType="separate"/>
            </w:r>
            <w:r>
              <w:rPr>
                <w:noProof/>
                <w:webHidden/>
              </w:rPr>
              <w:t>70</w:t>
            </w:r>
            <w:r>
              <w:rPr>
                <w:noProof/>
                <w:webHidden/>
              </w:rPr>
              <w:fldChar w:fldCharType="end"/>
            </w:r>
          </w:hyperlink>
        </w:p>
        <w:p w14:paraId="62F8EBA2" w14:textId="61D21D90" w:rsidR="00600529" w:rsidRDefault="00600529">
          <w:pPr>
            <w:pStyle w:val="TOC1"/>
            <w:rPr>
              <w:rFonts w:eastAsiaTheme="minorEastAsia" w:cstheme="minorBidi"/>
              <w:b w:val="0"/>
              <w:noProof/>
              <w:kern w:val="2"/>
              <w14:ligatures w14:val="standardContextual"/>
            </w:rPr>
          </w:pPr>
          <w:hyperlink w:anchor="_Toc214868694" w:history="1">
            <w:r w:rsidRPr="00B32272">
              <w:rPr>
                <w:rStyle w:val="Hyperlink"/>
                <w:noProof/>
              </w:rPr>
              <w:t>Appendix K: Security Policy</w:t>
            </w:r>
            <w:r>
              <w:rPr>
                <w:noProof/>
                <w:webHidden/>
              </w:rPr>
              <w:tab/>
            </w:r>
            <w:r>
              <w:rPr>
                <w:noProof/>
                <w:webHidden/>
              </w:rPr>
              <w:fldChar w:fldCharType="begin"/>
            </w:r>
            <w:r>
              <w:rPr>
                <w:noProof/>
                <w:webHidden/>
              </w:rPr>
              <w:instrText xml:space="preserve"> PAGEREF _Toc214868694 \h </w:instrText>
            </w:r>
            <w:r>
              <w:rPr>
                <w:noProof/>
                <w:webHidden/>
              </w:rPr>
            </w:r>
            <w:r>
              <w:rPr>
                <w:noProof/>
                <w:webHidden/>
              </w:rPr>
              <w:fldChar w:fldCharType="separate"/>
            </w:r>
            <w:r>
              <w:rPr>
                <w:noProof/>
                <w:webHidden/>
              </w:rPr>
              <w:t>71</w:t>
            </w:r>
            <w:r>
              <w:rPr>
                <w:noProof/>
                <w:webHidden/>
              </w:rPr>
              <w:fldChar w:fldCharType="end"/>
            </w:r>
          </w:hyperlink>
        </w:p>
        <w:p w14:paraId="110EF0EA" w14:textId="027488D6" w:rsidR="001434A2" w:rsidRDefault="005963DA" w:rsidP="00E67F97">
          <w:pPr>
            <w:pStyle w:val="TOC1"/>
          </w:pPr>
          <w:r>
            <w:fldChar w:fldCharType="end"/>
          </w:r>
        </w:p>
      </w:sdtContent>
    </w:sdt>
    <w:p w14:paraId="76E26DED" w14:textId="77777777" w:rsidR="00CB4048" w:rsidRDefault="00CB4048" w:rsidP="00DB13CD">
      <w:pPr>
        <w:rPr>
          <w:b/>
          <w:highlight w:val="green"/>
        </w:rPr>
      </w:pPr>
    </w:p>
    <w:p w14:paraId="181AEABE" w14:textId="77777777" w:rsidR="00BD4A1D" w:rsidRDefault="00BD4A1D" w:rsidP="00DB13CD"/>
    <w:p w14:paraId="2C8FD9E2" w14:textId="345DC6C4" w:rsidR="00AE2304" w:rsidRDefault="00AE2304" w:rsidP="00E67F97">
      <w:pPr>
        <w:pStyle w:val="Heading1"/>
        <w:numPr>
          <w:ilvl w:val="0"/>
          <w:numId w:val="0"/>
        </w:numPr>
      </w:pPr>
      <w:bookmarkStart w:id="1" w:name="_Toc214868660"/>
      <w:r w:rsidRPr="00AE2304">
        <w:lastRenderedPageBreak/>
        <w:t>Deadline for responding to this document</w:t>
      </w:r>
      <w:r w:rsidR="00DB6675">
        <w:t xml:space="preserve"> via the Portal</w:t>
      </w:r>
      <w:bookmarkEnd w:id="1"/>
    </w:p>
    <w:p w14:paraId="074236C2" w14:textId="7C75E660" w:rsidR="0081419E" w:rsidRPr="0081419E" w:rsidRDefault="0081419E" w:rsidP="0081419E">
      <w:r w:rsidRPr="0081419E">
        <w:t>The deadline for responding to this Invitation to Tender is</w:t>
      </w:r>
      <w:r w:rsidR="00375142" w:rsidRPr="00375142">
        <w:rPr>
          <w:b/>
          <w:bCs/>
        </w:rPr>
        <w:t xml:space="preserve"> </w:t>
      </w:r>
      <w:r w:rsidR="00185A38">
        <w:t>Wednes</w:t>
      </w:r>
      <w:r w:rsidR="00572F8E">
        <w:t>day</w:t>
      </w:r>
      <w:r w:rsidR="00C17698">
        <w:t xml:space="preserve"> </w:t>
      </w:r>
      <w:r w:rsidR="00A722A6" w:rsidRPr="006650D2">
        <w:t>2</w:t>
      </w:r>
      <w:r w:rsidR="00E06D05" w:rsidRPr="006650D2">
        <w:t>4th</w:t>
      </w:r>
      <w:r w:rsidR="00A722A6">
        <w:t xml:space="preserve"> </w:t>
      </w:r>
      <w:r w:rsidR="00E06D05" w:rsidRPr="006650D2">
        <w:t>December</w:t>
      </w:r>
      <w:r w:rsidR="00394316" w:rsidRPr="006650D2">
        <w:t xml:space="preserve"> </w:t>
      </w:r>
      <w:r w:rsidR="00375142" w:rsidRPr="006650D2">
        <w:t xml:space="preserve"> 2025,</w:t>
      </w:r>
      <w:r w:rsidR="00375142" w:rsidRPr="003F30D2">
        <w:rPr>
          <w:color w:val="FF0000"/>
        </w:rPr>
        <w:t xml:space="preserve"> </w:t>
      </w:r>
      <w:r w:rsidR="00375142">
        <w:t>no later than</w:t>
      </w:r>
      <w:r w:rsidR="00375142" w:rsidRPr="00375142">
        <w:t xml:space="preserve"> 14:00</w:t>
      </w:r>
      <w:r w:rsidRPr="0081419E">
        <w:t>. See ‘Procurement timetable’ and ‘How to respond to this opportunity’.</w:t>
      </w:r>
    </w:p>
    <w:p w14:paraId="7E0D12AA" w14:textId="77777777" w:rsidR="0070596D" w:rsidRDefault="00AE2304" w:rsidP="00DF644D">
      <w:pPr>
        <w:pStyle w:val="Heading1"/>
        <w:numPr>
          <w:ilvl w:val="0"/>
          <w:numId w:val="0"/>
        </w:numPr>
      </w:pPr>
      <w:bookmarkStart w:id="2" w:name="_Toc167865296"/>
      <w:bookmarkStart w:id="3" w:name="_Toc214868661"/>
      <w:r>
        <w:lastRenderedPageBreak/>
        <w:t>Introduction</w:t>
      </w:r>
      <w:bookmarkEnd w:id="3"/>
    </w:p>
    <w:p w14:paraId="376BA394" w14:textId="2B75D156" w:rsidR="00057ECA" w:rsidRDefault="00AE2304" w:rsidP="002840CF">
      <w:pPr>
        <w:pStyle w:val="BodyText1"/>
        <w:numPr>
          <w:ilvl w:val="0"/>
          <w:numId w:val="4"/>
        </w:numPr>
        <w:ind w:left="357" w:hanging="357"/>
      </w:pPr>
      <w:r w:rsidRPr="00AE2304">
        <w:t xml:space="preserve">This Procurement is being conducted in accordance with the Act using the </w:t>
      </w:r>
      <w:r w:rsidR="00453DC9">
        <w:t>Open</w:t>
      </w:r>
      <w:r w:rsidRPr="00AE2304">
        <w:t xml:space="preserve"> Procedure. </w:t>
      </w:r>
      <w:r w:rsidR="00057ECA">
        <w:t xml:space="preserve">This </w:t>
      </w:r>
      <w:r w:rsidR="00A512CC">
        <w:t xml:space="preserve">Procurement </w:t>
      </w:r>
      <w:r w:rsidR="00057ECA">
        <w:t>is</w:t>
      </w:r>
      <w:r w:rsidR="00A512CC">
        <w:t xml:space="preserve"> for</w:t>
      </w:r>
      <w:r w:rsidR="00057ECA">
        <w:t xml:space="preserve"> a</w:t>
      </w:r>
      <w:r w:rsidR="00326A57">
        <w:t xml:space="preserve"> public contract for goods and/or services.</w:t>
      </w:r>
    </w:p>
    <w:p w14:paraId="5691FA71" w14:textId="2F6B8F02" w:rsidR="00AE2304" w:rsidRPr="00AE2304" w:rsidRDefault="00AE2304" w:rsidP="002840CF">
      <w:pPr>
        <w:pStyle w:val="BodyText1"/>
        <w:numPr>
          <w:ilvl w:val="0"/>
          <w:numId w:val="4"/>
        </w:numPr>
        <w:ind w:left="357" w:hanging="357"/>
      </w:pPr>
      <w:r w:rsidRPr="00AE2304">
        <w:t xml:space="preserve">This document describes how the Procurement will be conducted, including details of the associated Procurement </w:t>
      </w:r>
      <w:r w:rsidR="008D4D22">
        <w:t>T</w:t>
      </w:r>
      <w:r w:rsidR="008D4D22" w:rsidRPr="00AE2304">
        <w:t>imetable</w:t>
      </w:r>
      <w:r w:rsidRPr="00BE5C78">
        <w:t xml:space="preserve">, </w:t>
      </w:r>
      <w:r w:rsidRPr="00AE2304">
        <w:t xml:space="preserve">award criteria and how to respond to this opportunity. Suppliers are strongly encouraged to read this document before preparing their submission. </w:t>
      </w:r>
    </w:p>
    <w:p w14:paraId="3941B677" w14:textId="705FA968" w:rsidR="00AE2304" w:rsidRPr="00AE2304" w:rsidRDefault="00BC6609" w:rsidP="002840CF">
      <w:pPr>
        <w:pStyle w:val="BodyText1"/>
        <w:numPr>
          <w:ilvl w:val="0"/>
          <w:numId w:val="4"/>
        </w:numPr>
        <w:ind w:left="357" w:hanging="357"/>
      </w:pPr>
      <w:r>
        <w:t>T</w:t>
      </w:r>
      <w:r w:rsidR="00AE2304" w:rsidRPr="00AE2304">
        <w:t xml:space="preserve">his document has been prepared to assist Suppliers in deciding whether to submit a </w:t>
      </w:r>
      <w:r w:rsidR="00582F2E">
        <w:t>T</w:t>
      </w:r>
      <w:r w:rsidR="00582F2E" w:rsidRPr="00AE2304">
        <w:t>ender</w:t>
      </w:r>
      <w:r w:rsidR="00582F2E">
        <w:t xml:space="preserve"> and</w:t>
      </w:r>
      <w:r w:rsidR="006646A2">
        <w:t xml:space="preserve"> Procurement Specific Questionnaire (</w:t>
      </w:r>
      <w:r w:rsidR="00582F2E">
        <w:t>PSQ</w:t>
      </w:r>
      <w:r w:rsidR="006646A2">
        <w:t>)</w:t>
      </w:r>
      <w:r w:rsidR="00582F2E">
        <w:t xml:space="preserve"> Response</w:t>
      </w:r>
      <w:r w:rsidR="00D1519E">
        <w:t>.</w:t>
      </w:r>
      <w:r w:rsidR="00AE2304" w:rsidRPr="00AE2304">
        <w:t xml:space="preserve">  </w:t>
      </w:r>
      <w:r w:rsidR="00AE2304" w:rsidRPr="002107B6">
        <w:rPr>
          <w:b/>
          <w:bCs/>
        </w:rPr>
        <w:t>Please read this document carefully, as failure to comply with this document may result in exclusion from the Procurement and/or the rejection of any submission.</w:t>
      </w:r>
      <w:r w:rsidR="003F6CC0">
        <w:t xml:space="preserve"> </w:t>
      </w:r>
    </w:p>
    <w:p w14:paraId="2901BEE9" w14:textId="38FFA771" w:rsidR="00AE2304" w:rsidRPr="00AE2304" w:rsidRDefault="00AE2304" w:rsidP="002840CF">
      <w:pPr>
        <w:pStyle w:val="BodyText1"/>
        <w:numPr>
          <w:ilvl w:val="0"/>
          <w:numId w:val="4"/>
        </w:numPr>
        <w:ind w:left="357" w:hanging="357"/>
      </w:pPr>
      <w:r w:rsidRPr="00AE2304">
        <w:t xml:space="preserve">This document should be read in conjunction with the Tender Notice and any other </w:t>
      </w:r>
      <w:r w:rsidR="00A512CC">
        <w:t>p</w:t>
      </w:r>
      <w:r w:rsidR="00A512CC" w:rsidRPr="00AE2304">
        <w:t xml:space="preserve">rocurement </w:t>
      </w:r>
      <w:r w:rsidRPr="00AE2304">
        <w:t xml:space="preserve">documents which have been made available </w:t>
      </w:r>
      <w:r w:rsidR="008D4D22">
        <w:t>in connection with</w:t>
      </w:r>
      <w:r w:rsidRPr="00AE2304">
        <w:t xml:space="preserve"> the Procurement.</w:t>
      </w:r>
    </w:p>
    <w:p w14:paraId="4305B5A7" w14:textId="44B8E59D" w:rsidR="00AE2304" w:rsidRPr="00AE2304" w:rsidRDefault="00AE2304" w:rsidP="002840CF">
      <w:pPr>
        <w:pStyle w:val="BodyText1"/>
        <w:numPr>
          <w:ilvl w:val="0"/>
          <w:numId w:val="4"/>
        </w:numPr>
        <w:ind w:left="357" w:hanging="357"/>
      </w:pPr>
      <w:r w:rsidRPr="00AE2304">
        <w:t>The Authority reserves the right to issue updated versions of this document</w:t>
      </w:r>
      <w:r w:rsidR="00A512CC">
        <w:t xml:space="preserve"> or any other document relating to the Procurement</w:t>
      </w:r>
      <w:r w:rsidRPr="00AE2304">
        <w:t xml:space="preserve"> as and when the need arises, </w:t>
      </w:r>
      <w:proofErr w:type="gramStart"/>
      <w:r w:rsidR="00A512CC">
        <w:t>in order to</w:t>
      </w:r>
      <w:proofErr w:type="gramEnd"/>
      <w:r w:rsidR="00A512CC">
        <w:t xml:space="preserve"> reflect</w:t>
      </w:r>
      <w:r w:rsidRPr="00AE2304">
        <w:t xml:space="preserve"> any changes to the Procurement or any other new information.</w:t>
      </w:r>
      <w:r w:rsidR="003F6CC0">
        <w:t xml:space="preserve"> </w:t>
      </w:r>
    </w:p>
    <w:p w14:paraId="4D16ACAC" w14:textId="77777777" w:rsidR="00AE2304" w:rsidRPr="003F6CC0" w:rsidRDefault="00AE2304" w:rsidP="002840CF">
      <w:pPr>
        <w:pStyle w:val="BodyText1"/>
        <w:numPr>
          <w:ilvl w:val="0"/>
          <w:numId w:val="4"/>
        </w:numPr>
        <w:ind w:left="357" w:hanging="357"/>
        <w:rPr>
          <w:b/>
          <w:bCs/>
        </w:rPr>
      </w:pPr>
      <w:r w:rsidRPr="003F6CC0">
        <w:rPr>
          <w:b/>
          <w:bCs/>
        </w:rPr>
        <w:t xml:space="preserve">Please read and ensure compliance with the Procurement terms and conditions contained in Appendix A. </w:t>
      </w:r>
    </w:p>
    <w:p w14:paraId="79EB16A0" w14:textId="595ADD0D" w:rsidR="00AE2304" w:rsidRPr="00AE2304" w:rsidRDefault="00AE2304" w:rsidP="002840CF">
      <w:pPr>
        <w:pStyle w:val="BodyText1"/>
        <w:numPr>
          <w:ilvl w:val="0"/>
          <w:numId w:val="4"/>
        </w:numPr>
        <w:ind w:left="357" w:hanging="357"/>
      </w:pPr>
      <w:r w:rsidRPr="00AE2304">
        <w:t xml:space="preserve">Common terms and expressions shall have the meanings ascribed to them in the glossary in Appendix </w:t>
      </w:r>
      <w:r w:rsidR="003F74E8">
        <w:t>E</w:t>
      </w:r>
      <w:r w:rsidRPr="00AE2304">
        <w:t>.</w:t>
      </w:r>
    </w:p>
    <w:p w14:paraId="4ACFF7A7" w14:textId="77777777" w:rsidR="00AE2304" w:rsidRPr="00AE2304" w:rsidRDefault="00AE2304" w:rsidP="002840CF">
      <w:pPr>
        <w:pStyle w:val="BodyText1"/>
        <w:numPr>
          <w:ilvl w:val="0"/>
          <w:numId w:val="4"/>
        </w:numPr>
        <w:ind w:left="357" w:hanging="357"/>
      </w:pPr>
      <w:r w:rsidRPr="00AE2304">
        <w:t>All references to a ‘section’ are to a section in the Act unless otherwise stated.</w:t>
      </w:r>
    </w:p>
    <w:p w14:paraId="275CA15A" w14:textId="77777777" w:rsidR="00AE2304" w:rsidRPr="00AE2304" w:rsidRDefault="00AE2304" w:rsidP="002840CF">
      <w:pPr>
        <w:pStyle w:val="BodyText1"/>
        <w:numPr>
          <w:ilvl w:val="0"/>
          <w:numId w:val="4"/>
        </w:numPr>
        <w:ind w:left="357" w:hanging="357"/>
      </w:pPr>
      <w:r w:rsidRPr="00AE2304">
        <w:t>All references to a ‘paragraph’, ‘appendix’ or ‘annex’ are to a paragraph, appendix or annex of this document unless otherwise stated.</w:t>
      </w:r>
    </w:p>
    <w:p w14:paraId="27A6D1D0" w14:textId="77777777" w:rsidR="00AE2304" w:rsidRDefault="00AE2304" w:rsidP="002840CF">
      <w:pPr>
        <w:pStyle w:val="BodyText1"/>
        <w:numPr>
          <w:ilvl w:val="0"/>
          <w:numId w:val="4"/>
        </w:numPr>
        <w:ind w:left="357" w:hanging="357"/>
        <w:rPr>
          <w:b/>
        </w:rPr>
      </w:pPr>
      <w:r w:rsidRPr="00AE2304">
        <w:t xml:space="preserve">All references to dates and times within this document shall be interpreted in accordance with the United Kingdom time zones applicable at the date of the Procurement (i.e. GMT/BST). </w:t>
      </w:r>
    </w:p>
    <w:p w14:paraId="45CBE36A" w14:textId="77777777" w:rsidR="00D13322" w:rsidRDefault="002107B6" w:rsidP="00DF644D">
      <w:pPr>
        <w:pStyle w:val="Heading1"/>
        <w:numPr>
          <w:ilvl w:val="0"/>
          <w:numId w:val="0"/>
        </w:numPr>
      </w:pPr>
      <w:bookmarkStart w:id="4" w:name="_Toc214868662"/>
      <w:bookmarkEnd w:id="2"/>
      <w:r>
        <w:lastRenderedPageBreak/>
        <w:t>Introduction to the Authority</w:t>
      </w:r>
      <w:bookmarkEnd w:id="4"/>
    </w:p>
    <w:p w14:paraId="36CBC626" w14:textId="77777777" w:rsidR="00B14676" w:rsidRPr="00C12AFF" w:rsidRDefault="00B14676" w:rsidP="00B14676">
      <w:pPr>
        <w:pStyle w:val="BodyText1"/>
        <w:rPr>
          <w:color w:val="auto"/>
        </w:rPr>
      </w:pPr>
    </w:p>
    <w:p w14:paraId="3620A36C" w14:textId="6F3D6C96" w:rsidR="00B14676" w:rsidRDefault="00D254A7" w:rsidP="002840CF">
      <w:pPr>
        <w:pStyle w:val="BodyText1"/>
        <w:numPr>
          <w:ilvl w:val="0"/>
          <w:numId w:val="4"/>
        </w:numPr>
        <w:ind w:left="357" w:hanging="357"/>
        <w:rPr>
          <w:color w:val="auto"/>
        </w:rPr>
      </w:pPr>
      <w:r w:rsidRPr="00D254A7">
        <w:rPr>
          <w:color w:val="auto"/>
        </w:rPr>
        <w:t>The Medicines and Healthcare products Regulatory Agency regulates medicines, medical devices and blood components for transfusion in the UK. MHRA is an executive agency, sponsored by the Department of Health and Social Care. The National Institute for Biological Standards and Control (NIBSC) plays a leading national and international role in assuring the quality of biological medicines and diagnostics.</w:t>
      </w:r>
      <w:r w:rsidR="00815DA0">
        <w:rPr>
          <w:color w:val="auto"/>
        </w:rPr>
        <w:br/>
      </w:r>
      <w:r w:rsidR="00815DA0">
        <w:rPr>
          <w:color w:val="auto"/>
        </w:rPr>
        <w:br/>
        <w:t xml:space="preserve">You can read about the Agency here: </w:t>
      </w:r>
      <w:hyperlink r:id="rId18" w:history="1">
        <w:r w:rsidR="00E2461F" w:rsidRPr="00E2461F">
          <w:rPr>
            <w:rStyle w:val="Hyperlink"/>
          </w:rPr>
          <w:t>Medicines and Healthcare products Regulatory Agency - GOV.UK</w:t>
        </w:r>
      </w:hyperlink>
    </w:p>
    <w:p w14:paraId="5EC99901" w14:textId="77777777" w:rsidR="00815DA0" w:rsidRPr="00D254A7" w:rsidRDefault="00815DA0" w:rsidP="00815DA0">
      <w:pPr>
        <w:pStyle w:val="BodyText1"/>
        <w:ind w:left="357"/>
        <w:rPr>
          <w:color w:val="auto"/>
        </w:rPr>
      </w:pPr>
    </w:p>
    <w:p w14:paraId="39E044F5" w14:textId="77777777" w:rsidR="001151C6" w:rsidRPr="001151C6" w:rsidRDefault="001151C6" w:rsidP="00411293">
      <w:pPr>
        <w:pStyle w:val="BodyText1"/>
      </w:pPr>
    </w:p>
    <w:p w14:paraId="6BC2309C" w14:textId="77777777" w:rsidR="00D13322" w:rsidRDefault="002107B6" w:rsidP="00DF644D">
      <w:pPr>
        <w:pStyle w:val="Heading1"/>
        <w:numPr>
          <w:ilvl w:val="0"/>
          <w:numId w:val="0"/>
        </w:numPr>
      </w:pPr>
      <w:bookmarkStart w:id="5" w:name="_Toc214868663"/>
      <w:r>
        <w:lastRenderedPageBreak/>
        <w:t>Overview of the Authority’s requirement</w:t>
      </w:r>
      <w:bookmarkEnd w:id="5"/>
    </w:p>
    <w:p w14:paraId="1A3AB91B" w14:textId="77777777" w:rsidR="00B74371" w:rsidRPr="00B74371" w:rsidRDefault="00B74371" w:rsidP="00B74371">
      <w:pPr>
        <w:pStyle w:val="BodyText1"/>
      </w:pPr>
    </w:p>
    <w:p w14:paraId="20CEB678" w14:textId="78AD5A3A" w:rsidR="00786293" w:rsidRPr="00241516" w:rsidRDefault="00786293" w:rsidP="009C5590">
      <w:pPr>
        <w:pStyle w:val="Standard"/>
        <w:numPr>
          <w:ilvl w:val="0"/>
          <w:numId w:val="4"/>
        </w:numPr>
        <w:rPr>
          <w:sz w:val="24"/>
          <w:szCs w:val="24"/>
        </w:rPr>
      </w:pPr>
      <w:r>
        <w:rPr>
          <w:sz w:val="24"/>
          <w:szCs w:val="24"/>
        </w:rPr>
        <w:t xml:space="preserve">The Agency is seeking to let a contract for </w:t>
      </w:r>
      <w:r w:rsidRPr="00241516">
        <w:rPr>
          <w:sz w:val="24"/>
          <w:szCs w:val="24"/>
        </w:rPr>
        <w:t xml:space="preserve">a </w:t>
      </w:r>
      <w:r w:rsidR="00034436" w:rsidRPr="00241516">
        <w:rPr>
          <w:sz w:val="24"/>
          <w:szCs w:val="24"/>
        </w:rPr>
        <w:t>three-year period, with two twelve-month optional extensions (for a total possible five</w:t>
      </w:r>
      <w:r w:rsidR="00F21EA3" w:rsidRPr="00241516">
        <w:rPr>
          <w:sz w:val="24"/>
          <w:szCs w:val="24"/>
        </w:rPr>
        <w:t>-</w:t>
      </w:r>
      <w:r w:rsidR="00034436" w:rsidRPr="00241516">
        <w:rPr>
          <w:sz w:val="24"/>
          <w:szCs w:val="24"/>
        </w:rPr>
        <w:t>year contract term) to one Supplier.</w:t>
      </w:r>
      <w:r w:rsidR="00034436" w:rsidRPr="00241516">
        <w:rPr>
          <w:sz w:val="24"/>
          <w:szCs w:val="24"/>
        </w:rPr>
        <w:br/>
      </w:r>
    </w:p>
    <w:p w14:paraId="00F00181" w14:textId="2F9F79E7" w:rsidR="00F61390" w:rsidRPr="00CF198D" w:rsidRDefault="00F61390">
      <w:pPr>
        <w:pStyle w:val="ListParagraph"/>
        <w:numPr>
          <w:ilvl w:val="0"/>
          <w:numId w:val="4"/>
        </w:numPr>
        <w:rPr>
          <w:rFonts w:ascii="Arial" w:hAnsi="Arial" w:cs="Arial"/>
        </w:rPr>
      </w:pPr>
      <w:r w:rsidRPr="00CF198D">
        <w:rPr>
          <w:rFonts w:ascii="Arial" w:hAnsi="Arial" w:cs="Arial"/>
        </w:rPr>
        <w:t xml:space="preserve">The MHRA is looking to implement an all-in-one digital solution that combines the capabilities of Learning Experience platform and the administrative function of a Learning Management System.  We are seeking a solution that would provide a </w:t>
      </w:r>
      <w:r w:rsidRPr="00CF198D">
        <w:rPr>
          <w:rFonts w:ascii="Arial" w:eastAsia="Arial" w:hAnsi="Arial" w:cs="Arial"/>
        </w:rPr>
        <w:t xml:space="preserve">“one stop shop” for the agency’s 1500 colleagues to be able to plan, identify, undertake and monitor both assigned learning as well as self-directed/paced learning and to support learner collaboration.  The system should have the functionality to design and host content and be capable of scheduling and hosting in person learning via virtual classrooms.  There is a corporate need to provide assurance through the capturing and maintenance of learner/learning records on learning undertaken and assessments successfully completed. </w:t>
      </w:r>
      <w:r w:rsidRPr="00CF198D">
        <w:rPr>
          <w:rFonts w:ascii="Arial" w:hAnsi="Arial" w:cs="Arial"/>
        </w:rPr>
        <w:t xml:space="preserve">The solution will be key to supporting our ambitions of becoming a learning organisation and our agency value of creating an environment where learning and innovation thrive.  </w:t>
      </w:r>
    </w:p>
    <w:p w14:paraId="1276590E" w14:textId="77777777" w:rsidR="00F61390" w:rsidRPr="00F61390" w:rsidRDefault="00F61390" w:rsidP="00CF198D">
      <w:pPr>
        <w:pStyle w:val="ListParagraph"/>
        <w:ind w:left="360"/>
        <w:rPr>
          <w:rFonts w:ascii="Arial" w:eastAsia="Arial" w:hAnsi="Arial" w:cs="Arial"/>
        </w:rPr>
      </w:pPr>
    </w:p>
    <w:p w14:paraId="088A14B3" w14:textId="19703139" w:rsidR="005A1A38" w:rsidRPr="005A1A38" w:rsidRDefault="005A1A38" w:rsidP="00CF198D">
      <w:pPr>
        <w:pStyle w:val="Standard"/>
      </w:pPr>
    </w:p>
    <w:p w14:paraId="289FCFFD" w14:textId="77777777" w:rsidR="00B3631B" w:rsidRPr="00B3631B" w:rsidRDefault="00B3631B" w:rsidP="002840CF">
      <w:pPr>
        <w:pStyle w:val="BodyText1"/>
        <w:numPr>
          <w:ilvl w:val="0"/>
          <w:numId w:val="4"/>
        </w:numPr>
        <w:ind w:left="357" w:hanging="357"/>
        <w:rPr>
          <w:b/>
          <w:bCs/>
          <w:color w:val="auto"/>
        </w:rPr>
      </w:pPr>
      <w:r w:rsidRPr="00B3631B">
        <w:rPr>
          <w:b/>
          <w:bCs/>
          <w:color w:val="auto"/>
        </w:rPr>
        <w:t>Summary of requirement</w:t>
      </w:r>
    </w:p>
    <w:p w14:paraId="32DE1265" w14:textId="6BFA0256" w:rsidR="001A300D" w:rsidRDefault="008C51E1" w:rsidP="001A300D">
      <w:pPr>
        <w:ind w:left="357"/>
      </w:pPr>
      <w:r>
        <w:rPr>
          <w:rFonts w:ascii="Arial" w:hAnsi="Arial" w:cs="Arial"/>
        </w:rPr>
        <w:t>The agency</w:t>
      </w:r>
      <w:r w:rsidRPr="004455C0">
        <w:rPr>
          <w:rFonts w:ascii="Arial" w:hAnsi="Arial" w:cs="Arial"/>
        </w:rPr>
        <w:t xml:space="preserve"> does not </w:t>
      </w:r>
      <w:r>
        <w:rPr>
          <w:rFonts w:ascii="Arial" w:hAnsi="Arial" w:cs="Arial"/>
        </w:rPr>
        <w:t xml:space="preserve">currently </w:t>
      </w:r>
      <w:r w:rsidRPr="004455C0">
        <w:rPr>
          <w:rFonts w:ascii="Arial" w:hAnsi="Arial" w:cs="Arial"/>
        </w:rPr>
        <w:t>have a learning management system in place and</w:t>
      </w:r>
      <w:r>
        <w:rPr>
          <w:rFonts w:ascii="Arial" w:hAnsi="Arial" w:cs="Arial"/>
        </w:rPr>
        <w:t xml:space="preserve"> colleagues access</w:t>
      </w:r>
      <w:r w:rsidRPr="004455C0">
        <w:rPr>
          <w:rFonts w:ascii="Arial" w:hAnsi="Arial" w:cs="Arial"/>
        </w:rPr>
        <w:t xml:space="preserve"> learning solutions via a variety of internal</w:t>
      </w:r>
      <w:r>
        <w:rPr>
          <w:rFonts w:ascii="Arial" w:hAnsi="Arial" w:cs="Arial"/>
        </w:rPr>
        <w:t>ly delivered</w:t>
      </w:r>
      <w:r w:rsidRPr="004455C0">
        <w:rPr>
          <w:rFonts w:ascii="Arial" w:hAnsi="Arial" w:cs="Arial"/>
        </w:rPr>
        <w:t xml:space="preserve"> and external provision and in a variety of different formats (face to face, </w:t>
      </w:r>
      <w:r>
        <w:rPr>
          <w:rFonts w:ascii="Arial" w:hAnsi="Arial" w:cs="Arial"/>
        </w:rPr>
        <w:t xml:space="preserve">virtual learning via MS Team and </w:t>
      </w:r>
      <w:proofErr w:type="spellStart"/>
      <w:r>
        <w:rPr>
          <w:rFonts w:ascii="Arial" w:hAnsi="Arial" w:cs="Arial"/>
        </w:rPr>
        <w:t>elearning</w:t>
      </w:r>
      <w:proofErr w:type="spellEnd"/>
      <w:r>
        <w:rPr>
          <w:rFonts w:ascii="Arial" w:hAnsi="Arial" w:cs="Arial"/>
        </w:rPr>
        <w:t xml:space="preserve"> via cross government and other providers</w:t>
      </w:r>
      <w:r w:rsidRPr="004455C0">
        <w:rPr>
          <w:rFonts w:ascii="Arial" w:hAnsi="Arial" w:cs="Arial"/>
        </w:rPr>
        <w:t>)</w:t>
      </w:r>
      <w:r>
        <w:rPr>
          <w:rFonts w:ascii="Arial" w:hAnsi="Arial" w:cs="Arial"/>
        </w:rPr>
        <w:t xml:space="preserve">. </w:t>
      </w:r>
      <w:r w:rsidRPr="004455C0">
        <w:rPr>
          <w:rFonts w:ascii="Arial" w:hAnsi="Arial" w:cs="Arial"/>
        </w:rPr>
        <w:t>Learner enrolment on some internally delivered learning interventions is currently via Taleo learn</w:t>
      </w:r>
      <w:r>
        <w:rPr>
          <w:rFonts w:ascii="Arial" w:hAnsi="Arial" w:cs="Arial"/>
        </w:rPr>
        <w:t>.  L</w:t>
      </w:r>
      <w:r w:rsidRPr="004455C0">
        <w:rPr>
          <w:rFonts w:ascii="Arial" w:hAnsi="Arial" w:cs="Arial"/>
        </w:rPr>
        <w:t xml:space="preserve">earning/learner records </w:t>
      </w:r>
      <w:r>
        <w:rPr>
          <w:rFonts w:ascii="Arial" w:hAnsi="Arial" w:cs="Arial"/>
        </w:rPr>
        <w:t xml:space="preserve">are maintained, accessed and collated </w:t>
      </w:r>
      <w:r w:rsidRPr="004455C0">
        <w:rPr>
          <w:rFonts w:ascii="Arial" w:hAnsi="Arial" w:cs="Arial"/>
        </w:rPr>
        <w:t>in a variety of different ways</w:t>
      </w:r>
      <w:r>
        <w:rPr>
          <w:rFonts w:ascii="Arial" w:hAnsi="Arial" w:cs="Arial"/>
        </w:rPr>
        <w:t xml:space="preserve"> by individuals, business areas and corporately </w:t>
      </w:r>
      <w:r w:rsidRPr="004455C0">
        <w:rPr>
          <w:rFonts w:ascii="Arial" w:hAnsi="Arial" w:cs="Arial"/>
        </w:rPr>
        <w:t xml:space="preserve">and </w:t>
      </w:r>
      <w:r>
        <w:rPr>
          <w:rFonts w:ascii="Arial" w:hAnsi="Arial" w:cs="Arial"/>
        </w:rPr>
        <w:t xml:space="preserve">held </w:t>
      </w:r>
      <w:r w:rsidRPr="004455C0">
        <w:rPr>
          <w:rFonts w:ascii="Arial" w:hAnsi="Arial" w:cs="Arial"/>
        </w:rPr>
        <w:t xml:space="preserve">in different locations.   </w:t>
      </w:r>
      <w:r>
        <w:rPr>
          <w:rFonts w:ascii="Arial" w:hAnsi="Arial" w:cs="Arial"/>
        </w:rPr>
        <w:t xml:space="preserve">A future </w:t>
      </w:r>
      <w:r>
        <w:rPr>
          <w:rFonts w:ascii="Arial" w:eastAsia="Arial" w:hAnsi="Arial" w:cs="Arial"/>
        </w:rPr>
        <w:t>system should provide for effective record keeping</w:t>
      </w:r>
      <w:r w:rsidRPr="004C2543">
        <w:rPr>
          <w:rFonts w:ascii="Arial" w:eastAsia="Arial" w:hAnsi="Arial" w:cs="Arial"/>
        </w:rPr>
        <w:t>,</w:t>
      </w:r>
      <w:r>
        <w:rPr>
          <w:rFonts w:ascii="Arial" w:eastAsia="Arial" w:hAnsi="Arial" w:cs="Arial"/>
        </w:rPr>
        <w:t xml:space="preserve"> ease of reporting, establishment of learning sessions and enable us </w:t>
      </w:r>
      <w:r w:rsidRPr="004C2543">
        <w:rPr>
          <w:rFonts w:ascii="Arial" w:eastAsia="Arial" w:hAnsi="Arial" w:cs="Arial"/>
        </w:rPr>
        <w:t xml:space="preserve">to </w:t>
      </w:r>
      <w:r>
        <w:rPr>
          <w:rFonts w:ascii="Arial" w:eastAsia="Arial" w:hAnsi="Arial" w:cs="Arial"/>
        </w:rPr>
        <w:t xml:space="preserve">design and </w:t>
      </w:r>
      <w:r w:rsidRPr="004C2543">
        <w:rPr>
          <w:rFonts w:ascii="Arial" w:eastAsia="Arial" w:hAnsi="Arial" w:cs="Arial"/>
        </w:rPr>
        <w:t>deliver best practice internal content</w:t>
      </w:r>
      <w:r>
        <w:rPr>
          <w:rFonts w:ascii="Arial" w:eastAsia="Arial" w:hAnsi="Arial" w:cs="Arial"/>
        </w:rPr>
        <w:t xml:space="preserve"> and sessions and to sign post to relevant external resources and content</w:t>
      </w:r>
      <w:r w:rsidRPr="004C2543">
        <w:rPr>
          <w:rFonts w:ascii="Arial" w:eastAsia="Arial" w:hAnsi="Arial" w:cs="Arial"/>
        </w:rPr>
        <w:t>.</w:t>
      </w:r>
      <w:r w:rsidR="000538B9">
        <w:rPr>
          <w:rFonts w:ascii="Arial" w:eastAsia="Arial" w:hAnsi="Arial" w:cs="Arial"/>
        </w:rPr>
        <w:t xml:space="preserve">  The agency utilises </w:t>
      </w:r>
      <w:r w:rsidR="000538B9">
        <w:t>Oracle Fusion as our H</w:t>
      </w:r>
      <w:r w:rsidR="001A300D">
        <w:t>uman Resource Information System</w:t>
      </w:r>
      <w:r w:rsidR="00B42DE5">
        <w:t xml:space="preserve"> and interfaces with</w:t>
      </w:r>
      <w:r w:rsidR="004E58B4">
        <w:t xml:space="preserve"> other learning platforms to access some le</w:t>
      </w:r>
      <w:r w:rsidR="000F6EAD">
        <w:t>a</w:t>
      </w:r>
      <w:r w:rsidR="004E58B4">
        <w:t>rning (se</w:t>
      </w:r>
      <w:r w:rsidR="000F6EAD">
        <w:t>e</w:t>
      </w:r>
      <w:r w:rsidR="004E58B4">
        <w:t xml:space="preserve"> bel</w:t>
      </w:r>
      <w:r w:rsidR="000F6EAD">
        <w:t>ow</w:t>
      </w:r>
      <w:r w:rsidR="001A300D">
        <w:t>.</w:t>
      </w:r>
    </w:p>
    <w:p w14:paraId="301B26DB" w14:textId="38DA899D" w:rsidR="008C51E1" w:rsidRDefault="001A300D" w:rsidP="001A300D">
      <w:pPr>
        <w:ind w:left="357"/>
        <w:rPr>
          <w:rFonts w:ascii="Arial" w:eastAsia="Arial" w:hAnsi="Arial" w:cs="Arial"/>
        </w:rPr>
      </w:pPr>
      <w:r>
        <w:t xml:space="preserve"> </w:t>
      </w:r>
    </w:p>
    <w:p w14:paraId="282BC590" w14:textId="37E47167" w:rsidR="008C51E1" w:rsidRDefault="008C51E1" w:rsidP="00B4604C">
      <w:pPr>
        <w:ind w:left="357"/>
        <w:rPr>
          <w:rFonts w:ascii="Arial" w:eastAsia="Arial" w:hAnsi="Arial" w:cs="Arial"/>
        </w:rPr>
      </w:pPr>
      <w:r>
        <w:rPr>
          <w:rFonts w:ascii="Arial" w:eastAsia="Arial" w:hAnsi="Arial" w:cs="Arial"/>
        </w:rPr>
        <w:t xml:space="preserve">We are looking to engage our learners and to make their learning journeys easy to identify, easily accessible, stimulating, effective and capable of being </w:t>
      </w:r>
      <w:r w:rsidR="000F7785">
        <w:rPr>
          <w:rFonts w:ascii="Arial" w:eastAsia="Arial" w:hAnsi="Arial" w:cs="Arial"/>
        </w:rPr>
        <w:t xml:space="preserve">easily </w:t>
      </w:r>
      <w:r>
        <w:rPr>
          <w:rFonts w:ascii="Arial" w:eastAsia="Arial" w:hAnsi="Arial" w:cs="Arial"/>
        </w:rPr>
        <w:t>tracked</w:t>
      </w:r>
      <w:r w:rsidR="000F7785">
        <w:rPr>
          <w:rFonts w:ascii="Arial" w:eastAsia="Arial" w:hAnsi="Arial" w:cs="Arial"/>
        </w:rPr>
        <w:t xml:space="preserve">, </w:t>
      </w:r>
      <w:r w:rsidR="00037367">
        <w:rPr>
          <w:rFonts w:ascii="Arial" w:eastAsia="Arial" w:hAnsi="Arial" w:cs="Arial"/>
        </w:rPr>
        <w:t xml:space="preserve">reviewed </w:t>
      </w:r>
      <w:r w:rsidR="001144B0">
        <w:rPr>
          <w:rFonts w:ascii="Arial" w:eastAsia="Arial" w:hAnsi="Arial" w:cs="Arial"/>
        </w:rPr>
        <w:t>/</w:t>
      </w:r>
      <w:r>
        <w:rPr>
          <w:rFonts w:ascii="Arial" w:eastAsia="Arial" w:hAnsi="Arial" w:cs="Arial"/>
        </w:rPr>
        <w:t>verified</w:t>
      </w:r>
      <w:r w:rsidR="000F7785">
        <w:rPr>
          <w:rFonts w:ascii="Arial" w:eastAsia="Arial" w:hAnsi="Arial" w:cs="Arial"/>
        </w:rPr>
        <w:t xml:space="preserve"> by </w:t>
      </w:r>
      <w:r w:rsidR="00EA2CE4">
        <w:rPr>
          <w:rFonts w:ascii="Arial" w:eastAsia="Arial" w:hAnsi="Arial" w:cs="Arial"/>
        </w:rPr>
        <w:t>managers</w:t>
      </w:r>
      <w:r w:rsidR="000F7785">
        <w:rPr>
          <w:rFonts w:ascii="Arial" w:eastAsia="Arial" w:hAnsi="Arial" w:cs="Arial"/>
        </w:rPr>
        <w:t xml:space="preserve"> and easily</w:t>
      </w:r>
      <w:r w:rsidR="00EA2CE4">
        <w:rPr>
          <w:rFonts w:ascii="Arial" w:eastAsia="Arial" w:hAnsi="Arial" w:cs="Arial"/>
        </w:rPr>
        <w:t xml:space="preserve"> captured in a variety of learning reports</w:t>
      </w:r>
      <w:r w:rsidR="001144B0">
        <w:rPr>
          <w:rFonts w:ascii="Arial" w:eastAsia="Arial" w:hAnsi="Arial" w:cs="Arial"/>
        </w:rPr>
        <w:t>/dashboards</w:t>
      </w:r>
      <w:r>
        <w:rPr>
          <w:rFonts w:ascii="Arial" w:eastAsia="Arial" w:hAnsi="Arial" w:cs="Arial"/>
        </w:rPr>
        <w:t>.  The system should be capable of:</w:t>
      </w:r>
    </w:p>
    <w:p w14:paraId="336E1893" w14:textId="77777777" w:rsidR="00387C88" w:rsidRDefault="00387C88" w:rsidP="00B4604C">
      <w:pPr>
        <w:ind w:left="357"/>
        <w:rPr>
          <w:rFonts w:ascii="Arial" w:eastAsia="Arial" w:hAnsi="Arial" w:cs="Arial"/>
        </w:rPr>
      </w:pPr>
    </w:p>
    <w:p w14:paraId="38056564" w14:textId="4562C9EE" w:rsidR="00EA2CE4" w:rsidRPr="00AA1501" w:rsidRDefault="00AA1501" w:rsidP="00AA1501">
      <w:pPr>
        <w:pStyle w:val="ListParagraph"/>
        <w:numPr>
          <w:ilvl w:val="0"/>
          <w:numId w:val="43"/>
        </w:numPr>
        <w:rPr>
          <w:rFonts w:ascii="Arial" w:eastAsia="Arial" w:hAnsi="Arial" w:cs="Arial"/>
        </w:rPr>
      </w:pPr>
      <w:r w:rsidRPr="00AA1501">
        <w:rPr>
          <w:rFonts w:ascii="Arial" w:eastAsia="Arial" w:hAnsi="Arial" w:cs="Arial"/>
        </w:rPr>
        <w:t>Ideally providing for a Single Sign On functionality</w:t>
      </w:r>
    </w:p>
    <w:p w14:paraId="1A0B8B5A" w14:textId="3D2D9357" w:rsidR="00080C14" w:rsidRDefault="00080C14" w:rsidP="00B4604C">
      <w:pPr>
        <w:pStyle w:val="ListParagraph"/>
        <w:numPr>
          <w:ilvl w:val="0"/>
          <w:numId w:val="43"/>
        </w:numPr>
        <w:rPr>
          <w:rFonts w:ascii="Arial" w:eastAsia="Arial" w:hAnsi="Arial" w:cs="Arial"/>
        </w:rPr>
      </w:pPr>
      <w:bookmarkStart w:id="6" w:name="_Hlk213853305"/>
      <w:r>
        <w:rPr>
          <w:rFonts w:ascii="Arial" w:eastAsia="Arial" w:hAnsi="Arial" w:cs="Arial"/>
        </w:rPr>
        <w:t xml:space="preserve">Complying with all </w:t>
      </w:r>
      <w:hyperlink r:id="rId19" w:anchor="meeting-government-accessibility-requirements" w:history="1">
        <w:r w:rsidR="00237114" w:rsidRPr="00237114">
          <w:rPr>
            <w:rStyle w:val="Hyperlink"/>
            <w:rFonts w:ascii="Arial" w:eastAsia="Arial" w:hAnsi="Arial" w:cs="Arial"/>
          </w:rPr>
          <w:t>Web Content Accessibility Guidelines (WCAG)</w:t>
        </w:r>
      </w:hyperlink>
      <w:r w:rsidR="00237114">
        <w:rPr>
          <w:rFonts w:ascii="Arial" w:eastAsia="Arial" w:hAnsi="Arial" w:cs="Arial"/>
        </w:rPr>
        <w:t xml:space="preserve"> 2.2</w:t>
      </w:r>
      <w:r w:rsidR="00814CB7">
        <w:rPr>
          <w:rFonts w:ascii="Arial" w:eastAsia="Arial" w:hAnsi="Arial" w:cs="Arial"/>
        </w:rPr>
        <w:t xml:space="preserve"> </w:t>
      </w:r>
      <w:r w:rsidR="00237114">
        <w:rPr>
          <w:rFonts w:ascii="Arial" w:eastAsia="Arial" w:hAnsi="Arial" w:cs="Arial"/>
        </w:rPr>
        <w:t xml:space="preserve">AA </w:t>
      </w:r>
      <w:r w:rsidR="00F67E04">
        <w:rPr>
          <w:rFonts w:ascii="Arial" w:eastAsia="Arial" w:hAnsi="Arial" w:cs="Arial"/>
        </w:rPr>
        <w:t>standards</w:t>
      </w:r>
    </w:p>
    <w:bookmarkEnd w:id="6"/>
    <w:p w14:paraId="43BAB171" w14:textId="659E333B" w:rsidR="002F5F5E" w:rsidRDefault="009941A7" w:rsidP="00B4604C">
      <w:pPr>
        <w:pStyle w:val="ListParagraph"/>
        <w:numPr>
          <w:ilvl w:val="0"/>
          <w:numId w:val="43"/>
        </w:numPr>
        <w:rPr>
          <w:rFonts w:ascii="Arial" w:eastAsia="Arial" w:hAnsi="Arial" w:cs="Arial"/>
        </w:rPr>
      </w:pPr>
      <w:r>
        <w:rPr>
          <w:rFonts w:ascii="Arial" w:eastAsia="Arial" w:hAnsi="Arial" w:cs="Arial"/>
        </w:rPr>
        <w:t>Being c</w:t>
      </w:r>
      <w:r w:rsidR="002F5F5E">
        <w:rPr>
          <w:rFonts w:ascii="Arial" w:eastAsia="Arial" w:hAnsi="Arial" w:cs="Arial"/>
        </w:rPr>
        <w:t>ustomised to reflect the MHRA brand</w:t>
      </w:r>
    </w:p>
    <w:p w14:paraId="2CE25610" w14:textId="676EDF53" w:rsidR="00732BDC" w:rsidRDefault="00732BDC" w:rsidP="00B4604C">
      <w:pPr>
        <w:pStyle w:val="ListParagraph"/>
        <w:numPr>
          <w:ilvl w:val="0"/>
          <w:numId w:val="43"/>
        </w:numPr>
        <w:rPr>
          <w:rFonts w:ascii="Arial" w:eastAsia="Arial" w:hAnsi="Arial" w:cs="Arial"/>
        </w:rPr>
      </w:pPr>
      <w:r>
        <w:rPr>
          <w:rFonts w:ascii="Arial" w:eastAsia="Arial" w:hAnsi="Arial" w:cs="Arial"/>
        </w:rPr>
        <w:lastRenderedPageBreak/>
        <w:t>Host</w:t>
      </w:r>
      <w:r w:rsidR="009941A7">
        <w:rPr>
          <w:rFonts w:ascii="Arial" w:eastAsia="Arial" w:hAnsi="Arial" w:cs="Arial"/>
        </w:rPr>
        <w:t>ing</w:t>
      </w:r>
      <w:r>
        <w:rPr>
          <w:rFonts w:ascii="Arial" w:eastAsia="Arial" w:hAnsi="Arial" w:cs="Arial"/>
        </w:rPr>
        <w:t xml:space="preserve"> and sign post</w:t>
      </w:r>
      <w:r w:rsidR="004A58F0">
        <w:rPr>
          <w:rFonts w:ascii="Arial" w:eastAsia="Arial" w:hAnsi="Arial" w:cs="Arial"/>
        </w:rPr>
        <w:t>ing</w:t>
      </w:r>
      <w:r>
        <w:rPr>
          <w:rFonts w:ascii="Arial" w:eastAsia="Arial" w:hAnsi="Arial" w:cs="Arial"/>
        </w:rPr>
        <w:t xml:space="preserve"> </w:t>
      </w:r>
      <w:r w:rsidR="00F67E44">
        <w:rPr>
          <w:rFonts w:ascii="Arial" w:eastAsia="Arial" w:hAnsi="Arial" w:cs="Arial"/>
        </w:rPr>
        <w:t xml:space="preserve">to </w:t>
      </w:r>
      <w:r>
        <w:rPr>
          <w:rFonts w:ascii="Arial" w:eastAsia="Arial" w:hAnsi="Arial" w:cs="Arial"/>
        </w:rPr>
        <w:t>a variety of le</w:t>
      </w:r>
      <w:r w:rsidR="00F67E44">
        <w:rPr>
          <w:rFonts w:ascii="Arial" w:eastAsia="Arial" w:hAnsi="Arial" w:cs="Arial"/>
        </w:rPr>
        <w:t>a</w:t>
      </w:r>
      <w:r>
        <w:rPr>
          <w:rFonts w:ascii="Arial" w:eastAsia="Arial" w:hAnsi="Arial" w:cs="Arial"/>
        </w:rPr>
        <w:t>rning</w:t>
      </w:r>
      <w:r w:rsidR="004A58F0">
        <w:rPr>
          <w:rFonts w:ascii="Arial" w:eastAsia="Arial" w:hAnsi="Arial" w:cs="Arial"/>
        </w:rPr>
        <w:t>,</w:t>
      </w:r>
      <w:r w:rsidR="00F67E44">
        <w:rPr>
          <w:rFonts w:ascii="Arial" w:eastAsia="Arial" w:hAnsi="Arial" w:cs="Arial"/>
        </w:rPr>
        <w:t xml:space="preserve"> catalogued into </w:t>
      </w:r>
      <w:r w:rsidR="00FB7D7A">
        <w:rPr>
          <w:rFonts w:ascii="Arial" w:eastAsia="Arial" w:hAnsi="Arial" w:cs="Arial"/>
        </w:rPr>
        <w:t xml:space="preserve">easily searchable </w:t>
      </w:r>
      <w:r w:rsidR="00F67E44">
        <w:rPr>
          <w:rFonts w:ascii="Arial" w:eastAsia="Arial" w:hAnsi="Arial" w:cs="Arial"/>
        </w:rPr>
        <w:t>le</w:t>
      </w:r>
      <w:r w:rsidR="00FB7D7A">
        <w:rPr>
          <w:rFonts w:ascii="Arial" w:eastAsia="Arial" w:hAnsi="Arial" w:cs="Arial"/>
        </w:rPr>
        <w:t>a</w:t>
      </w:r>
      <w:r w:rsidR="00F67E44">
        <w:rPr>
          <w:rFonts w:ascii="Arial" w:eastAsia="Arial" w:hAnsi="Arial" w:cs="Arial"/>
        </w:rPr>
        <w:t>rning pathways</w:t>
      </w:r>
      <w:r w:rsidR="00447369">
        <w:rPr>
          <w:rFonts w:ascii="Arial" w:eastAsia="Arial" w:hAnsi="Arial" w:cs="Arial"/>
        </w:rPr>
        <w:t xml:space="preserve"> defined by different learning priorities</w:t>
      </w:r>
      <w:r w:rsidR="00313693">
        <w:rPr>
          <w:rFonts w:ascii="Arial" w:eastAsia="Arial" w:hAnsi="Arial" w:cs="Arial"/>
        </w:rPr>
        <w:t xml:space="preserve">, </w:t>
      </w:r>
      <w:r w:rsidR="00447369">
        <w:rPr>
          <w:rFonts w:ascii="Arial" w:eastAsia="Arial" w:hAnsi="Arial" w:cs="Arial"/>
        </w:rPr>
        <w:t>categories</w:t>
      </w:r>
      <w:r w:rsidR="00313693">
        <w:rPr>
          <w:rFonts w:ascii="Arial" w:eastAsia="Arial" w:hAnsi="Arial" w:cs="Arial"/>
        </w:rPr>
        <w:t xml:space="preserve"> and roles.</w:t>
      </w:r>
      <w:r w:rsidR="00F67E44">
        <w:rPr>
          <w:rFonts w:ascii="Arial" w:eastAsia="Arial" w:hAnsi="Arial" w:cs="Arial"/>
        </w:rPr>
        <w:t xml:space="preserve"> </w:t>
      </w:r>
      <w:r>
        <w:rPr>
          <w:rFonts w:ascii="Arial" w:eastAsia="Arial" w:hAnsi="Arial" w:cs="Arial"/>
        </w:rPr>
        <w:t xml:space="preserve"> </w:t>
      </w:r>
    </w:p>
    <w:p w14:paraId="3246FCD4" w14:textId="4F435335" w:rsidR="008C51E1" w:rsidRDefault="00C1228F" w:rsidP="00B4604C">
      <w:pPr>
        <w:pStyle w:val="ListParagraph"/>
        <w:numPr>
          <w:ilvl w:val="0"/>
          <w:numId w:val="43"/>
        </w:numPr>
        <w:rPr>
          <w:rFonts w:ascii="Arial" w:eastAsia="Arial" w:hAnsi="Arial" w:cs="Arial"/>
        </w:rPr>
      </w:pPr>
      <w:r>
        <w:rPr>
          <w:rFonts w:ascii="Arial" w:eastAsia="Arial" w:hAnsi="Arial" w:cs="Arial"/>
        </w:rPr>
        <w:t>G</w:t>
      </w:r>
      <w:r w:rsidR="008C51E1" w:rsidRPr="00EA2CE4">
        <w:rPr>
          <w:rFonts w:ascii="Arial" w:eastAsia="Arial" w:hAnsi="Arial" w:cs="Arial"/>
        </w:rPr>
        <w:t xml:space="preserve">enerating learner profiles with learning being </w:t>
      </w:r>
      <w:r w:rsidR="002D74D4">
        <w:rPr>
          <w:rFonts w:ascii="Arial" w:eastAsia="Arial" w:hAnsi="Arial" w:cs="Arial"/>
        </w:rPr>
        <w:t xml:space="preserve">capable of being easily </w:t>
      </w:r>
      <w:r w:rsidR="008C51E1" w:rsidRPr="00EA2CE4">
        <w:rPr>
          <w:rFonts w:ascii="Arial" w:eastAsia="Arial" w:hAnsi="Arial" w:cs="Arial"/>
        </w:rPr>
        <w:t>assigned to roles across the business</w:t>
      </w:r>
      <w:r w:rsidR="007036F7">
        <w:rPr>
          <w:rFonts w:ascii="Arial" w:eastAsia="Arial" w:hAnsi="Arial" w:cs="Arial"/>
        </w:rPr>
        <w:t xml:space="preserve"> with automatically generated completion reminders</w:t>
      </w:r>
      <w:r w:rsidR="00CA3D6D">
        <w:rPr>
          <w:rFonts w:ascii="Arial" w:eastAsia="Arial" w:hAnsi="Arial" w:cs="Arial"/>
        </w:rPr>
        <w:t xml:space="preserve"> as well as </w:t>
      </w:r>
      <w:r w:rsidR="003C1FD4">
        <w:rPr>
          <w:rFonts w:ascii="Arial" w:eastAsia="Arial" w:hAnsi="Arial" w:cs="Arial"/>
        </w:rPr>
        <w:t>the potential for “</w:t>
      </w:r>
      <w:r w:rsidR="00CA3D6D">
        <w:rPr>
          <w:rFonts w:ascii="Arial" w:eastAsia="Arial" w:hAnsi="Arial" w:cs="Arial"/>
        </w:rPr>
        <w:t>nudges</w:t>
      </w:r>
      <w:r w:rsidR="003C1FD4">
        <w:rPr>
          <w:rFonts w:ascii="Arial" w:eastAsia="Arial" w:hAnsi="Arial" w:cs="Arial"/>
        </w:rPr>
        <w:t>”</w:t>
      </w:r>
      <w:r w:rsidR="00CA3D6D">
        <w:rPr>
          <w:rFonts w:ascii="Arial" w:eastAsia="Arial" w:hAnsi="Arial" w:cs="Arial"/>
        </w:rPr>
        <w:t xml:space="preserve"> to </w:t>
      </w:r>
      <w:r w:rsidR="003C1FD4">
        <w:rPr>
          <w:rFonts w:ascii="Arial" w:eastAsia="Arial" w:hAnsi="Arial" w:cs="Arial"/>
        </w:rPr>
        <w:t>any relevant new content</w:t>
      </w:r>
      <w:r w:rsidR="006C3565">
        <w:rPr>
          <w:rFonts w:ascii="Arial" w:eastAsia="Arial" w:hAnsi="Arial" w:cs="Arial"/>
        </w:rPr>
        <w:t>.</w:t>
      </w:r>
    </w:p>
    <w:p w14:paraId="43711482" w14:textId="681D96AE" w:rsidR="002D74D4" w:rsidRDefault="00DF0F66" w:rsidP="00B4604C">
      <w:pPr>
        <w:pStyle w:val="ListParagraph"/>
        <w:numPr>
          <w:ilvl w:val="0"/>
          <w:numId w:val="43"/>
        </w:numPr>
        <w:rPr>
          <w:rFonts w:ascii="Arial" w:eastAsia="Arial" w:hAnsi="Arial" w:cs="Arial"/>
        </w:rPr>
      </w:pPr>
      <w:r>
        <w:rPr>
          <w:rFonts w:ascii="Arial" w:eastAsia="Arial" w:hAnsi="Arial" w:cs="Arial"/>
        </w:rPr>
        <w:t>Allowing for variance in</w:t>
      </w:r>
      <w:r w:rsidR="00B20B40">
        <w:rPr>
          <w:rFonts w:ascii="Arial" w:eastAsia="Arial" w:hAnsi="Arial" w:cs="Arial"/>
        </w:rPr>
        <w:t xml:space="preserve"> </w:t>
      </w:r>
      <w:r w:rsidR="0099580F">
        <w:rPr>
          <w:rFonts w:ascii="Arial" w:eastAsia="Arial" w:hAnsi="Arial" w:cs="Arial"/>
        </w:rPr>
        <w:t xml:space="preserve">the </w:t>
      </w:r>
      <w:r w:rsidR="00B20B40">
        <w:rPr>
          <w:rFonts w:ascii="Arial" w:eastAsia="Arial" w:hAnsi="Arial" w:cs="Arial"/>
        </w:rPr>
        <w:t xml:space="preserve">management of </w:t>
      </w:r>
      <w:r w:rsidR="0099580F">
        <w:rPr>
          <w:rFonts w:ascii="Arial" w:eastAsia="Arial" w:hAnsi="Arial" w:cs="Arial"/>
        </w:rPr>
        <w:t xml:space="preserve">different </w:t>
      </w:r>
      <w:r w:rsidR="00B20B40">
        <w:rPr>
          <w:rFonts w:ascii="Arial" w:eastAsia="Arial" w:hAnsi="Arial" w:cs="Arial"/>
        </w:rPr>
        <w:t xml:space="preserve">levels of </w:t>
      </w:r>
      <w:r w:rsidR="00D233AF">
        <w:rPr>
          <w:rFonts w:ascii="Arial" w:eastAsia="Arial" w:hAnsi="Arial" w:cs="Arial"/>
        </w:rPr>
        <w:t xml:space="preserve">access </w:t>
      </w:r>
      <w:r w:rsidR="00C769D0">
        <w:rPr>
          <w:rFonts w:ascii="Arial" w:eastAsia="Arial" w:hAnsi="Arial" w:cs="Arial"/>
        </w:rPr>
        <w:t>(learner, line manager</w:t>
      </w:r>
      <w:r w:rsidR="005744E8">
        <w:rPr>
          <w:rFonts w:ascii="Arial" w:eastAsia="Arial" w:hAnsi="Arial" w:cs="Arial"/>
        </w:rPr>
        <w:t>, le</w:t>
      </w:r>
      <w:r w:rsidR="005E731D">
        <w:rPr>
          <w:rFonts w:ascii="Arial" w:eastAsia="Arial" w:hAnsi="Arial" w:cs="Arial"/>
        </w:rPr>
        <w:t>a</w:t>
      </w:r>
      <w:r w:rsidR="005744E8">
        <w:rPr>
          <w:rFonts w:ascii="Arial" w:eastAsia="Arial" w:hAnsi="Arial" w:cs="Arial"/>
        </w:rPr>
        <w:t>rning designer</w:t>
      </w:r>
      <w:r w:rsidR="005E731D">
        <w:rPr>
          <w:rFonts w:ascii="Arial" w:eastAsia="Arial" w:hAnsi="Arial" w:cs="Arial"/>
        </w:rPr>
        <w:t>s</w:t>
      </w:r>
      <w:r w:rsidR="005744E8">
        <w:rPr>
          <w:rFonts w:ascii="Arial" w:eastAsia="Arial" w:hAnsi="Arial" w:cs="Arial"/>
        </w:rPr>
        <w:t>, system</w:t>
      </w:r>
      <w:r w:rsidR="005E731D">
        <w:rPr>
          <w:rFonts w:ascii="Arial" w:eastAsia="Arial" w:hAnsi="Arial" w:cs="Arial"/>
        </w:rPr>
        <w:t xml:space="preserve"> administrators</w:t>
      </w:r>
      <w:r w:rsidR="00190274">
        <w:rPr>
          <w:rFonts w:ascii="Arial" w:eastAsia="Arial" w:hAnsi="Arial" w:cs="Arial"/>
        </w:rPr>
        <w:t xml:space="preserve">, session schedulers </w:t>
      </w:r>
      <w:r w:rsidR="005E731D">
        <w:rPr>
          <w:rFonts w:ascii="Arial" w:eastAsia="Arial" w:hAnsi="Arial" w:cs="Arial"/>
        </w:rPr>
        <w:t xml:space="preserve">etc) </w:t>
      </w:r>
    </w:p>
    <w:p w14:paraId="4AD7286C" w14:textId="77777777" w:rsidR="002B6249" w:rsidRPr="002B6249" w:rsidRDefault="002B6249" w:rsidP="002B6249">
      <w:pPr>
        <w:rPr>
          <w:rFonts w:ascii="Arial" w:eastAsia="Arial" w:hAnsi="Arial" w:cs="Arial"/>
        </w:rPr>
      </w:pPr>
    </w:p>
    <w:p w14:paraId="29105070" w14:textId="77777777" w:rsidR="002B6249" w:rsidRDefault="002B6249" w:rsidP="00B4604C">
      <w:pPr>
        <w:ind w:left="357"/>
        <w:rPr>
          <w:rFonts w:ascii="Arial" w:eastAsia="Arial" w:hAnsi="Arial" w:cs="Arial"/>
        </w:rPr>
      </w:pPr>
      <w:r>
        <w:rPr>
          <w:rFonts w:ascii="Arial" w:eastAsia="Arial" w:hAnsi="Arial" w:cs="Arial"/>
        </w:rPr>
        <w:t xml:space="preserve">We also have the following requirements: </w:t>
      </w:r>
    </w:p>
    <w:p w14:paraId="685E30D9" w14:textId="4C7469EC" w:rsidR="008C51E1" w:rsidRDefault="008C51E1" w:rsidP="00B4604C">
      <w:pPr>
        <w:ind w:left="357"/>
        <w:rPr>
          <w:rFonts w:ascii="Arial" w:eastAsia="Arial" w:hAnsi="Arial" w:cs="Arial"/>
        </w:rPr>
      </w:pPr>
      <w:r>
        <w:rPr>
          <w:rFonts w:ascii="Arial" w:eastAsia="Arial" w:hAnsi="Arial" w:cs="Arial"/>
        </w:rPr>
        <w:t xml:space="preserve">     </w:t>
      </w:r>
    </w:p>
    <w:p w14:paraId="0FD93A1A" w14:textId="77777777" w:rsidR="008C51E1" w:rsidRPr="00791B42" w:rsidRDefault="008C51E1" w:rsidP="00B4604C">
      <w:pPr>
        <w:ind w:left="357"/>
        <w:rPr>
          <w:rFonts w:ascii="Arial" w:eastAsia="Arial" w:hAnsi="Arial" w:cs="Arial"/>
          <w:b/>
          <w:bCs/>
        </w:rPr>
      </w:pPr>
      <w:r w:rsidRPr="00791B42">
        <w:rPr>
          <w:rFonts w:ascii="Arial" w:eastAsia="Arial" w:hAnsi="Arial" w:cs="Arial"/>
          <w:b/>
          <w:bCs/>
        </w:rPr>
        <w:t>Access to other learning platform</w:t>
      </w:r>
      <w:r>
        <w:rPr>
          <w:rFonts w:ascii="Arial" w:eastAsia="Arial" w:hAnsi="Arial" w:cs="Arial"/>
          <w:b/>
          <w:bCs/>
        </w:rPr>
        <w:t xml:space="preserve"> systems</w:t>
      </w:r>
    </w:p>
    <w:p w14:paraId="1B96C183" w14:textId="46EDDC46" w:rsidR="008C51E1" w:rsidRDefault="008C51E1" w:rsidP="00B4604C">
      <w:pPr>
        <w:ind w:left="357"/>
        <w:rPr>
          <w:rFonts w:ascii="Arial" w:hAnsi="Arial" w:cs="Arial"/>
        </w:rPr>
      </w:pPr>
      <w:r w:rsidRPr="004455C0">
        <w:rPr>
          <w:rFonts w:ascii="Arial" w:hAnsi="Arial" w:cs="Arial"/>
        </w:rPr>
        <w:t xml:space="preserve">As part of the civil service, much of our mandatory/compliance </w:t>
      </w:r>
      <w:proofErr w:type="spellStart"/>
      <w:r w:rsidRPr="004455C0">
        <w:rPr>
          <w:rFonts w:ascii="Arial" w:hAnsi="Arial" w:cs="Arial"/>
        </w:rPr>
        <w:t>elearning</w:t>
      </w:r>
      <w:proofErr w:type="spellEnd"/>
      <w:r w:rsidRPr="004455C0">
        <w:rPr>
          <w:rFonts w:ascii="Arial" w:hAnsi="Arial" w:cs="Arial"/>
        </w:rPr>
        <w:t xml:space="preserve"> is accessed via the </w:t>
      </w:r>
      <w:r>
        <w:rPr>
          <w:rFonts w:ascii="Arial" w:hAnsi="Arial" w:cs="Arial"/>
        </w:rPr>
        <w:t xml:space="preserve">Government Skills’ </w:t>
      </w:r>
      <w:hyperlink r:id="rId20" w:history="1">
        <w:r w:rsidRPr="006F2543">
          <w:rPr>
            <w:rStyle w:val="Hyperlink"/>
            <w:rFonts w:ascii="Arial" w:hAnsi="Arial" w:cs="Arial"/>
          </w:rPr>
          <w:t>Civil Service Learning platform</w:t>
        </w:r>
      </w:hyperlink>
      <w:r>
        <w:rPr>
          <w:rFonts w:ascii="Arial" w:hAnsi="Arial" w:cs="Arial"/>
        </w:rPr>
        <w:t xml:space="preserve"> and potentially in future via the Government Skills Campus, which is a cross-government platform currently being piloted</w:t>
      </w:r>
      <w:r w:rsidR="00FA1349">
        <w:rPr>
          <w:rFonts w:ascii="Arial" w:hAnsi="Arial" w:cs="Arial"/>
        </w:rPr>
        <w:t xml:space="preserve"> </w:t>
      </w:r>
      <w:r w:rsidR="00F058DC">
        <w:rPr>
          <w:rFonts w:ascii="Arial" w:hAnsi="Arial" w:cs="Arial"/>
        </w:rPr>
        <w:t>as a means of accessing all x-go</w:t>
      </w:r>
      <w:r w:rsidR="00F74CA9">
        <w:rPr>
          <w:rFonts w:ascii="Arial" w:hAnsi="Arial" w:cs="Arial"/>
        </w:rPr>
        <w:t>v</w:t>
      </w:r>
      <w:r w:rsidR="00F058DC">
        <w:rPr>
          <w:rFonts w:ascii="Arial" w:hAnsi="Arial" w:cs="Arial"/>
        </w:rPr>
        <w:t>ernm</w:t>
      </w:r>
      <w:r w:rsidR="00F74CA9">
        <w:rPr>
          <w:rFonts w:ascii="Arial" w:hAnsi="Arial" w:cs="Arial"/>
        </w:rPr>
        <w:t>ent</w:t>
      </w:r>
      <w:r w:rsidR="00F058DC">
        <w:rPr>
          <w:rFonts w:ascii="Arial" w:hAnsi="Arial" w:cs="Arial"/>
        </w:rPr>
        <w:t xml:space="preserve"> offerings</w:t>
      </w:r>
      <w:r w:rsidR="002222D1">
        <w:rPr>
          <w:rFonts w:ascii="Arial" w:hAnsi="Arial" w:cs="Arial"/>
        </w:rPr>
        <w:t xml:space="preserve"> and maintaining </w:t>
      </w:r>
      <w:r w:rsidR="00AD6CEA">
        <w:rPr>
          <w:rFonts w:ascii="Arial" w:hAnsi="Arial" w:cs="Arial"/>
        </w:rPr>
        <w:t xml:space="preserve">and individual’s </w:t>
      </w:r>
      <w:r w:rsidR="00B21AB1">
        <w:rPr>
          <w:rFonts w:ascii="Arial" w:hAnsi="Arial" w:cs="Arial"/>
        </w:rPr>
        <w:t xml:space="preserve">record of </w:t>
      </w:r>
      <w:r w:rsidR="00AD6CEA">
        <w:rPr>
          <w:rFonts w:ascii="Arial" w:hAnsi="Arial" w:cs="Arial"/>
        </w:rPr>
        <w:t>re</w:t>
      </w:r>
      <w:r w:rsidR="00B21AB1">
        <w:rPr>
          <w:rFonts w:ascii="Arial" w:hAnsi="Arial" w:cs="Arial"/>
        </w:rPr>
        <w:t>lated learning</w:t>
      </w:r>
      <w:r>
        <w:rPr>
          <w:rFonts w:ascii="Arial" w:hAnsi="Arial" w:cs="Arial"/>
        </w:rPr>
        <w:t xml:space="preserve">.  The agency also currently utilises </w:t>
      </w:r>
      <w:hyperlink r:id="rId21" w:history="1">
        <w:r w:rsidRPr="00791B42">
          <w:rPr>
            <w:rStyle w:val="Hyperlink"/>
            <w:rFonts w:ascii="Arial" w:hAnsi="Arial" w:cs="Arial"/>
          </w:rPr>
          <w:t>Cybersecurity Training | Phishing Awareness | Bob's Business</w:t>
        </w:r>
      </w:hyperlink>
      <w:r w:rsidRPr="00791B42">
        <w:rPr>
          <w:rFonts w:ascii="Arial" w:hAnsi="Arial" w:cs="Arial"/>
        </w:rPr>
        <w:t xml:space="preserve"> </w:t>
      </w:r>
      <w:r>
        <w:rPr>
          <w:rFonts w:ascii="Arial" w:hAnsi="Arial" w:cs="Arial"/>
        </w:rPr>
        <w:t>for its Cyber Security training</w:t>
      </w:r>
      <w:r w:rsidRPr="004455C0">
        <w:rPr>
          <w:rFonts w:ascii="Arial" w:hAnsi="Arial" w:cs="Arial"/>
        </w:rPr>
        <w:t xml:space="preserve">.  </w:t>
      </w:r>
      <w:r>
        <w:rPr>
          <w:rFonts w:ascii="Arial" w:hAnsi="Arial" w:cs="Arial"/>
        </w:rPr>
        <w:t xml:space="preserve">We would require the functionality of the future solution to enable learners to link to and access content on such platforms in the future and to be able to draw learner completion records from them.  </w:t>
      </w:r>
    </w:p>
    <w:p w14:paraId="018A6C6E" w14:textId="77777777" w:rsidR="008C51E1" w:rsidRDefault="008C51E1" w:rsidP="00B4604C">
      <w:pPr>
        <w:ind w:left="357"/>
        <w:rPr>
          <w:rFonts w:ascii="Arial" w:hAnsi="Arial" w:cs="Arial"/>
        </w:rPr>
      </w:pPr>
    </w:p>
    <w:p w14:paraId="03B535D6" w14:textId="77777777" w:rsidR="001B1ED2" w:rsidRDefault="008C51E1" w:rsidP="001B1ED2">
      <w:pPr>
        <w:ind w:left="357"/>
        <w:rPr>
          <w:rFonts w:ascii="Arial" w:hAnsi="Arial" w:cs="Arial"/>
          <w:b/>
          <w:bCs/>
        </w:rPr>
      </w:pPr>
      <w:r w:rsidRPr="00791B42">
        <w:rPr>
          <w:rFonts w:ascii="Arial" w:hAnsi="Arial" w:cs="Arial"/>
          <w:b/>
          <w:bCs/>
        </w:rPr>
        <w:t>Content</w:t>
      </w:r>
      <w:r w:rsidR="002A7BBA">
        <w:rPr>
          <w:rFonts w:ascii="Arial" w:hAnsi="Arial" w:cs="Arial"/>
          <w:b/>
          <w:bCs/>
        </w:rPr>
        <w:t xml:space="preserve"> capabilities, </w:t>
      </w:r>
      <w:r w:rsidRPr="00791B42">
        <w:rPr>
          <w:rFonts w:ascii="Arial" w:hAnsi="Arial" w:cs="Arial"/>
          <w:b/>
          <w:bCs/>
        </w:rPr>
        <w:t>session design</w:t>
      </w:r>
      <w:r w:rsidR="002A7BBA">
        <w:rPr>
          <w:rFonts w:ascii="Arial" w:hAnsi="Arial" w:cs="Arial"/>
          <w:b/>
          <w:bCs/>
        </w:rPr>
        <w:t xml:space="preserve"> &amp;</w:t>
      </w:r>
      <w:r w:rsidRPr="00791B42">
        <w:rPr>
          <w:rFonts w:ascii="Arial" w:hAnsi="Arial" w:cs="Arial"/>
          <w:b/>
          <w:bCs/>
        </w:rPr>
        <w:t xml:space="preserve"> authoring functionality</w:t>
      </w:r>
    </w:p>
    <w:p w14:paraId="7CB602F0" w14:textId="099C6F71" w:rsidR="003C3C85" w:rsidRPr="001B1ED2" w:rsidRDefault="001B1ED2" w:rsidP="001B1ED2">
      <w:pPr>
        <w:ind w:left="357"/>
        <w:rPr>
          <w:rFonts w:ascii="Arial" w:hAnsi="Arial" w:cs="Arial"/>
          <w:b/>
          <w:bCs/>
        </w:rPr>
      </w:pPr>
      <w:r w:rsidRPr="00375A3D">
        <w:rPr>
          <w:rFonts w:ascii="Arial" w:hAnsi="Arial" w:cs="Arial"/>
        </w:rPr>
        <w:t>Learning is</w:t>
      </w:r>
      <w:r w:rsidR="00375A3D" w:rsidRPr="00375A3D">
        <w:rPr>
          <w:rFonts w:ascii="Arial" w:hAnsi="Arial" w:cs="Arial"/>
        </w:rPr>
        <w:t xml:space="preserve"> currently </w:t>
      </w:r>
      <w:r w:rsidRPr="00375A3D">
        <w:rPr>
          <w:rFonts w:ascii="Arial" w:hAnsi="Arial" w:cs="Arial"/>
        </w:rPr>
        <w:t>delivered and provided for internally</w:t>
      </w:r>
      <w:r w:rsidR="00375A3D" w:rsidRPr="00375A3D">
        <w:rPr>
          <w:rFonts w:ascii="Arial" w:hAnsi="Arial" w:cs="Arial"/>
        </w:rPr>
        <w:t xml:space="preserve"> across a variety </w:t>
      </w:r>
      <w:r w:rsidR="008C51E1" w:rsidRPr="00375A3D">
        <w:rPr>
          <w:rFonts w:ascii="Arial" w:eastAsia="Arial" w:hAnsi="Arial" w:cs="Arial"/>
        </w:rPr>
        <w:t>of learning topics</w:t>
      </w:r>
      <w:r w:rsidR="00375A3D">
        <w:rPr>
          <w:rFonts w:ascii="Arial" w:eastAsia="Arial" w:hAnsi="Arial" w:cs="Arial"/>
        </w:rPr>
        <w:t xml:space="preserve"> and via different parts of the business</w:t>
      </w:r>
      <w:r w:rsidR="00375A3D" w:rsidRPr="00375A3D">
        <w:rPr>
          <w:rFonts w:ascii="Arial" w:eastAsia="Arial" w:hAnsi="Arial" w:cs="Arial"/>
        </w:rPr>
        <w:t xml:space="preserve">.  In the future </w:t>
      </w:r>
      <w:r w:rsidR="00B64309" w:rsidRPr="00375A3D">
        <w:rPr>
          <w:rFonts w:ascii="Arial" w:eastAsia="Arial" w:hAnsi="Arial" w:cs="Arial"/>
        </w:rPr>
        <w:t>we would like to be able to deliver in a variety of format</w:t>
      </w:r>
      <w:r w:rsidR="00676F00" w:rsidRPr="00375A3D">
        <w:rPr>
          <w:rFonts w:ascii="Arial" w:eastAsia="Arial" w:hAnsi="Arial" w:cs="Arial"/>
        </w:rPr>
        <w:t>s</w:t>
      </w:r>
      <w:r w:rsidR="004759C2">
        <w:rPr>
          <w:rFonts w:ascii="Arial" w:eastAsia="Arial" w:hAnsi="Arial" w:cs="Arial"/>
        </w:rPr>
        <w:t xml:space="preserve"> learning on topics ranging</w:t>
      </w:r>
      <w:r w:rsidR="008C51E1" w:rsidRPr="00375A3D">
        <w:rPr>
          <w:rFonts w:ascii="Arial" w:eastAsia="Arial" w:hAnsi="Arial" w:cs="Arial"/>
        </w:rPr>
        <w:t xml:space="preserve"> from initial Induction, personal development, technical training programmes</w:t>
      </w:r>
      <w:r w:rsidR="00B64309" w:rsidRPr="00375A3D">
        <w:rPr>
          <w:rFonts w:ascii="Arial" w:eastAsia="Arial" w:hAnsi="Arial" w:cs="Arial"/>
        </w:rPr>
        <w:t xml:space="preserve"> and</w:t>
      </w:r>
      <w:r w:rsidR="008C51E1" w:rsidRPr="00375A3D">
        <w:rPr>
          <w:rFonts w:ascii="Arial" w:eastAsia="Arial" w:hAnsi="Arial" w:cs="Arial"/>
        </w:rPr>
        <w:t xml:space="preserve"> specific capability building through to completion of continuous professional development offerings as well as elements of </w:t>
      </w:r>
      <w:r w:rsidR="001268D6" w:rsidRPr="00375A3D">
        <w:rPr>
          <w:rFonts w:ascii="Arial" w:eastAsia="Arial" w:hAnsi="Arial" w:cs="Arial"/>
        </w:rPr>
        <w:t xml:space="preserve">agency specific </w:t>
      </w:r>
      <w:r w:rsidR="008C51E1" w:rsidRPr="00375A3D">
        <w:rPr>
          <w:rFonts w:ascii="Arial" w:eastAsia="Arial" w:hAnsi="Arial" w:cs="Arial"/>
        </w:rPr>
        <w:t>compliance learning.</w:t>
      </w:r>
      <w:r w:rsidR="00676F00" w:rsidRPr="00375A3D">
        <w:rPr>
          <w:rFonts w:ascii="Arial" w:eastAsia="Arial" w:hAnsi="Arial" w:cs="Arial"/>
        </w:rPr>
        <w:t xml:space="preserve">  We would anticipate the system would </w:t>
      </w:r>
      <w:r w:rsidR="00617B39" w:rsidRPr="00375A3D">
        <w:rPr>
          <w:rFonts w:ascii="Arial" w:eastAsia="Arial" w:hAnsi="Arial" w:cs="Arial"/>
        </w:rPr>
        <w:t xml:space="preserve">offer an authoring tool </w:t>
      </w:r>
      <w:r w:rsidR="00ED7946" w:rsidRPr="00375A3D">
        <w:rPr>
          <w:rFonts w:ascii="Arial" w:eastAsia="Arial" w:hAnsi="Arial" w:cs="Arial"/>
        </w:rPr>
        <w:t xml:space="preserve">to </w:t>
      </w:r>
      <w:r w:rsidR="00676F00" w:rsidRPr="00375A3D">
        <w:rPr>
          <w:rFonts w:ascii="Arial" w:eastAsia="Arial" w:hAnsi="Arial" w:cs="Arial"/>
        </w:rPr>
        <w:t>enable</w:t>
      </w:r>
      <w:r w:rsidR="00944731" w:rsidRPr="00375A3D">
        <w:rPr>
          <w:rFonts w:ascii="Arial" w:eastAsia="Arial" w:hAnsi="Arial" w:cs="Arial"/>
        </w:rPr>
        <w:t xml:space="preserve"> internal</w:t>
      </w:r>
      <w:r w:rsidR="00944731">
        <w:rPr>
          <w:rFonts w:ascii="Arial" w:eastAsia="Arial" w:hAnsi="Arial" w:cs="Arial"/>
        </w:rPr>
        <w:t xml:space="preserve"> designers </w:t>
      </w:r>
      <w:r w:rsidR="00ED7946">
        <w:rPr>
          <w:rFonts w:ascii="Arial" w:eastAsia="Arial" w:hAnsi="Arial" w:cs="Arial"/>
        </w:rPr>
        <w:t xml:space="preserve">to create </w:t>
      </w:r>
      <w:r w:rsidR="00A372B3">
        <w:rPr>
          <w:rFonts w:ascii="Arial" w:eastAsia="Arial" w:hAnsi="Arial" w:cs="Arial"/>
        </w:rPr>
        <w:t xml:space="preserve">a variety of engaging and effective </w:t>
      </w:r>
      <w:r w:rsidR="00D751D1">
        <w:rPr>
          <w:rFonts w:ascii="Arial" w:eastAsia="Arial" w:hAnsi="Arial" w:cs="Arial"/>
        </w:rPr>
        <w:t>learning content</w:t>
      </w:r>
      <w:r w:rsidR="000643AC">
        <w:rPr>
          <w:rFonts w:ascii="Arial" w:eastAsia="Arial" w:hAnsi="Arial" w:cs="Arial"/>
        </w:rPr>
        <w:t xml:space="preserve"> in different delivery formats (in person/virtual </w:t>
      </w:r>
      <w:r w:rsidR="00C365FF">
        <w:rPr>
          <w:rFonts w:ascii="Arial" w:eastAsia="Arial" w:hAnsi="Arial" w:cs="Arial"/>
        </w:rPr>
        <w:t xml:space="preserve">interactive </w:t>
      </w:r>
      <w:r w:rsidR="000643AC">
        <w:rPr>
          <w:rFonts w:ascii="Arial" w:eastAsia="Arial" w:hAnsi="Arial" w:cs="Arial"/>
        </w:rPr>
        <w:t>classroom sessions</w:t>
      </w:r>
      <w:r w:rsidR="00D40828">
        <w:rPr>
          <w:rFonts w:ascii="Arial" w:eastAsia="Arial" w:hAnsi="Arial" w:cs="Arial"/>
        </w:rPr>
        <w:t xml:space="preserve">, </w:t>
      </w:r>
      <w:proofErr w:type="spellStart"/>
      <w:r w:rsidR="00D40828">
        <w:rPr>
          <w:rFonts w:ascii="Arial" w:eastAsia="Arial" w:hAnsi="Arial" w:cs="Arial"/>
        </w:rPr>
        <w:t>elearning</w:t>
      </w:r>
      <w:proofErr w:type="spellEnd"/>
      <w:r w:rsidR="00050885">
        <w:rPr>
          <w:rFonts w:ascii="Arial" w:eastAsia="Arial" w:hAnsi="Arial" w:cs="Arial"/>
        </w:rPr>
        <w:t>, resource libraries, case studies</w:t>
      </w:r>
      <w:r w:rsidR="00163B0B">
        <w:rPr>
          <w:rFonts w:ascii="Arial" w:eastAsia="Arial" w:hAnsi="Arial" w:cs="Arial"/>
        </w:rPr>
        <w:t>, SCOR</w:t>
      </w:r>
      <w:r w:rsidR="003D783E">
        <w:rPr>
          <w:rFonts w:ascii="Arial" w:eastAsia="Arial" w:hAnsi="Arial" w:cs="Arial"/>
        </w:rPr>
        <w:t>M files</w:t>
      </w:r>
      <w:r w:rsidR="000643AC">
        <w:rPr>
          <w:rFonts w:ascii="Arial" w:eastAsia="Arial" w:hAnsi="Arial" w:cs="Arial"/>
        </w:rPr>
        <w:t>)</w:t>
      </w:r>
      <w:r w:rsidR="00050885">
        <w:rPr>
          <w:rFonts w:ascii="Arial" w:eastAsia="Arial" w:hAnsi="Arial" w:cs="Arial"/>
        </w:rPr>
        <w:t>.</w:t>
      </w:r>
      <w:r w:rsidR="000A0E95">
        <w:rPr>
          <w:rFonts w:ascii="Arial" w:eastAsia="Arial" w:hAnsi="Arial" w:cs="Arial"/>
        </w:rPr>
        <w:t xml:space="preserve">  The system should be capable of hosting Videos, recordings Presentations, Powerpoint</w:t>
      </w:r>
      <w:r w:rsidR="0069614F">
        <w:rPr>
          <w:rFonts w:ascii="Arial" w:eastAsia="Arial" w:hAnsi="Arial" w:cs="Arial"/>
        </w:rPr>
        <w:t xml:space="preserve">, </w:t>
      </w:r>
      <w:r w:rsidR="00FB7D7A">
        <w:rPr>
          <w:rFonts w:ascii="Arial" w:eastAsia="Arial" w:hAnsi="Arial" w:cs="Arial"/>
        </w:rPr>
        <w:t>a</w:t>
      </w:r>
      <w:r w:rsidR="0069614F">
        <w:rPr>
          <w:rFonts w:ascii="Arial" w:eastAsia="Arial" w:hAnsi="Arial" w:cs="Arial"/>
        </w:rPr>
        <w:t>nimations as well as enabling links to other external learning resources.</w:t>
      </w:r>
      <w:r w:rsidR="000A0E95">
        <w:rPr>
          <w:rFonts w:ascii="Arial" w:eastAsia="Arial" w:hAnsi="Arial" w:cs="Arial"/>
        </w:rPr>
        <w:t xml:space="preserve"> </w:t>
      </w:r>
      <w:r w:rsidR="009F0922">
        <w:rPr>
          <w:rFonts w:ascii="Arial" w:eastAsia="Arial" w:hAnsi="Arial" w:cs="Arial"/>
        </w:rPr>
        <w:t xml:space="preserve"> </w:t>
      </w:r>
      <w:r w:rsidR="00676F00">
        <w:rPr>
          <w:rFonts w:ascii="Arial" w:eastAsia="Arial" w:hAnsi="Arial" w:cs="Arial"/>
        </w:rPr>
        <w:t xml:space="preserve"> </w:t>
      </w:r>
      <w:r w:rsidR="00E409B5">
        <w:rPr>
          <w:rFonts w:ascii="Arial" w:eastAsia="Arial" w:hAnsi="Arial" w:cs="Arial"/>
        </w:rPr>
        <w:t xml:space="preserve">The creation of content will be limited </w:t>
      </w:r>
      <w:r w:rsidR="0076328A">
        <w:rPr>
          <w:rFonts w:ascii="Arial" w:eastAsia="Arial" w:hAnsi="Arial" w:cs="Arial"/>
        </w:rPr>
        <w:t xml:space="preserve">to </w:t>
      </w:r>
      <w:r w:rsidR="00E409B5">
        <w:rPr>
          <w:rFonts w:ascii="Arial" w:eastAsia="Arial" w:hAnsi="Arial" w:cs="Arial"/>
        </w:rPr>
        <w:t>authorised users and provide for</w:t>
      </w:r>
      <w:r w:rsidR="0076328A">
        <w:rPr>
          <w:rFonts w:ascii="Arial" w:eastAsia="Arial" w:hAnsi="Arial" w:cs="Arial"/>
        </w:rPr>
        <w:t xml:space="preserve"> defined </w:t>
      </w:r>
      <w:r w:rsidR="00A52311">
        <w:rPr>
          <w:rFonts w:ascii="Arial" w:eastAsia="Arial" w:hAnsi="Arial" w:cs="Arial"/>
        </w:rPr>
        <w:t>audit trails and version control</w:t>
      </w:r>
      <w:r w:rsidR="00533C54">
        <w:rPr>
          <w:rFonts w:ascii="Arial" w:eastAsia="Arial" w:hAnsi="Arial" w:cs="Arial"/>
        </w:rPr>
        <w:t xml:space="preserve">s, but </w:t>
      </w:r>
      <w:r w:rsidR="00E64FA3">
        <w:rPr>
          <w:rFonts w:ascii="Arial" w:eastAsia="Arial" w:hAnsi="Arial" w:cs="Arial"/>
        </w:rPr>
        <w:t xml:space="preserve">all learners (with appropriate </w:t>
      </w:r>
      <w:r w:rsidR="00A53DF8">
        <w:rPr>
          <w:rFonts w:ascii="Arial" w:eastAsia="Arial" w:hAnsi="Arial" w:cs="Arial"/>
        </w:rPr>
        <w:t>authorisation)</w:t>
      </w:r>
      <w:r w:rsidR="00E64FA3">
        <w:rPr>
          <w:rFonts w:ascii="Arial" w:eastAsia="Arial" w:hAnsi="Arial" w:cs="Arial"/>
        </w:rPr>
        <w:t xml:space="preserve"> should be able to recommend or share </w:t>
      </w:r>
      <w:r w:rsidR="000818D8">
        <w:rPr>
          <w:rFonts w:ascii="Arial" w:eastAsia="Arial" w:hAnsi="Arial" w:cs="Arial"/>
        </w:rPr>
        <w:t xml:space="preserve">relevant learning. </w:t>
      </w:r>
    </w:p>
    <w:p w14:paraId="05FFFCF6" w14:textId="77777777" w:rsidR="003C3C85" w:rsidRDefault="003C3C85" w:rsidP="00B4604C">
      <w:pPr>
        <w:ind w:left="357"/>
        <w:rPr>
          <w:rFonts w:ascii="Arial" w:eastAsia="Arial" w:hAnsi="Arial" w:cs="Arial"/>
        </w:rPr>
      </w:pPr>
    </w:p>
    <w:p w14:paraId="3ED53972" w14:textId="622BC5CA" w:rsidR="002A7BBA" w:rsidRPr="0099580F" w:rsidRDefault="002A7BBA" w:rsidP="00B4604C">
      <w:pPr>
        <w:ind w:left="357"/>
        <w:rPr>
          <w:rFonts w:ascii="Arial" w:eastAsia="Arial" w:hAnsi="Arial" w:cs="Arial"/>
          <w:b/>
          <w:bCs/>
        </w:rPr>
      </w:pPr>
      <w:r w:rsidRPr="0099580F">
        <w:rPr>
          <w:rFonts w:ascii="Arial" w:eastAsia="Arial" w:hAnsi="Arial" w:cs="Arial"/>
          <w:b/>
          <w:bCs/>
        </w:rPr>
        <w:t xml:space="preserve">Collaboration &amp; </w:t>
      </w:r>
      <w:r w:rsidR="0099580F" w:rsidRPr="0099580F">
        <w:rPr>
          <w:rFonts w:ascii="Arial" w:eastAsia="Arial" w:hAnsi="Arial" w:cs="Arial"/>
          <w:b/>
          <w:bCs/>
        </w:rPr>
        <w:t>c</w:t>
      </w:r>
      <w:r w:rsidRPr="0099580F">
        <w:rPr>
          <w:rFonts w:ascii="Arial" w:eastAsia="Arial" w:hAnsi="Arial" w:cs="Arial"/>
          <w:b/>
          <w:bCs/>
        </w:rPr>
        <w:t xml:space="preserve">oaching spaces </w:t>
      </w:r>
    </w:p>
    <w:p w14:paraId="48039C0F" w14:textId="77777777" w:rsidR="005C1866" w:rsidRDefault="003C3C85" w:rsidP="00B4604C">
      <w:pPr>
        <w:ind w:left="357"/>
        <w:rPr>
          <w:rFonts w:ascii="Arial" w:eastAsia="Arial" w:hAnsi="Arial" w:cs="Arial"/>
        </w:rPr>
      </w:pPr>
      <w:r>
        <w:rPr>
          <w:rFonts w:ascii="Arial" w:eastAsia="Arial" w:hAnsi="Arial" w:cs="Arial"/>
        </w:rPr>
        <w:t xml:space="preserve">The system should also offer collaboration spaces, where learners can share </w:t>
      </w:r>
      <w:r w:rsidR="007B5922">
        <w:rPr>
          <w:rFonts w:ascii="Arial" w:eastAsia="Arial" w:hAnsi="Arial" w:cs="Arial"/>
        </w:rPr>
        <w:t>thoughts</w:t>
      </w:r>
      <w:r w:rsidR="00153E43">
        <w:rPr>
          <w:rFonts w:ascii="Arial" w:eastAsia="Arial" w:hAnsi="Arial" w:cs="Arial"/>
        </w:rPr>
        <w:t xml:space="preserve"> with others</w:t>
      </w:r>
      <w:r w:rsidR="007B5922">
        <w:rPr>
          <w:rFonts w:ascii="Arial" w:eastAsia="Arial" w:hAnsi="Arial" w:cs="Arial"/>
        </w:rPr>
        <w:t xml:space="preserve">, offer </w:t>
      </w:r>
      <w:r w:rsidR="00153E43">
        <w:rPr>
          <w:rFonts w:ascii="Arial" w:eastAsia="Arial" w:hAnsi="Arial" w:cs="Arial"/>
        </w:rPr>
        <w:t>insights/experience</w:t>
      </w:r>
      <w:r w:rsidR="007B5922">
        <w:rPr>
          <w:rFonts w:ascii="Arial" w:eastAsia="Arial" w:hAnsi="Arial" w:cs="Arial"/>
        </w:rPr>
        <w:t xml:space="preserve"> </w:t>
      </w:r>
      <w:r w:rsidR="00153E43">
        <w:rPr>
          <w:rFonts w:ascii="Arial" w:eastAsia="Arial" w:hAnsi="Arial" w:cs="Arial"/>
        </w:rPr>
        <w:t xml:space="preserve">and </w:t>
      </w:r>
      <w:r w:rsidR="007B5922">
        <w:rPr>
          <w:rFonts w:ascii="Arial" w:eastAsia="Arial" w:hAnsi="Arial" w:cs="Arial"/>
        </w:rPr>
        <w:t xml:space="preserve">upload and </w:t>
      </w:r>
      <w:proofErr w:type="gramStart"/>
      <w:r w:rsidR="007B5922">
        <w:rPr>
          <w:rFonts w:ascii="Arial" w:eastAsia="Arial" w:hAnsi="Arial" w:cs="Arial"/>
        </w:rPr>
        <w:t>sign post</w:t>
      </w:r>
      <w:proofErr w:type="gramEnd"/>
      <w:r w:rsidR="007B5922">
        <w:rPr>
          <w:rFonts w:ascii="Arial" w:eastAsia="Arial" w:hAnsi="Arial" w:cs="Arial"/>
        </w:rPr>
        <w:t xml:space="preserve"> (with appropriate permissions) to</w:t>
      </w:r>
      <w:r w:rsidR="00153E43">
        <w:rPr>
          <w:rFonts w:ascii="Arial" w:eastAsia="Arial" w:hAnsi="Arial" w:cs="Arial"/>
        </w:rPr>
        <w:t xml:space="preserve"> other relevant content.</w:t>
      </w:r>
    </w:p>
    <w:p w14:paraId="44295220" w14:textId="77777777" w:rsidR="005C1866" w:rsidRDefault="005C1866" w:rsidP="00B4604C">
      <w:pPr>
        <w:ind w:left="357"/>
        <w:rPr>
          <w:rFonts w:ascii="Arial" w:eastAsia="Arial" w:hAnsi="Arial" w:cs="Arial"/>
        </w:rPr>
      </w:pPr>
    </w:p>
    <w:p w14:paraId="5A64D09C" w14:textId="22CA78B2" w:rsidR="008C51E1" w:rsidRDefault="00387C88" w:rsidP="00B4604C">
      <w:pPr>
        <w:ind w:left="357"/>
        <w:rPr>
          <w:rFonts w:ascii="Arial" w:eastAsia="Arial" w:hAnsi="Arial" w:cs="Arial"/>
        </w:rPr>
      </w:pPr>
      <w:r>
        <w:rPr>
          <w:rFonts w:ascii="Arial" w:eastAsia="Arial" w:hAnsi="Arial" w:cs="Arial"/>
        </w:rPr>
        <w:t>Ideally be capable of supporting a</w:t>
      </w:r>
      <w:r w:rsidR="005C1866">
        <w:rPr>
          <w:rFonts w:ascii="Arial" w:eastAsia="Arial" w:hAnsi="Arial" w:cs="Arial"/>
        </w:rPr>
        <w:t xml:space="preserve"> coaching platform functionality where coaches and </w:t>
      </w:r>
      <w:proofErr w:type="spellStart"/>
      <w:r w:rsidR="005C1866">
        <w:rPr>
          <w:rFonts w:ascii="Arial" w:eastAsia="Arial" w:hAnsi="Arial" w:cs="Arial"/>
        </w:rPr>
        <w:t>coache</w:t>
      </w:r>
      <w:r w:rsidR="002035A0">
        <w:rPr>
          <w:rFonts w:ascii="Arial" w:eastAsia="Arial" w:hAnsi="Arial" w:cs="Arial"/>
        </w:rPr>
        <w:t>e</w:t>
      </w:r>
      <w:r w:rsidR="005C1866">
        <w:rPr>
          <w:rFonts w:ascii="Arial" w:eastAsia="Arial" w:hAnsi="Arial" w:cs="Arial"/>
        </w:rPr>
        <w:t>s</w:t>
      </w:r>
      <w:proofErr w:type="spellEnd"/>
      <w:r w:rsidR="005C1866">
        <w:rPr>
          <w:rFonts w:ascii="Arial" w:eastAsia="Arial" w:hAnsi="Arial" w:cs="Arial"/>
        </w:rPr>
        <w:t xml:space="preserve"> could match </w:t>
      </w:r>
      <w:r w:rsidR="00FB7D7A">
        <w:rPr>
          <w:rFonts w:ascii="Arial" w:eastAsia="Arial" w:hAnsi="Arial" w:cs="Arial"/>
        </w:rPr>
        <w:t xml:space="preserve">and </w:t>
      </w:r>
      <w:r w:rsidR="002035A0">
        <w:rPr>
          <w:rFonts w:ascii="Arial" w:eastAsia="Arial" w:hAnsi="Arial" w:cs="Arial"/>
        </w:rPr>
        <w:t xml:space="preserve">schedule sessions </w:t>
      </w:r>
      <w:r w:rsidR="005C1866">
        <w:rPr>
          <w:rFonts w:ascii="Arial" w:eastAsia="Arial" w:hAnsi="Arial" w:cs="Arial"/>
        </w:rPr>
        <w:t xml:space="preserve">with each other would be desirable. </w:t>
      </w:r>
      <w:r w:rsidR="007B5922">
        <w:rPr>
          <w:rFonts w:ascii="Arial" w:eastAsia="Arial" w:hAnsi="Arial" w:cs="Arial"/>
        </w:rPr>
        <w:t xml:space="preserve">  </w:t>
      </w:r>
      <w:r w:rsidR="003C3C85">
        <w:rPr>
          <w:rFonts w:ascii="Arial" w:eastAsia="Arial" w:hAnsi="Arial" w:cs="Arial"/>
        </w:rPr>
        <w:t xml:space="preserve"> </w:t>
      </w:r>
      <w:r w:rsidR="00B64309">
        <w:rPr>
          <w:rFonts w:ascii="Arial" w:eastAsia="Arial" w:hAnsi="Arial" w:cs="Arial"/>
        </w:rPr>
        <w:t xml:space="preserve"> </w:t>
      </w:r>
      <w:r w:rsidR="008C51E1">
        <w:rPr>
          <w:rFonts w:ascii="Arial" w:eastAsia="Arial" w:hAnsi="Arial" w:cs="Arial"/>
        </w:rPr>
        <w:t xml:space="preserve"> </w:t>
      </w:r>
    </w:p>
    <w:p w14:paraId="68A3D752" w14:textId="77777777" w:rsidR="008C51E1" w:rsidRDefault="008C51E1" w:rsidP="00B4604C">
      <w:pPr>
        <w:ind w:left="357"/>
        <w:rPr>
          <w:rFonts w:ascii="Arial" w:eastAsia="Arial" w:hAnsi="Arial" w:cs="Arial"/>
        </w:rPr>
      </w:pPr>
    </w:p>
    <w:p w14:paraId="0671E59F" w14:textId="6542BFBC" w:rsidR="006C3565" w:rsidRDefault="00050885" w:rsidP="00B4604C">
      <w:pPr>
        <w:ind w:left="357"/>
        <w:rPr>
          <w:rFonts w:ascii="Arial" w:eastAsia="Arial" w:hAnsi="Arial" w:cs="Arial"/>
          <w:b/>
          <w:bCs/>
        </w:rPr>
      </w:pPr>
      <w:r w:rsidRPr="00E060B8">
        <w:rPr>
          <w:rFonts w:ascii="Arial" w:eastAsia="Arial" w:hAnsi="Arial" w:cs="Arial"/>
          <w:b/>
          <w:bCs/>
        </w:rPr>
        <w:t>Planning</w:t>
      </w:r>
      <w:r w:rsidR="00105D61">
        <w:rPr>
          <w:rFonts w:ascii="Arial" w:eastAsia="Arial" w:hAnsi="Arial" w:cs="Arial"/>
          <w:b/>
          <w:bCs/>
        </w:rPr>
        <w:t xml:space="preserve">, </w:t>
      </w:r>
      <w:r w:rsidR="006C3565">
        <w:rPr>
          <w:rFonts w:ascii="Arial" w:eastAsia="Arial" w:hAnsi="Arial" w:cs="Arial"/>
          <w:b/>
          <w:bCs/>
        </w:rPr>
        <w:t>recording</w:t>
      </w:r>
      <w:r w:rsidR="00105D61">
        <w:rPr>
          <w:rFonts w:ascii="Arial" w:eastAsia="Arial" w:hAnsi="Arial" w:cs="Arial"/>
          <w:b/>
          <w:bCs/>
        </w:rPr>
        <w:t xml:space="preserve"> and tracking</w:t>
      </w:r>
      <w:r w:rsidR="002A7BBA">
        <w:rPr>
          <w:rFonts w:ascii="Arial" w:eastAsia="Arial" w:hAnsi="Arial" w:cs="Arial"/>
          <w:b/>
          <w:bCs/>
        </w:rPr>
        <w:t xml:space="preserve">- </w:t>
      </w:r>
      <w:r w:rsidR="006C3565">
        <w:rPr>
          <w:rFonts w:ascii="Arial" w:eastAsia="Arial" w:hAnsi="Arial" w:cs="Arial"/>
          <w:b/>
          <w:bCs/>
        </w:rPr>
        <w:t xml:space="preserve"> </w:t>
      </w:r>
      <w:r w:rsidR="002F53C9">
        <w:rPr>
          <w:rFonts w:ascii="Arial" w:eastAsia="Arial" w:hAnsi="Arial" w:cs="Arial"/>
          <w:b/>
          <w:bCs/>
        </w:rPr>
        <w:t>individual le</w:t>
      </w:r>
      <w:r w:rsidR="003D7BF8">
        <w:rPr>
          <w:rFonts w:ascii="Arial" w:eastAsia="Arial" w:hAnsi="Arial" w:cs="Arial"/>
          <w:b/>
          <w:bCs/>
        </w:rPr>
        <w:t>a</w:t>
      </w:r>
      <w:r w:rsidR="002F53C9">
        <w:rPr>
          <w:rFonts w:ascii="Arial" w:eastAsia="Arial" w:hAnsi="Arial" w:cs="Arial"/>
          <w:b/>
          <w:bCs/>
        </w:rPr>
        <w:t>rning</w:t>
      </w:r>
    </w:p>
    <w:p w14:paraId="649724D2" w14:textId="3D76BEEA" w:rsidR="003D7BF8" w:rsidRPr="006C3565" w:rsidRDefault="006C3565" w:rsidP="00B4604C">
      <w:pPr>
        <w:ind w:left="357"/>
        <w:rPr>
          <w:rFonts w:ascii="Arial" w:eastAsia="Arial" w:hAnsi="Arial" w:cs="Arial"/>
        </w:rPr>
      </w:pPr>
      <w:r>
        <w:rPr>
          <w:rFonts w:ascii="Arial" w:eastAsia="Arial" w:hAnsi="Arial" w:cs="Arial"/>
        </w:rPr>
        <w:t>The s</w:t>
      </w:r>
      <w:r w:rsidR="00105D61">
        <w:rPr>
          <w:rFonts w:ascii="Arial" w:eastAsia="Arial" w:hAnsi="Arial" w:cs="Arial"/>
        </w:rPr>
        <w:t>olution</w:t>
      </w:r>
      <w:r>
        <w:rPr>
          <w:rFonts w:ascii="Arial" w:eastAsia="Arial" w:hAnsi="Arial" w:cs="Arial"/>
        </w:rPr>
        <w:t xml:space="preserve"> should provide </w:t>
      </w:r>
      <w:r w:rsidR="00105D61">
        <w:rPr>
          <w:rFonts w:ascii="Arial" w:eastAsia="Arial" w:hAnsi="Arial" w:cs="Arial"/>
        </w:rPr>
        <w:t>for an individual learner record</w:t>
      </w:r>
      <w:r w:rsidR="002035A0">
        <w:rPr>
          <w:rFonts w:ascii="Arial" w:eastAsia="Arial" w:hAnsi="Arial" w:cs="Arial"/>
        </w:rPr>
        <w:t>:</w:t>
      </w:r>
      <w:r w:rsidR="00105D61">
        <w:rPr>
          <w:rFonts w:ascii="Arial" w:eastAsia="Arial" w:hAnsi="Arial" w:cs="Arial"/>
        </w:rPr>
        <w:t xml:space="preserve"> a space where</w:t>
      </w:r>
      <w:r w:rsidR="00F10834">
        <w:rPr>
          <w:rFonts w:ascii="Arial" w:eastAsia="Arial" w:hAnsi="Arial" w:cs="Arial"/>
        </w:rPr>
        <w:t>, in addition to any corporate assigned learning,</w:t>
      </w:r>
      <w:r w:rsidR="00105D61">
        <w:rPr>
          <w:rFonts w:ascii="Arial" w:eastAsia="Arial" w:hAnsi="Arial" w:cs="Arial"/>
        </w:rPr>
        <w:t xml:space="preserve"> </w:t>
      </w:r>
      <w:r w:rsidR="000524AC">
        <w:rPr>
          <w:rFonts w:ascii="Arial" w:eastAsia="Arial" w:hAnsi="Arial" w:cs="Arial"/>
        </w:rPr>
        <w:t xml:space="preserve">individual </w:t>
      </w:r>
      <w:r w:rsidR="00105D61">
        <w:rPr>
          <w:rFonts w:ascii="Arial" w:eastAsia="Arial" w:hAnsi="Arial" w:cs="Arial"/>
        </w:rPr>
        <w:t xml:space="preserve">identified learning needs can be </w:t>
      </w:r>
      <w:r w:rsidR="000D783B">
        <w:rPr>
          <w:rFonts w:ascii="Arial" w:eastAsia="Arial" w:hAnsi="Arial" w:cs="Arial"/>
        </w:rPr>
        <w:lastRenderedPageBreak/>
        <w:t>captured</w:t>
      </w:r>
      <w:r w:rsidR="002D4E9E">
        <w:rPr>
          <w:rFonts w:ascii="Arial" w:eastAsia="Arial" w:hAnsi="Arial" w:cs="Arial"/>
        </w:rPr>
        <w:t xml:space="preserve">, approved </w:t>
      </w:r>
      <w:r w:rsidR="000D783B">
        <w:rPr>
          <w:rFonts w:ascii="Arial" w:eastAsia="Arial" w:hAnsi="Arial" w:cs="Arial"/>
        </w:rPr>
        <w:t>and progress to completion be viewed</w:t>
      </w:r>
      <w:r w:rsidR="00AA566A">
        <w:rPr>
          <w:rFonts w:ascii="Arial" w:eastAsia="Arial" w:hAnsi="Arial" w:cs="Arial"/>
        </w:rPr>
        <w:t xml:space="preserve">, approved </w:t>
      </w:r>
      <w:r w:rsidR="000D783B">
        <w:rPr>
          <w:rFonts w:ascii="Arial" w:eastAsia="Arial" w:hAnsi="Arial" w:cs="Arial"/>
        </w:rPr>
        <w:t>and tracked by both the individual and their line manager</w:t>
      </w:r>
      <w:r w:rsidR="000524AC">
        <w:rPr>
          <w:rFonts w:ascii="Arial" w:eastAsia="Arial" w:hAnsi="Arial" w:cs="Arial"/>
        </w:rPr>
        <w:t xml:space="preserve">. The </w:t>
      </w:r>
      <w:r w:rsidR="00FC363B">
        <w:rPr>
          <w:rFonts w:ascii="Arial" w:eastAsia="Arial" w:hAnsi="Arial" w:cs="Arial"/>
        </w:rPr>
        <w:t xml:space="preserve">system </w:t>
      </w:r>
      <w:r w:rsidR="000524AC">
        <w:rPr>
          <w:rFonts w:ascii="Arial" w:eastAsia="Arial" w:hAnsi="Arial" w:cs="Arial"/>
        </w:rPr>
        <w:t xml:space="preserve">should allow </w:t>
      </w:r>
      <w:r w:rsidR="00FC363B">
        <w:rPr>
          <w:rFonts w:ascii="Arial" w:eastAsia="Arial" w:hAnsi="Arial" w:cs="Arial"/>
        </w:rPr>
        <w:t>the individual to upload</w:t>
      </w:r>
      <w:r w:rsidR="00DF4C3F">
        <w:rPr>
          <w:rFonts w:ascii="Arial" w:eastAsia="Arial" w:hAnsi="Arial" w:cs="Arial"/>
        </w:rPr>
        <w:t xml:space="preserve"> relevant </w:t>
      </w:r>
      <w:r w:rsidR="002035A0">
        <w:rPr>
          <w:rFonts w:ascii="Arial" w:eastAsia="Arial" w:hAnsi="Arial" w:cs="Arial"/>
        </w:rPr>
        <w:t xml:space="preserve">external </w:t>
      </w:r>
      <w:r w:rsidR="00DF4C3F">
        <w:rPr>
          <w:rFonts w:ascii="Arial" w:eastAsia="Arial" w:hAnsi="Arial" w:cs="Arial"/>
        </w:rPr>
        <w:t>certificates and qualification details</w:t>
      </w:r>
      <w:r w:rsidR="00FC363B">
        <w:rPr>
          <w:rFonts w:ascii="Arial" w:eastAsia="Arial" w:hAnsi="Arial" w:cs="Arial"/>
        </w:rPr>
        <w:t xml:space="preserve"> (where relevant) on completion of the learning. </w:t>
      </w:r>
      <w:bookmarkStart w:id="7" w:name="_Hlk214029901"/>
      <w:r w:rsidR="00F30526">
        <w:rPr>
          <w:rFonts w:ascii="Arial" w:eastAsia="Arial" w:hAnsi="Arial" w:cs="Arial"/>
        </w:rPr>
        <w:t xml:space="preserve">Some areas of our agency need to demonstrate compliance  with relevant ISO </w:t>
      </w:r>
      <w:r w:rsidR="001E698F">
        <w:rPr>
          <w:rFonts w:ascii="Arial" w:eastAsia="Arial" w:hAnsi="Arial" w:cs="Arial"/>
        </w:rPr>
        <w:t>9001 s</w:t>
      </w:r>
      <w:r w:rsidR="00F30526">
        <w:rPr>
          <w:rFonts w:ascii="Arial" w:eastAsia="Arial" w:hAnsi="Arial" w:cs="Arial"/>
        </w:rPr>
        <w:t>tandards in relation to training records and validation of training/competency, so the functionality for Line Managers to be able to validate a team member’s learning is also important.</w:t>
      </w:r>
      <w:r w:rsidR="00105D61">
        <w:rPr>
          <w:rFonts w:ascii="Arial" w:eastAsia="Arial" w:hAnsi="Arial" w:cs="Arial"/>
        </w:rPr>
        <w:t xml:space="preserve"> </w:t>
      </w:r>
      <w:bookmarkEnd w:id="7"/>
    </w:p>
    <w:p w14:paraId="7D1AB4B0" w14:textId="77777777" w:rsidR="003D7BF8" w:rsidRDefault="003D7BF8" w:rsidP="00B4604C">
      <w:pPr>
        <w:ind w:left="357"/>
        <w:rPr>
          <w:rFonts w:ascii="Arial" w:eastAsia="Arial" w:hAnsi="Arial" w:cs="Arial"/>
          <w:b/>
          <w:bCs/>
        </w:rPr>
      </w:pPr>
    </w:p>
    <w:p w14:paraId="3BD734BF" w14:textId="40C51DC5" w:rsidR="008C51E1" w:rsidRPr="00E060B8" w:rsidRDefault="003D7BF8" w:rsidP="00B4604C">
      <w:pPr>
        <w:ind w:left="357"/>
        <w:rPr>
          <w:rFonts w:ascii="Arial" w:eastAsia="Arial" w:hAnsi="Arial" w:cs="Arial"/>
          <w:b/>
          <w:bCs/>
        </w:rPr>
      </w:pPr>
      <w:r>
        <w:rPr>
          <w:rFonts w:ascii="Arial" w:eastAsia="Arial" w:hAnsi="Arial" w:cs="Arial"/>
          <w:b/>
          <w:bCs/>
        </w:rPr>
        <w:t>Scheduling</w:t>
      </w:r>
      <w:r w:rsidR="008C0F50">
        <w:rPr>
          <w:rFonts w:ascii="Arial" w:eastAsia="Arial" w:hAnsi="Arial" w:cs="Arial"/>
          <w:b/>
          <w:bCs/>
        </w:rPr>
        <w:t>/administration</w:t>
      </w:r>
      <w:r>
        <w:rPr>
          <w:rFonts w:ascii="Arial" w:eastAsia="Arial" w:hAnsi="Arial" w:cs="Arial"/>
          <w:b/>
          <w:bCs/>
        </w:rPr>
        <w:t xml:space="preserve"> of learning </w:t>
      </w:r>
      <w:r w:rsidR="008C0F50">
        <w:rPr>
          <w:rFonts w:ascii="Arial" w:eastAsia="Arial" w:hAnsi="Arial" w:cs="Arial"/>
          <w:b/>
          <w:bCs/>
        </w:rPr>
        <w:t>- including</w:t>
      </w:r>
      <w:r w:rsidR="00E060B8">
        <w:rPr>
          <w:rFonts w:ascii="Arial" w:eastAsia="Arial" w:hAnsi="Arial" w:cs="Arial"/>
          <w:b/>
          <w:bCs/>
        </w:rPr>
        <w:t xml:space="preserve"> evaluation</w:t>
      </w:r>
    </w:p>
    <w:p w14:paraId="3B82ACB3" w14:textId="1BD25C9C" w:rsidR="00B459CA" w:rsidRDefault="00816BCA" w:rsidP="00B4604C">
      <w:pPr>
        <w:ind w:left="357"/>
        <w:rPr>
          <w:rFonts w:ascii="Arial" w:eastAsia="Arial" w:hAnsi="Arial" w:cs="Arial"/>
        </w:rPr>
      </w:pPr>
      <w:r>
        <w:rPr>
          <w:rFonts w:ascii="Arial" w:eastAsia="Arial" w:hAnsi="Arial" w:cs="Arial"/>
        </w:rPr>
        <w:t>Various parts of the agency deliver and schedule their own learning sessions</w:t>
      </w:r>
      <w:r w:rsidR="00D867BC">
        <w:rPr>
          <w:rFonts w:ascii="Arial" w:eastAsia="Arial" w:hAnsi="Arial" w:cs="Arial"/>
        </w:rPr>
        <w:t xml:space="preserve"> for agency colleagues</w:t>
      </w:r>
      <w:r w:rsidR="008E0B2A">
        <w:rPr>
          <w:rFonts w:ascii="Arial" w:eastAsia="Arial" w:hAnsi="Arial" w:cs="Arial"/>
        </w:rPr>
        <w:t xml:space="preserve"> (in person/</w:t>
      </w:r>
      <w:r w:rsidR="00CB25D4">
        <w:rPr>
          <w:rFonts w:ascii="Arial" w:eastAsia="Arial" w:hAnsi="Arial" w:cs="Arial"/>
        </w:rPr>
        <w:t>virtual via MS Teams)</w:t>
      </w:r>
      <w:r w:rsidR="008E0B2A">
        <w:rPr>
          <w:rFonts w:ascii="Arial" w:eastAsia="Arial" w:hAnsi="Arial" w:cs="Arial"/>
        </w:rPr>
        <w:t xml:space="preserve">.  The </w:t>
      </w:r>
      <w:r w:rsidR="001D352B">
        <w:rPr>
          <w:rFonts w:ascii="Arial" w:eastAsia="Arial" w:hAnsi="Arial" w:cs="Arial"/>
        </w:rPr>
        <w:t xml:space="preserve">solution </w:t>
      </w:r>
      <w:r w:rsidR="008E0B2A">
        <w:rPr>
          <w:rFonts w:ascii="Arial" w:eastAsia="Arial" w:hAnsi="Arial" w:cs="Arial"/>
        </w:rPr>
        <w:t xml:space="preserve">will therefore need to provide the functionality </w:t>
      </w:r>
      <w:r w:rsidR="00CC30B8">
        <w:rPr>
          <w:rFonts w:ascii="Arial" w:eastAsia="Arial" w:hAnsi="Arial" w:cs="Arial"/>
        </w:rPr>
        <w:t xml:space="preserve">for relevant </w:t>
      </w:r>
      <w:r w:rsidR="00CA3D6D">
        <w:rPr>
          <w:rFonts w:ascii="Arial" w:eastAsia="Arial" w:hAnsi="Arial" w:cs="Arial"/>
        </w:rPr>
        <w:t xml:space="preserve">administrator </w:t>
      </w:r>
      <w:r w:rsidR="00CC30B8">
        <w:rPr>
          <w:rFonts w:ascii="Arial" w:eastAsia="Arial" w:hAnsi="Arial" w:cs="Arial"/>
        </w:rPr>
        <w:t xml:space="preserve">roles in the business to </w:t>
      </w:r>
      <w:r w:rsidR="008E0B2A">
        <w:rPr>
          <w:rFonts w:ascii="Arial" w:eastAsia="Arial" w:hAnsi="Arial" w:cs="Arial"/>
        </w:rPr>
        <w:t>easily</w:t>
      </w:r>
      <w:r w:rsidR="00B459CA" w:rsidRPr="00B459CA">
        <w:rPr>
          <w:rFonts w:ascii="Arial" w:eastAsia="Arial" w:hAnsi="Arial" w:cs="Arial"/>
        </w:rPr>
        <w:t xml:space="preserve"> </w:t>
      </w:r>
      <w:r w:rsidR="004D6C83">
        <w:rPr>
          <w:rFonts w:ascii="Arial" w:eastAsia="Arial" w:hAnsi="Arial" w:cs="Arial"/>
        </w:rPr>
        <w:t xml:space="preserve">administer and </w:t>
      </w:r>
      <w:r w:rsidR="00B459CA">
        <w:rPr>
          <w:rFonts w:ascii="Arial" w:eastAsia="Arial" w:hAnsi="Arial" w:cs="Arial"/>
        </w:rPr>
        <w:t>schedule the delivery of sessions which should provide for:</w:t>
      </w:r>
    </w:p>
    <w:p w14:paraId="5FDD5F0A" w14:textId="77777777" w:rsidR="00B459CA" w:rsidRDefault="00B459CA" w:rsidP="00B4604C">
      <w:pPr>
        <w:ind w:left="357"/>
        <w:rPr>
          <w:rFonts w:ascii="Arial" w:eastAsia="Arial" w:hAnsi="Arial" w:cs="Arial"/>
        </w:rPr>
      </w:pPr>
    </w:p>
    <w:p w14:paraId="71851807" w14:textId="5D6EAC02" w:rsidR="00B459CA" w:rsidRPr="00C41DFA" w:rsidRDefault="00B459CA" w:rsidP="00B4604C">
      <w:pPr>
        <w:pStyle w:val="ListParagraph"/>
        <w:numPr>
          <w:ilvl w:val="0"/>
          <w:numId w:val="44"/>
        </w:numPr>
        <w:ind w:left="1077"/>
        <w:rPr>
          <w:rFonts w:ascii="Arial" w:eastAsia="Arial" w:hAnsi="Arial" w:cs="Arial"/>
        </w:rPr>
      </w:pPr>
      <w:r w:rsidRPr="00C41DFA">
        <w:rPr>
          <w:rFonts w:ascii="Arial" w:eastAsia="Arial" w:hAnsi="Arial" w:cs="Arial"/>
        </w:rPr>
        <w:t xml:space="preserve">Learner </w:t>
      </w:r>
      <w:proofErr w:type="spellStart"/>
      <w:r w:rsidR="00D85F96" w:rsidRPr="00C41DFA">
        <w:rPr>
          <w:rFonts w:ascii="Arial" w:eastAsia="Arial" w:hAnsi="Arial" w:cs="Arial"/>
        </w:rPr>
        <w:t>self enrolment</w:t>
      </w:r>
      <w:proofErr w:type="spellEnd"/>
      <w:r w:rsidR="00D85F96" w:rsidRPr="00C41DFA">
        <w:rPr>
          <w:rFonts w:ascii="Arial" w:eastAsia="Arial" w:hAnsi="Arial" w:cs="Arial"/>
        </w:rPr>
        <w:t xml:space="preserve"> </w:t>
      </w:r>
    </w:p>
    <w:p w14:paraId="2AE2085A" w14:textId="77777777" w:rsidR="00BA72A2" w:rsidRPr="00C41DFA" w:rsidRDefault="00B459CA" w:rsidP="00B4604C">
      <w:pPr>
        <w:pStyle w:val="ListParagraph"/>
        <w:numPr>
          <w:ilvl w:val="0"/>
          <w:numId w:val="44"/>
        </w:numPr>
        <w:ind w:left="1077"/>
        <w:rPr>
          <w:rFonts w:ascii="Arial" w:eastAsia="Arial" w:hAnsi="Arial" w:cs="Arial"/>
        </w:rPr>
      </w:pPr>
      <w:r w:rsidRPr="00C41DFA">
        <w:rPr>
          <w:rFonts w:ascii="Arial" w:eastAsia="Arial" w:hAnsi="Arial" w:cs="Arial"/>
        </w:rPr>
        <w:t xml:space="preserve">Management </w:t>
      </w:r>
      <w:r w:rsidR="00BA72A2" w:rsidRPr="00C41DFA">
        <w:rPr>
          <w:rFonts w:ascii="Arial" w:eastAsia="Arial" w:hAnsi="Arial" w:cs="Arial"/>
        </w:rPr>
        <w:t>of</w:t>
      </w:r>
      <w:r w:rsidR="008E4BC4" w:rsidRPr="00C41DFA">
        <w:rPr>
          <w:rFonts w:ascii="Arial" w:eastAsia="Arial" w:hAnsi="Arial" w:cs="Arial"/>
        </w:rPr>
        <w:t xml:space="preserve"> course attendance, including with a waitlist</w:t>
      </w:r>
      <w:r w:rsidR="009140C4" w:rsidRPr="00C41DFA">
        <w:rPr>
          <w:rFonts w:ascii="Arial" w:eastAsia="Arial" w:hAnsi="Arial" w:cs="Arial"/>
        </w:rPr>
        <w:t xml:space="preserve"> management and </w:t>
      </w:r>
      <w:r w:rsidR="00F221C9" w:rsidRPr="00C41DFA">
        <w:rPr>
          <w:rFonts w:ascii="Arial" w:eastAsia="Arial" w:hAnsi="Arial" w:cs="Arial"/>
        </w:rPr>
        <w:t>approval facility</w:t>
      </w:r>
      <w:r w:rsidR="00BA72A2" w:rsidRPr="00C41DFA">
        <w:rPr>
          <w:rFonts w:ascii="Arial" w:eastAsia="Arial" w:hAnsi="Arial" w:cs="Arial"/>
        </w:rPr>
        <w:t xml:space="preserve"> </w:t>
      </w:r>
    </w:p>
    <w:p w14:paraId="65771084" w14:textId="47B596E6" w:rsidR="00791A35" w:rsidRPr="00C41DFA" w:rsidRDefault="00BA72A2" w:rsidP="00B4604C">
      <w:pPr>
        <w:pStyle w:val="ListParagraph"/>
        <w:numPr>
          <w:ilvl w:val="0"/>
          <w:numId w:val="44"/>
        </w:numPr>
        <w:ind w:left="1077"/>
        <w:rPr>
          <w:rFonts w:ascii="Arial" w:eastAsia="Arial" w:hAnsi="Arial" w:cs="Arial"/>
        </w:rPr>
      </w:pPr>
      <w:r w:rsidRPr="00C41DFA">
        <w:rPr>
          <w:rFonts w:ascii="Arial" w:eastAsia="Arial" w:hAnsi="Arial" w:cs="Arial"/>
        </w:rPr>
        <w:t>Issue auto generated confirmations</w:t>
      </w:r>
      <w:r w:rsidR="006C6AEC" w:rsidRPr="00C41DFA">
        <w:rPr>
          <w:rFonts w:ascii="Arial" w:eastAsia="Arial" w:hAnsi="Arial" w:cs="Arial"/>
        </w:rPr>
        <w:t xml:space="preserve"> of acceptance onto </w:t>
      </w:r>
      <w:r w:rsidR="006C105A" w:rsidRPr="00C41DFA">
        <w:rPr>
          <w:rFonts w:ascii="Arial" w:eastAsia="Arial" w:hAnsi="Arial" w:cs="Arial"/>
        </w:rPr>
        <w:t>learning and Joining Instructions</w:t>
      </w:r>
      <w:r w:rsidR="00C41DFA" w:rsidRPr="00C41DFA">
        <w:rPr>
          <w:rFonts w:ascii="Arial" w:eastAsia="Arial" w:hAnsi="Arial" w:cs="Arial"/>
        </w:rPr>
        <w:t>/</w:t>
      </w:r>
      <w:r w:rsidR="006C105A" w:rsidRPr="00C41DFA">
        <w:rPr>
          <w:rFonts w:ascii="Arial" w:eastAsia="Arial" w:hAnsi="Arial" w:cs="Arial"/>
        </w:rPr>
        <w:t xml:space="preserve">calendar invites and reminders </w:t>
      </w:r>
      <w:r w:rsidRPr="00C41DFA">
        <w:rPr>
          <w:rFonts w:ascii="Arial" w:eastAsia="Arial" w:hAnsi="Arial" w:cs="Arial"/>
        </w:rPr>
        <w:t xml:space="preserve">    </w:t>
      </w:r>
    </w:p>
    <w:p w14:paraId="07E45BCE" w14:textId="188977B9" w:rsidR="006B7DF8" w:rsidRDefault="00BA72A2" w:rsidP="00B4604C">
      <w:pPr>
        <w:pStyle w:val="ListParagraph"/>
        <w:numPr>
          <w:ilvl w:val="0"/>
          <w:numId w:val="44"/>
        </w:numPr>
        <w:ind w:left="1077"/>
        <w:rPr>
          <w:rFonts w:ascii="Arial" w:eastAsia="Arial" w:hAnsi="Arial" w:cs="Arial"/>
        </w:rPr>
      </w:pPr>
      <w:r w:rsidRPr="00C41DFA">
        <w:rPr>
          <w:rFonts w:ascii="Arial" w:eastAsia="Arial" w:hAnsi="Arial" w:cs="Arial"/>
        </w:rPr>
        <w:t>Generation of</w:t>
      </w:r>
      <w:r w:rsidR="00791A35" w:rsidRPr="00C41DFA">
        <w:rPr>
          <w:rFonts w:ascii="Arial" w:eastAsia="Arial" w:hAnsi="Arial" w:cs="Arial"/>
        </w:rPr>
        <w:t xml:space="preserve"> attendance</w:t>
      </w:r>
      <w:r w:rsidRPr="00C41DFA">
        <w:rPr>
          <w:rFonts w:ascii="Arial" w:eastAsia="Arial" w:hAnsi="Arial" w:cs="Arial"/>
        </w:rPr>
        <w:t>/</w:t>
      </w:r>
      <w:proofErr w:type="spellStart"/>
      <w:proofErr w:type="gramStart"/>
      <w:r w:rsidRPr="00C41DFA">
        <w:rPr>
          <w:rFonts w:ascii="Arial" w:eastAsia="Arial" w:hAnsi="Arial" w:cs="Arial"/>
        </w:rPr>
        <w:t>non attendance</w:t>
      </w:r>
      <w:proofErr w:type="spellEnd"/>
      <w:proofErr w:type="gramEnd"/>
      <w:r w:rsidRPr="00C41DFA">
        <w:rPr>
          <w:rFonts w:ascii="Arial" w:eastAsia="Arial" w:hAnsi="Arial" w:cs="Arial"/>
        </w:rPr>
        <w:t xml:space="preserve"> </w:t>
      </w:r>
      <w:r w:rsidR="00791A35" w:rsidRPr="00C41DFA">
        <w:rPr>
          <w:rFonts w:ascii="Arial" w:eastAsia="Arial" w:hAnsi="Arial" w:cs="Arial"/>
        </w:rPr>
        <w:t>confirmation reports</w:t>
      </w:r>
      <w:r w:rsidR="009B206B" w:rsidRPr="00C41DFA">
        <w:rPr>
          <w:rFonts w:ascii="Arial" w:eastAsia="Arial" w:hAnsi="Arial" w:cs="Arial"/>
        </w:rPr>
        <w:t xml:space="preserve"> (and </w:t>
      </w:r>
      <w:r w:rsidR="004C4A3C">
        <w:rPr>
          <w:rFonts w:ascii="Arial" w:eastAsia="Arial" w:hAnsi="Arial" w:cs="Arial"/>
        </w:rPr>
        <w:t xml:space="preserve">function to </w:t>
      </w:r>
      <w:r w:rsidR="009B206B" w:rsidRPr="00C41DFA">
        <w:rPr>
          <w:rFonts w:ascii="Arial" w:eastAsia="Arial" w:hAnsi="Arial" w:cs="Arial"/>
        </w:rPr>
        <w:t>record</w:t>
      </w:r>
      <w:r w:rsidR="004C4A3C">
        <w:rPr>
          <w:rFonts w:ascii="Arial" w:eastAsia="Arial" w:hAnsi="Arial" w:cs="Arial"/>
        </w:rPr>
        <w:t xml:space="preserve">/upload </w:t>
      </w:r>
      <w:r w:rsidR="009B206B" w:rsidRPr="00C41DFA">
        <w:rPr>
          <w:rFonts w:ascii="Arial" w:eastAsia="Arial" w:hAnsi="Arial" w:cs="Arial"/>
        </w:rPr>
        <w:t>these on the system if in person)</w:t>
      </w:r>
    </w:p>
    <w:p w14:paraId="6BCAB673" w14:textId="77777777" w:rsidR="0098348E" w:rsidRDefault="0098348E" w:rsidP="00B4604C">
      <w:pPr>
        <w:pStyle w:val="ListParagraph"/>
        <w:numPr>
          <w:ilvl w:val="0"/>
          <w:numId w:val="44"/>
        </w:numPr>
        <w:ind w:left="1077"/>
        <w:rPr>
          <w:rFonts w:ascii="Arial" w:eastAsia="Arial" w:hAnsi="Arial" w:cs="Arial"/>
        </w:rPr>
      </w:pPr>
      <w:r w:rsidRPr="0098348E">
        <w:rPr>
          <w:rFonts w:ascii="Arial" w:eastAsia="Arial" w:hAnsi="Arial" w:cs="Arial"/>
        </w:rPr>
        <w:t xml:space="preserve">Issue of certificate of attendance </w:t>
      </w:r>
    </w:p>
    <w:p w14:paraId="20D5E197" w14:textId="797C5F92" w:rsidR="00050885" w:rsidRPr="0098348E" w:rsidRDefault="00C57059" w:rsidP="00B4604C">
      <w:pPr>
        <w:pStyle w:val="ListParagraph"/>
        <w:numPr>
          <w:ilvl w:val="0"/>
          <w:numId w:val="44"/>
        </w:numPr>
        <w:ind w:left="1077"/>
        <w:rPr>
          <w:rFonts w:ascii="Arial" w:eastAsia="Arial" w:hAnsi="Arial" w:cs="Arial"/>
        </w:rPr>
      </w:pPr>
      <w:r w:rsidRPr="0098348E">
        <w:rPr>
          <w:rFonts w:ascii="Arial" w:eastAsia="Arial" w:hAnsi="Arial" w:cs="Arial"/>
        </w:rPr>
        <w:t xml:space="preserve">Issue </w:t>
      </w:r>
      <w:r w:rsidR="008753E5">
        <w:rPr>
          <w:rFonts w:ascii="Arial" w:eastAsia="Arial" w:hAnsi="Arial" w:cs="Arial"/>
        </w:rPr>
        <w:t xml:space="preserve">of </w:t>
      </w:r>
      <w:r w:rsidRPr="0098348E">
        <w:rPr>
          <w:rFonts w:ascii="Arial" w:eastAsia="Arial" w:hAnsi="Arial" w:cs="Arial"/>
        </w:rPr>
        <w:t>relevant auto generated evaluations</w:t>
      </w:r>
      <w:r w:rsidR="00546A19" w:rsidRPr="0098348E">
        <w:rPr>
          <w:rFonts w:ascii="Arial" w:eastAsia="Arial" w:hAnsi="Arial" w:cs="Arial"/>
        </w:rPr>
        <w:t xml:space="preserve"> </w:t>
      </w:r>
      <w:r w:rsidR="0066452C" w:rsidRPr="0098348E">
        <w:rPr>
          <w:rFonts w:ascii="Arial" w:eastAsia="Arial" w:hAnsi="Arial" w:cs="Arial"/>
        </w:rPr>
        <w:t xml:space="preserve">at stages </w:t>
      </w:r>
      <w:r w:rsidR="00546A19" w:rsidRPr="0098348E">
        <w:rPr>
          <w:rFonts w:ascii="Arial" w:eastAsia="Arial" w:hAnsi="Arial" w:cs="Arial"/>
        </w:rPr>
        <w:t>determined by level of evaluation adopted</w:t>
      </w:r>
      <w:r w:rsidRPr="0098348E">
        <w:rPr>
          <w:rFonts w:ascii="Arial" w:eastAsia="Arial" w:hAnsi="Arial" w:cs="Arial"/>
        </w:rPr>
        <w:t xml:space="preserve"> </w:t>
      </w:r>
    </w:p>
    <w:p w14:paraId="24F845BC" w14:textId="77777777" w:rsidR="00C365FF" w:rsidRDefault="00C365FF" w:rsidP="00B4604C">
      <w:pPr>
        <w:ind w:left="357"/>
        <w:rPr>
          <w:rFonts w:ascii="Arial" w:eastAsia="Arial" w:hAnsi="Arial" w:cs="Arial"/>
        </w:rPr>
      </w:pPr>
    </w:p>
    <w:p w14:paraId="5B779A00" w14:textId="77777777" w:rsidR="00C365FF" w:rsidRDefault="00C365FF" w:rsidP="00B4604C">
      <w:pPr>
        <w:ind w:left="357"/>
        <w:rPr>
          <w:rFonts w:ascii="Arial" w:eastAsia="Arial" w:hAnsi="Arial" w:cs="Arial"/>
        </w:rPr>
      </w:pPr>
    </w:p>
    <w:p w14:paraId="613A3FBF" w14:textId="77777777" w:rsidR="002A7BBA" w:rsidRPr="00791B42" w:rsidRDefault="002A7BBA" w:rsidP="00B4604C">
      <w:pPr>
        <w:ind w:left="357"/>
        <w:rPr>
          <w:rFonts w:ascii="Arial" w:eastAsia="Arial" w:hAnsi="Arial" w:cs="Arial"/>
          <w:b/>
          <w:bCs/>
        </w:rPr>
      </w:pPr>
      <w:r w:rsidRPr="00791B42">
        <w:rPr>
          <w:rFonts w:ascii="Arial" w:eastAsia="Arial" w:hAnsi="Arial" w:cs="Arial"/>
          <w:b/>
          <w:bCs/>
        </w:rPr>
        <w:t xml:space="preserve">Assessment functionality </w:t>
      </w:r>
    </w:p>
    <w:p w14:paraId="12AC63DF" w14:textId="77777777" w:rsidR="002A7BBA" w:rsidRDefault="002A7BBA" w:rsidP="00B4604C">
      <w:pPr>
        <w:ind w:left="357"/>
        <w:rPr>
          <w:rFonts w:ascii="Arial" w:eastAsia="Arial" w:hAnsi="Arial" w:cs="Arial"/>
        </w:rPr>
      </w:pPr>
      <w:r>
        <w:rPr>
          <w:rFonts w:ascii="Arial" w:eastAsia="Arial" w:hAnsi="Arial" w:cs="Arial"/>
        </w:rPr>
        <w:t xml:space="preserve">The agency is implementing an “academy” approach for the delivery of learning for its cohorts of regulatory assessors and inspectors through their journey to achieving “accredited assessor” status. Ensuring that colleagues meet the </w:t>
      </w:r>
      <w:r>
        <w:t>standards of knowledge and skills to undertake our work means that we wish to track progress and sign off competence formally so that we apply consistent standards and a</w:t>
      </w:r>
      <w:r>
        <w:rPr>
          <w:rFonts w:ascii="Arial" w:eastAsia="Arial" w:hAnsi="Arial" w:cs="Arial"/>
        </w:rPr>
        <w:t>n individual’s successful attainment of the associated learning standards will be regularly assessed as part of their learning journey.  We envisage this will operate by assigning required learning modules and sessions to learners to undertake/attend prior to them completing some form of staged assessment to establish that they have been able to assimilate, apply and embed and evidence their learning related to that module.  We therefore require the solution to have the functionality to support delivery of formal assessments with pass fail thresholds, track attainment and capture learner reflections.</w:t>
      </w:r>
    </w:p>
    <w:p w14:paraId="5BA93E92" w14:textId="77777777" w:rsidR="003F61CF" w:rsidRDefault="003F61CF" w:rsidP="00B4604C">
      <w:pPr>
        <w:ind w:left="357"/>
        <w:rPr>
          <w:rFonts w:ascii="Arial" w:eastAsia="Arial" w:hAnsi="Arial" w:cs="Arial"/>
          <w:b/>
          <w:bCs/>
        </w:rPr>
      </w:pPr>
    </w:p>
    <w:p w14:paraId="483A4475" w14:textId="33AB902F" w:rsidR="00050885" w:rsidRPr="00E060B8" w:rsidRDefault="00050885" w:rsidP="00B4604C">
      <w:pPr>
        <w:ind w:left="357"/>
        <w:rPr>
          <w:rFonts w:ascii="Arial" w:eastAsia="Arial" w:hAnsi="Arial" w:cs="Arial"/>
          <w:b/>
          <w:bCs/>
        </w:rPr>
      </w:pPr>
      <w:r w:rsidRPr="00E060B8">
        <w:rPr>
          <w:rFonts w:ascii="Arial" w:eastAsia="Arial" w:hAnsi="Arial" w:cs="Arial"/>
          <w:b/>
          <w:bCs/>
        </w:rPr>
        <w:t xml:space="preserve">Reporting </w:t>
      </w:r>
    </w:p>
    <w:p w14:paraId="12100393" w14:textId="6105CF7C" w:rsidR="0082505F" w:rsidRDefault="00D02C2C" w:rsidP="00B4604C">
      <w:pPr>
        <w:ind w:left="357"/>
        <w:rPr>
          <w:rFonts w:ascii="Arial" w:eastAsia="Arial" w:hAnsi="Arial" w:cs="Arial"/>
        </w:rPr>
      </w:pPr>
      <w:r>
        <w:rPr>
          <w:rFonts w:ascii="Arial" w:eastAsia="Arial" w:hAnsi="Arial" w:cs="Arial"/>
        </w:rPr>
        <w:t xml:space="preserve">A key requirement of the solution would be to provide </w:t>
      </w:r>
      <w:r w:rsidR="00F915C1">
        <w:rPr>
          <w:rFonts w:ascii="Arial" w:eastAsia="Arial" w:hAnsi="Arial" w:cs="Arial"/>
        </w:rPr>
        <w:t>various users</w:t>
      </w:r>
      <w:r w:rsidR="002209D2">
        <w:rPr>
          <w:rFonts w:ascii="Arial" w:eastAsia="Arial" w:hAnsi="Arial" w:cs="Arial"/>
        </w:rPr>
        <w:t xml:space="preserve"> (</w:t>
      </w:r>
      <w:r w:rsidR="00B60508">
        <w:rPr>
          <w:rFonts w:ascii="Arial" w:eastAsia="Arial" w:hAnsi="Arial" w:cs="Arial"/>
        </w:rPr>
        <w:t xml:space="preserve">line managers, </w:t>
      </w:r>
      <w:r w:rsidR="00AC3867">
        <w:rPr>
          <w:rFonts w:ascii="Arial" w:eastAsia="Arial" w:hAnsi="Arial" w:cs="Arial"/>
        </w:rPr>
        <w:t>learning</w:t>
      </w:r>
      <w:r w:rsidR="00B60508">
        <w:rPr>
          <w:rFonts w:ascii="Arial" w:eastAsia="Arial" w:hAnsi="Arial" w:cs="Arial"/>
        </w:rPr>
        <w:t xml:space="preserve"> designers, session schedulers</w:t>
      </w:r>
      <w:r w:rsidR="00AC3867">
        <w:rPr>
          <w:rFonts w:ascii="Arial" w:eastAsia="Arial" w:hAnsi="Arial" w:cs="Arial"/>
        </w:rPr>
        <w:t>/</w:t>
      </w:r>
      <w:r w:rsidR="00B60508">
        <w:rPr>
          <w:rFonts w:ascii="Arial" w:eastAsia="Arial" w:hAnsi="Arial" w:cs="Arial"/>
        </w:rPr>
        <w:t>system administrators)</w:t>
      </w:r>
      <w:r w:rsidR="00F915C1">
        <w:rPr>
          <w:rFonts w:ascii="Arial" w:eastAsia="Arial" w:hAnsi="Arial" w:cs="Arial"/>
        </w:rPr>
        <w:t xml:space="preserve"> with</w:t>
      </w:r>
      <w:r>
        <w:rPr>
          <w:rFonts w:ascii="Arial" w:eastAsia="Arial" w:hAnsi="Arial" w:cs="Arial"/>
        </w:rPr>
        <w:t xml:space="preserve"> eas</w:t>
      </w:r>
      <w:r w:rsidR="00AC3867">
        <w:rPr>
          <w:rFonts w:ascii="Arial" w:eastAsia="Arial" w:hAnsi="Arial" w:cs="Arial"/>
        </w:rPr>
        <w:t>y</w:t>
      </w:r>
      <w:r w:rsidR="00407D8C">
        <w:rPr>
          <w:rFonts w:ascii="Arial" w:eastAsia="Arial" w:hAnsi="Arial" w:cs="Arial"/>
        </w:rPr>
        <w:t xml:space="preserve"> generation </w:t>
      </w:r>
      <w:r w:rsidR="00F915C1">
        <w:rPr>
          <w:rFonts w:ascii="Arial" w:eastAsia="Arial" w:hAnsi="Arial" w:cs="Arial"/>
        </w:rPr>
        <w:t>a</w:t>
      </w:r>
      <w:r w:rsidR="00407D8C">
        <w:rPr>
          <w:rFonts w:ascii="Arial" w:eastAsia="Arial" w:hAnsi="Arial" w:cs="Arial"/>
        </w:rPr>
        <w:t>nd access to relevant learning</w:t>
      </w:r>
      <w:r w:rsidR="00F915C1">
        <w:rPr>
          <w:rFonts w:ascii="Arial" w:eastAsia="Arial" w:hAnsi="Arial" w:cs="Arial"/>
        </w:rPr>
        <w:t xml:space="preserve">/usage </w:t>
      </w:r>
      <w:r w:rsidR="00407D8C">
        <w:rPr>
          <w:rFonts w:ascii="Arial" w:eastAsia="Arial" w:hAnsi="Arial" w:cs="Arial"/>
        </w:rPr>
        <w:t>data</w:t>
      </w:r>
      <w:r w:rsidR="00F915C1">
        <w:rPr>
          <w:rFonts w:ascii="Arial" w:eastAsia="Arial" w:hAnsi="Arial" w:cs="Arial"/>
        </w:rPr>
        <w:t xml:space="preserve">. </w:t>
      </w:r>
      <w:r w:rsidR="00313693">
        <w:rPr>
          <w:rFonts w:ascii="Arial" w:eastAsia="Arial" w:hAnsi="Arial" w:cs="Arial"/>
        </w:rPr>
        <w:t>Th</w:t>
      </w:r>
      <w:r w:rsidR="000528A6">
        <w:rPr>
          <w:rFonts w:ascii="Arial" w:eastAsia="Arial" w:hAnsi="Arial" w:cs="Arial"/>
        </w:rPr>
        <w:t xml:space="preserve">e solution should be capable of generating dashboard and </w:t>
      </w:r>
      <w:r w:rsidR="00B03B10">
        <w:rPr>
          <w:rFonts w:ascii="Arial" w:eastAsia="Arial" w:hAnsi="Arial" w:cs="Arial"/>
        </w:rPr>
        <w:t xml:space="preserve">analytical </w:t>
      </w:r>
      <w:r w:rsidR="000528A6">
        <w:rPr>
          <w:rFonts w:ascii="Arial" w:eastAsia="Arial" w:hAnsi="Arial" w:cs="Arial"/>
        </w:rPr>
        <w:t xml:space="preserve">report data </w:t>
      </w:r>
      <w:r w:rsidR="00CA2257">
        <w:rPr>
          <w:rFonts w:ascii="Arial" w:eastAsia="Arial" w:hAnsi="Arial" w:cs="Arial"/>
        </w:rPr>
        <w:t>that can be exported into Ex</w:t>
      </w:r>
      <w:r w:rsidR="0082505F">
        <w:rPr>
          <w:rFonts w:ascii="Arial" w:eastAsia="Arial" w:hAnsi="Arial" w:cs="Arial"/>
        </w:rPr>
        <w:t>c</w:t>
      </w:r>
      <w:r w:rsidR="00CA2257">
        <w:rPr>
          <w:rFonts w:ascii="Arial" w:eastAsia="Arial" w:hAnsi="Arial" w:cs="Arial"/>
        </w:rPr>
        <w:t>el and ppt)</w:t>
      </w:r>
      <w:r w:rsidR="0082505F">
        <w:rPr>
          <w:rFonts w:ascii="Arial" w:eastAsia="Arial" w:hAnsi="Arial" w:cs="Arial"/>
        </w:rPr>
        <w:t>. The reports should be capable of detailing:</w:t>
      </w:r>
    </w:p>
    <w:p w14:paraId="4A0F5548" w14:textId="2333B769" w:rsidR="008C51E1" w:rsidRDefault="008753E5" w:rsidP="00B4604C">
      <w:pPr>
        <w:ind w:left="357"/>
        <w:rPr>
          <w:rFonts w:ascii="Arial" w:eastAsia="Arial" w:hAnsi="Arial" w:cs="Arial"/>
        </w:rPr>
      </w:pPr>
      <w:r>
        <w:rPr>
          <w:rFonts w:ascii="Arial" w:eastAsia="Arial" w:hAnsi="Arial" w:cs="Arial"/>
        </w:rPr>
        <w:t xml:space="preserve"> </w:t>
      </w:r>
      <w:r w:rsidR="00407D8C">
        <w:rPr>
          <w:rFonts w:ascii="Arial" w:eastAsia="Arial" w:hAnsi="Arial" w:cs="Arial"/>
        </w:rPr>
        <w:t xml:space="preserve"> </w:t>
      </w:r>
      <w:r w:rsidR="008C51E1">
        <w:rPr>
          <w:rFonts w:ascii="Arial" w:eastAsia="Arial" w:hAnsi="Arial" w:cs="Arial"/>
        </w:rPr>
        <w:t xml:space="preserve">          </w:t>
      </w:r>
    </w:p>
    <w:p w14:paraId="7A906447" w14:textId="49E6EEAB" w:rsidR="007A10F0" w:rsidRDefault="0029152F" w:rsidP="00B4604C">
      <w:pPr>
        <w:pStyle w:val="ListParagraph"/>
        <w:numPr>
          <w:ilvl w:val="0"/>
          <w:numId w:val="39"/>
        </w:numPr>
        <w:spacing w:after="160" w:line="259" w:lineRule="auto"/>
        <w:ind w:left="1077"/>
        <w:rPr>
          <w:rFonts w:ascii="Arial" w:hAnsi="Arial" w:cs="Arial"/>
        </w:rPr>
      </w:pPr>
      <w:r>
        <w:rPr>
          <w:rFonts w:ascii="Arial" w:hAnsi="Arial" w:cs="Arial"/>
        </w:rPr>
        <w:t>I</w:t>
      </w:r>
      <w:r w:rsidR="007A10F0" w:rsidRPr="00C714E2">
        <w:rPr>
          <w:rFonts w:ascii="Arial" w:hAnsi="Arial" w:cs="Arial"/>
        </w:rPr>
        <w:t>ndividual learner progress tracking</w:t>
      </w:r>
    </w:p>
    <w:p w14:paraId="43B689C3" w14:textId="77777777" w:rsidR="00E14EDB" w:rsidRDefault="00E14EDB" w:rsidP="00B4604C">
      <w:pPr>
        <w:pStyle w:val="ListParagraph"/>
        <w:numPr>
          <w:ilvl w:val="0"/>
          <w:numId w:val="39"/>
        </w:numPr>
        <w:spacing w:after="160" w:line="259" w:lineRule="auto"/>
        <w:ind w:left="1077"/>
        <w:rPr>
          <w:rFonts w:ascii="Arial" w:hAnsi="Arial" w:cs="Arial"/>
        </w:rPr>
      </w:pPr>
      <w:r>
        <w:rPr>
          <w:rFonts w:ascii="Arial" w:hAnsi="Arial" w:cs="Arial"/>
        </w:rPr>
        <w:t xml:space="preserve">Compliance training completion/non completion </w:t>
      </w:r>
    </w:p>
    <w:p w14:paraId="291531BA" w14:textId="3B8E2D9A" w:rsidR="003B72C9" w:rsidRDefault="003B72C9" w:rsidP="00B4604C">
      <w:pPr>
        <w:pStyle w:val="ListParagraph"/>
        <w:numPr>
          <w:ilvl w:val="0"/>
          <w:numId w:val="39"/>
        </w:numPr>
        <w:spacing w:after="160" w:line="259" w:lineRule="auto"/>
        <w:ind w:left="1077"/>
        <w:rPr>
          <w:rFonts w:ascii="Arial" w:hAnsi="Arial" w:cs="Arial"/>
        </w:rPr>
      </w:pPr>
      <w:proofErr w:type="spellStart"/>
      <w:r>
        <w:rPr>
          <w:rFonts w:ascii="Arial" w:hAnsi="Arial" w:cs="Arial"/>
        </w:rPr>
        <w:t>Self directed</w:t>
      </w:r>
      <w:proofErr w:type="spellEnd"/>
      <w:r>
        <w:rPr>
          <w:rFonts w:ascii="Arial" w:hAnsi="Arial" w:cs="Arial"/>
        </w:rPr>
        <w:t xml:space="preserve"> learning course completions </w:t>
      </w:r>
    </w:p>
    <w:p w14:paraId="03AD04A3" w14:textId="77777777" w:rsidR="00875BD6" w:rsidRDefault="00875BD6" w:rsidP="00B4604C">
      <w:pPr>
        <w:pStyle w:val="ListParagraph"/>
        <w:numPr>
          <w:ilvl w:val="0"/>
          <w:numId w:val="39"/>
        </w:numPr>
        <w:spacing w:after="160" w:line="259" w:lineRule="auto"/>
        <w:ind w:left="1077"/>
        <w:rPr>
          <w:rFonts w:ascii="Arial" w:hAnsi="Arial" w:cs="Arial"/>
        </w:rPr>
      </w:pPr>
      <w:r>
        <w:rPr>
          <w:rFonts w:ascii="Arial" w:hAnsi="Arial" w:cs="Arial"/>
        </w:rPr>
        <w:lastRenderedPageBreak/>
        <w:t xml:space="preserve">Access to/usage of hosted learning resources </w:t>
      </w:r>
    </w:p>
    <w:p w14:paraId="1063E9FD" w14:textId="51858E6F" w:rsidR="007A10F0" w:rsidRDefault="003B72C9" w:rsidP="00B4604C">
      <w:pPr>
        <w:pStyle w:val="ListParagraph"/>
        <w:numPr>
          <w:ilvl w:val="0"/>
          <w:numId w:val="39"/>
        </w:numPr>
        <w:spacing w:after="160" w:line="259" w:lineRule="auto"/>
        <w:ind w:left="1077"/>
        <w:rPr>
          <w:rFonts w:ascii="Arial" w:hAnsi="Arial" w:cs="Arial"/>
        </w:rPr>
      </w:pPr>
      <w:r>
        <w:rPr>
          <w:rFonts w:ascii="Arial" w:hAnsi="Arial" w:cs="Arial"/>
        </w:rPr>
        <w:t>In person/virtual t</w:t>
      </w:r>
      <w:r w:rsidR="007A10F0">
        <w:rPr>
          <w:rFonts w:ascii="Arial" w:hAnsi="Arial" w:cs="Arial"/>
        </w:rPr>
        <w:t>raining session</w:t>
      </w:r>
      <w:r w:rsidR="00AA27EC">
        <w:rPr>
          <w:rFonts w:ascii="Arial" w:hAnsi="Arial" w:cs="Arial"/>
        </w:rPr>
        <w:t xml:space="preserve"> course </w:t>
      </w:r>
      <w:r w:rsidR="007A10F0">
        <w:rPr>
          <w:rFonts w:ascii="Arial" w:hAnsi="Arial" w:cs="Arial"/>
        </w:rPr>
        <w:t>attendance</w:t>
      </w:r>
      <w:r w:rsidR="00AA27EC">
        <w:rPr>
          <w:rFonts w:ascii="Arial" w:hAnsi="Arial" w:cs="Arial"/>
        </w:rPr>
        <w:t xml:space="preserve"> lists</w:t>
      </w:r>
    </w:p>
    <w:p w14:paraId="64143B7E" w14:textId="2C7C3AF7" w:rsidR="007A10F0" w:rsidRPr="00C714E2" w:rsidRDefault="001840F9" w:rsidP="00B4604C">
      <w:pPr>
        <w:pStyle w:val="ListParagraph"/>
        <w:numPr>
          <w:ilvl w:val="0"/>
          <w:numId w:val="39"/>
        </w:numPr>
        <w:spacing w:after="160" w:line="259" w:lineRule="auto"/>
        <w:ind w:left="1077"/>
        <w:rPr>
          <w:rFonts w:ascii="Arial" w:hAnsi="Arial" w:cs="Arial"/>
        </w:rPr>
      </w:pPr>
      <w:r>
        <w:rPr>
          <w:rFonts w:ascii="Arial" w:hAnsi="Arial" w:cs="Arial"/>
        </w:rPr>
        <w:t>Confirmation of attendance/</w:t>
      </w:r>
      <w:proofErr w:type="spellStart"/>
      <w:proofErr w:type="gramStart"/>
      <w:r w:rsidR="007A10F0">
        <w:rPr>
          <w:rFonts w:ascii="Arial" w:hAnsi="Arial" w:cs="Arial"/>
        </w:rPr>
        <w:t>Non attendance</w:t>
      </w:r>
      <w:proofErr w:type="spellEnd"/>
      <w:proofErr w:type="gramEnd"/>
      <w:r w:rsidR="007A10F0">
        <w:rPr>
          <w:rFonts w:ascii="Arial" w:hAnsi="Arial" w:cs="Arial"/>
        </w:rPr>
        <w:t xml:space="preserve"> of session</w:t>
      </w:r>
      <w:r w:rsidR="00294C5C">
        <w:rPr>
          <w:rFonts w:ascii="Arial" w:hAnsi="Arial" w:cs="Arial"/>
        </w:rPr>
        <w:t>s</w:t>
      </w:r>
      <w:r w:rsidR="007A10F0">
        <w:rPr>
          <w:rFonts w:ascii="Arial" w:hAnsi="Arial" w:cs="Arial"/>
        </w:rPr>
        <w:t xml:space="preserve"> </w:t>
      </w:r>
    </w:p>
    <w:p w14:paraId="773B2D88" w14:textId="051F919F" w:rsidR="007A10F0" w:rsidRDefault="00294C5C" w:rsidP="00B4604C">
      <w:pPr>
        <w:pStyle w:val="ListParagraph"/>
        <w:numPr>
          <w:ilvl w:val="0"/>
          <w:numId w:val="39"/>
        </w:numPr>
        <w:spacing w:after="160" w:line="259" w:lineRule="auto"/>
        <w:ind w:left="1077"/>
        <w:rPr>
          <w:rFonts w:ascii="Arial" w:hAnsi="Arial" w:cs="Arial"/>
        </w:rPr>
      </w:pPr>
      <w:r>
        <w:rPr>
          <w:rFonts w:ascii="Arial" w:hAnsi="Arial" w:cs="Arial"/>
        </w:rPr>
        <w:t>The i</w:t>
      </w:r>
      <w:r w:rsidR="0029152F">
        <w:rPr>
          <w:rFonts w:ascii="Arial" w:hAnsi="Arial" w:cs="Arial"/>
        </w:rPr>
        <w:t xml:space="preserve">ntelligent </w:t>
      </w:r>
      <w:r w:rsidR="007A10F0" w:rsidRPr="00C714E2">
        <w:rPr>
          <w:rFonts w:ascii="Arial" w:hAnsi="Arial" w:cs="Arial"/>
        </w:rPr>
        <w:t>collat</w:t>
      </w:r>
      <w:r>
        <w:rPr>
          <w:rFonts w:ascii="Arial" w:hAnsi="Arial" w:cs="Arial"/>
        </w:rPr>
        <w:t>ion</w:t>
      </w:r>
      <w:r w:rsidR="0029152F">
        <w:rPr>
          <w:rFonts w:ascii="Arial" w:hAnsi="Arial" w:cs="Arial"/>
        </w:rPr>
        <w:t xml:space="preserve"> and r</w:t>
      </w:r>
      <w:r w:rsidR="007A10F0" w:rsidRPr="00C714E2">
        <w:rPr>
          <w:rFonts w:ascii="Arial" w:hAnsi="Arial" w:cs="Arial"/>
        </w:rPr>
        <w:t>eport</w:t>
      </w:r>
      <w:r w:rsidR="0029152F">
        <w:rPr>
          <w:rFonts w:ascii="Arial" w:hAnsi="Arial" w:cs="Arial"/>
        </w:rPr>
        <w:t>ing</w:t>
      </w:r>
      <w:r w:rsidR="007A10F0" w:rsidRPr="00C714E2">
        <w:rPr>
          <w:rFonts w:ascii="Arial" w:hAnsi="Arial" w:cs="Arial"/>
        </w:rPr>
        <w:t xml:space="preserve"> on learning</w:t>
      </w:r>
      <w:r w:rsidR="0029152F">
        <w:rPr>
          <w:rFonts w:ascii="Arial" w:hAnsi="Arial" w:cs="Arial"/>
        </w:rPr>
        <w:t>/qualifications</w:t>
      </w:r>
      <w:r w:rsidR="007A10F0" w:rsidRPr="00C714E2">
        <w:rPr>
          <w:rFonts w:ascii="Arial" w:hAnsi="Arial" w:cs="Arial"/>
        </w:rPr>
        <w:t xml:space="preserve"> undertaken</w:t>
      </w:r>
      <w:r w:rsidR="0029152F">
        <w:rPr>
          <w:rFonts w:ascii="Arial" w:hAnsi="Arial" w:cs="Arial"/>
        </w:rPr>
        <w:t xml:space="preserve"> and completed </w:t>
      </w:r>
      <w:r w:rsidR="007A10F0" w:rsidRPr="00C714E2">
        <w:rPr>
          <w:rFonts w:ascii="Arial" w:hAnsi="Arial" w:cs="Arial"/>
        </w:rPr>
        <w:t xml:space="preserve">independently outside of any central agency </w:t>
      </w:r>
      <w:r w:rsidR="00E14EDB">
        <w:rPr>
          <w:rFonts w:ascii="Arial" w:hAnsi="Arial" w:cs="Arial"/>
        </w:rPr>
        <w:t xml:space="preserve">or cross government provision </w:t>
      </w:r>
    </w:p>
    <w:p w14:paraId="226AACD3" w14:textId="77777777" w:rsidR="00B03B10" w:rsidRDefault="00B32497" w:rsidP="00B4604C">
      <w:pPr>
        <w:pStyle w:val="ListParagraph"/>
        <w:numPr>
          <w:ilvl w:val="0"/>
          <w:numId w:val="39"/>
        </w:numPr>
        <w:spacing w:after="160" w:line="259" w:lineRule="auto"/>
        <w:ind w:left="1077"/>
        <w:rPr>
          <w:rFonts w:ascii="Arial" w:hAnsi="Arial" w:cs="Arial"/>
        </w:rPr>
      </w:pPr>
      <w:r>
        <w:rPr>
          <w:rFonts w:ascii="Arial" w:hAnsi="Arial" w:cs="Arial"/>
        </w:rPr>
        <w:t>A report for managers</w:t>
      </w:r>
      <w:r w:rsidR="007152AE">
        <w:rPr>
          <w:rFonts w:ascii="Arial" w:hAnsi="Arial" w:cs="Arial"/>
        </w:rPr>
        <w:t xml:space="preserve"> on training completion status for their teams </w:t>
      </w:r>
    </w:p>
    <w:p w14:paraId="7B6B2006" w14:textId="77777777" w:rsidR="00544A44" w:rsidRDefault="00B03B10" w:rsidP="005245D0">
      <w:pPr>
        <w:pStyle w:val="ListParagraph"/>
        <w:numPr>
          <w:ilvl w:val="0"/>
          <w:numId w:val="39"/>
        </w:numPr>
        <w:spacing w:after="160" w:line="259" w:lineRule="auto"/>
        <w:ind w:left="1077"/>
        <w:rPr>
          <w:rFonts w:ascii="Arial" w:hAnsi="Arial" w:cs="Arial"/>
        </w:rPr>
      </w:pPr>
      <w:r>
        <w:rPr>
          <w:rFonts w:ascii="Arial" w:hAnsi="Arial" w:cs="Arial"/>
        </w:rPr>
        <w:t>Evaluation data</w:t>
      </w:r>
      <w:r w:rsidR="00493330">
        <w:rPr>
          <w:rFonts w:ascii="Arial" w:hAnsi="Arial" w:cs="Arial"/>
        </w:rPr>
        <w:t xml:space="preserve"> by programmes, periods of time</w:t>
      </w:r>
      <w:r w:rsidR="00F3458C">
        <w:rPr>
          <w:rFonts w:ascii="Arial" w:hAnsi="Arial" w:cs="Arial"/>
        </w:rPr>
        <w:t xml:space="preserve">, resources </w:t>
      </w:r>
      <w:r w:rsidR="006D78F1">
        <w:rPr>
          <w:rFonts w:ascii="Arial" w:hAnsi="Arial" w:cs="Arial"/>
        </w:rPr>
        <w:t>etc</w:t>
      </w:r>
    </w:p>
    <w:p w14:paraId="6B1211AA" w14:textId="77777777" w:rsidR="00544A44" w:rsidRDefault="00544A44" w:rsidP="00544A44">
      <w:pPr>
        <w:ind w:left="357"/>
        <w:rPr>
          <w:rFonts w:ascii="Arial" w:eastAsia="Arial" w:hAnsi="Arial" w:cs="Arial"/>
          <w:b/>
          <w:bCs/>
        </w:rPr>
      </w:pPr>
    </w:p>
    <w:p w14:paraId="49479973" w14:textId="71E4A16F" w:rsidR="008C51E1" w:rsidRDefault="00544A44" w:rsidP="00544A44">
      <w:pPr>
        <w:ind w:left="357"/>
        <w:rPr>
          <w:rFonts w:ascii="Arial" w:eastAsia="Arial" w:hAnsi="Arial" w:cs="Arial"/>
          <w:b/>
          <w:bCs/>
        </w:rPr>
      </w:pPr>
      <w:r>
        <w:rPr>
          <w:rFonts w:ascii="Arial" w:eastAsia="Arial" w:hAnsi="Arial" w:cs="Arial"/>
          <w:b/>
          <w:bCs/>
        </w:rPr>
        <w:t xml:space="preserve">Talent Management Function </w:t>
      </w:r>
    </w:p>
    <w:p w14:paraId="30D5FE5C" w14:textId="25FC0034" w:rsidR="00663548" w:rsidRDefault="00914438" w:rsidP="00544A44">
      <w:pPr>
        <w:ind w:left="357"/>
        <w:rPr>
          <w:rFonts w:ascii="Arial" w:hAnsi="Arial" w:cs="Arial"/>
        </w:rPr>
      </w:pPr>
      <w:r>
        <w:rPr>
          <w:rFonts w:ascii="Arial" w:hAnsi="Arial" w:cs="Arial"/>
        </w:rPr>
        <w:t xml:space="preserve">Our intention </w:t>
      </w:r>
      <w:r w:rsidR="002317F4">
        <w:rPr>
          <w:rFonts w:ascii="Arial" w:hAnsi="Arial" w:cs="Arial"/>
        </w:rPr>
        <w:t xml:space="preserve">for the solution </w:t>
      </w:r>
      <w:r>
        <w:rPr>
          <w:rFonts w:ascii="Arial" w:hAnsi="Arial" w:cs="Arial"/>
        </w:rPr>
        <w:t xml:space="preserve">would be to have a connected platform that supports both learning, performance, career development and succession planning. </w:t>
      </w:r>
      <w:r w:rsidR="00554166">
        <w:rPr>
          <w:rFonts w:ascii="Arial" w:hAnsi="Arial" w:cs="Arial"/>
        </w:rPr>
        <w:t>Ideally</w:t>
      </w:r>
      <w:r>
        <w:rPr>
          <w:rFonts w:ascii="Arial" w:hAnsi="Arial" w:cs="Arial"/>
        </w:rPr>
        <w:t>,</w:t>
      </w:r>
      <w:r w:rsidR="00554166">
        <w:rPr>
          <w:rFonts w:ascii="Arial" w:hAnsi="Arial" w:cs="Arial"/>
        </w:rPr>
        <w:t xml:space="preserve"> we would be looking for a le</w:t>
      </w:r>
      <w:r w:rsidR="00AA4633">
        <w:rPr>
          <w:rFonts w:ascii="Arial" w:hAnsi="Arial" w:cs="Arial"/>
        </w:rPr>
        <w:t>a</w:t>
      </w:r>
      <w:r w:rsidR="00554166">
        <w:rPr>
          <w:rFonts w:ascii="Arial" w:hAnsi="Arial" w:cs="Arial"/>
        </w:rPr>
        <w:t xml:space="preserve">rning </w:t>
      </w:r>
      <w:r w:rsidR="00F36359">
        <w:rPr>
          <w:rFonts w:ascii="Arial" w:hAnsi="Arial" w:cs="Arial"/>
        </w:rPr>
        <w:t>solution that include</w:t>
      </w:r>
      <w:r w:rsidR="00AA4633">
        <w:rPr>
          <w:rFonts w:ascii="Arial" w:hAnsi="Arial" w:cs="Arial"/>
        </w:rPr>
        <w:t>s</w:t>
      </w:r>
      <w:r w:rsidR="00EA6171">
        <w:rPr>
          <w:rFonts w:ascii="Arial" w:hAnsi="Arial" w:cs="Arial"/>
        </w:rPr>
        <w:t>,</w:t>
      </w:r>
      <w:r w:rsidR="00F36359">
        <w:rPr>
          <w:rFonts w:ascii="Arial" w:hAnsi="Arial" w:cs="Arial"/>
        </w:rPr>
        <w:t xml:space="preserve"> or </w:t>
      </w:r>
      <w:proofErr w:type="gramStart"/>
      <w:r w:rsidR="00EA6171">
        <w:rPr>
          <w:rFonts w:ascii="Arial" w:hAnsi="Arial" w:cs="Arial"/>
        </w:rPr>
        <w:t>is capable of integrating</w:t>
      </w:r>
      <w:proofErr w:type="gramEnd"/>
      <w:r w:rsidR="00EA6171">
        <w:rPr>
          <w:rFonts w:ascii="Arial" w:hAnsi="Arial" w:cs="Arial"/>
        </w:rPr>
        <w:t xml:space="preserve"> with</w:t>
      </w:r>
      <w:r>
        <w:rPr>
          <w:rFonts w:ascii="Arial" w:hAnsi="Arial" w:cs="Arial"/>
        </w:rPr>
        <w:t>,</w:t>
      </w:r>
      <w:r w:rsidR="00C01D8B">
        <w:rPr>
          <w:rFonts w:ascii="Arial" w:hAnsi="Arial" w:cs="Arial"/>
        </w:rPr>
        <w:t xml:space="preserve"> </w:t>
      </w:r>
      <w:r w:rsidR="00F36359">
        <w:rPr>
          <w:rFonts w:ascii="Arial" w:hAnsi="Arial" w:cs="Arial"/>
        </w:rPr>
        <w:t xml:space="preserve">talent management </w:t>
      </w:r>
      <w:r w:rsidR="00A531AD">
        <w:rPr>
          <w:rFonts w:ascii="Arial" w:hAnsi="Arial" w:cs="Arial"/>
        </w:rPr>
        <w:t xml:space="preserve">module </w:t>
      </w:r>
      <w:r w:rsidR="00F36359">
        <w:rPr>
          <w:rFonts w:ascii="Arial" w:hAnsi="Arial" w:cs="Arial"/>
        </w:rPr>
        <w:t>functionality</w:t>
      </w:r>
      <w:r w:rsidR="007B08A0">
        <w:rPr>
          <w:rFonts w:ascii="Arial" w:hAnsi="Arial" w:cs="Arial"/>
        </w:rPr>
        <w:t xml:space="preserve"> and provides for r</w:t>
      </w:r>
      <w:r w:rsidR="00334109">
        <w:rPr>
          <w:rFonts w:ascii="Arial" w:hAnsi="Arial" w:cs="Arial"/>
        </w:rPr>
        <w:t>eport</w:t>
      </w:r>
      <w:r w:rsidR="006046DE">
        <w:rPr>
          <w:rFonts w:ascii="Arial" w:hAnsi="Arial" w:cs="Arial"/>
        </w:rPr>
        <w:t>s</w:t>
      </w:r>
      <w:r w:rsidR="00334109">
        <w:rPr>
          <w:rFonts w:ascii="Arial" w:hAnsi="Arial" w:cs="Arial"/>
        </w:rPr>
        <w:t xml:space="preserve"> </w:t>
      </w:r>
      <w:r w:rsidR="006046DE">
        <w:rPr>
          <w:rFonts w:ascii="Arial" w:hAnsi="Arial" w:cs="Arial"/>
        </w:rPr>
        <w:t xml:space="preserve">and </w:t>
      </w:r>
      <w:r w:rsidR="001A3CC6">
        <w:rPr>
          <w:rFonts w:ascii="Arial" w:hAnsi="Arial" w:cs="Arial"/>
        </w:rPr>
        <w:t xml:space="preserve">analytics </w:t>
      </w:r>
      <w:r w:rsidR="006046DE">
        <w:rPr>
          <w:rFonts w:ascii="Arial" w:hAnsi="Arial" w:cs="Arial"/>
        </w:rPr>
        <w:t xml:space="preserve">that link to </w:t>
      </w:r>
      <w:r w:rsidR="001A3CC6">
        <w:rPr>
          <w:rFonts w:ascii="Arial" w:hAnsi="Arial" w:cs="Arial"/>
        </w:rPr>
        <w:t xml:space="preserve">performance </w:t>
      </w:r>
      <w:r w:rsidR="00A531AD">
        <w:rPr>
          <w:rFonts w:ascii="Arial" w:hAnsi="Arial" w:cs="Arial"/>
        </w:rPr>
        <w:t>outcomes</w:t>
      </w:r>
      <w:r w:rsidR="00DC2EB9">
        <w:rPr>
          <w:rFonts w:ascii="Arial" w:hAnsi="Arial" w:cs="Arial"/>
        </w:rPr>
        <w:t xml:space="preserve">, providing </w:t>
      </w:r>
      <w:r w:rsidR="007B3E2D">
        <w:rPr>
          <w:rFonts w:ascii="Arial" w:hAnsi="Arial" w:cs="Arial"/>
        </w:rPr>
        <w:t xml:space="preserve">talent specialists and senior </w:t>
      </w:r>
      <w:r w:rsidR="00F40185">
        <w:rPr>
          <w:rFonts w:ascii="Arial" w:hAnsi="Arial" w:cs="Arial"/>
        </w:rPr>
        <w:t>managers</w:t>
      </w:r>
      <w:r w:rsidR="00DC2EB9">
        <w:rPr>
          <w:rFonts w:ascii="Arial" w:hAnsi="Arial" w:cs="Arial"/>
        </w:rPr>
        <w:t xml:space="preserve"> with the</w:t>
      </w:r>
      <w:r w:rsidR="00F40185">
        <w:rPr>
          <w:rFonts w:ascii="Arial" w:hAnsi="Arial" w:cs="Arial"/>
        </w:rPr>
        <w:t xml:space="preserve"> insights</w:t>
      </w:r>
      <w:r w:rsidR="00473BDB">
        <w:rPr>
          <w:rFonts w:ascii="Arial" w:hAnsi="Arial" w:cs="Arial"/>
        </w:rPr>
        <w:t xml:space="preserve"> and function to</w:t>
      </w:r>
      <w:r w:rsidR="002317F4">
        <w:rPr>
          <w:rFonts w:ascii="Arial" w:hAnsi="Arial" w:cs="Arial"/>
        </w:rPr>
        <w:t xml:space="preserve"> manage </w:t>
      </w:r>
      <w:r w:rsidR="00473BDB">
        <w:rPr>
          <w:rFonts w:ascii="Arial" w:hAnsi="Arial" w:cs="Arial"/>
        </w:rPr>
        <w:t xml:space="preserve">across the full talent cycle. </w:t>
      </w:r>
    </w:p>
    <w:p w14:paraId="5AD6B900" w14:textId="77777777" w:rsidR="008C51E1" w:rsidRPr="0015754C" w:rsidRDefault="008C51E1" w:rsidP="00B4604C">
      <w:pPr>
        <w:ind w:left="357"/>
        <w:rPr>
          <w:rFonts w:ascii="Arial" w:hAnsi="Arial" w:cs="Arial"/>
        </w:rPr>
      </w:pPr>
      <w:r>
        <w:rPr>
          <w:rFonts w:ascii="Arial" w:hAnsi="Arial" w:cs="Arial"/>
        </w:rPr>
        <w:t xml:space="preserve">       </w:t>
      </w:r>
    </w:p>
    <w:p w14:paraId="706BB03F" w14:textId="12FB7F5C" w:rsidR="000C2404" w:rsidRDefault="002107B6" w:rsidP="007A2AAF">
      <w:pPr>
        <w:pStyle w:val="Heading1"/>
        <w:numPr>
          <w:ilvl w:val="0"/>
          <w:numId w:val="0"/>
        </w:numPr>
      </w:pPr>
      <w:bookmarkStart w:id="8" w:name="_Toc214868664"/>
      <w:r>
        <w:lastRenderedPageBreak/>
        <w:t>Preliminary market engagement</w:t>
      </w:r>
      <w:bookmarkEnd w:id="8"/>
      <w:r w:rsidR="002C4E41">
        <w:t xml:space="preserve"> </w:t>
      </w:r>
      <w:bookmarkStart w:id="9" w:name="_Toc167865316"/>
    </w:p>
    <w:bookmarkEnd w:id="9"/>
    <w:p w14:paraId="66E8BD46" w14:textId="1FDB50DB" w:rsidR="009C5590" w:rsidRDefault="009C5590" w:rsidP="009C5590">
      <w:r>
        <w:t>The Agency ran a Request for Information</w:t>
      </w:r>
      <w:r w:rsidR="00C316C5">
        <w:t xml:space="preserve"> exercise</w:t>
      </w:r>
      <w:r>
        <w:t xml:space="preserve"> between </w:t>
      </w:r>
      <w:r w:rsidR="00BF4BEC">
        <w:t>29</w:t>
      </w:r>
      <w:r w:rsidR="00BF4BEC" w:rsidRPr="00BF4BEC">
        <w:rPr>
          <w:vertAlign w:val="superscript"/>
        </w:rPr>
        <w:t>th</w:t>
      </w:r>
      <w:r w:rsidR="00BF4BEC">
        <w:t xml:space="preserve"> January</w:t>
      </w:r>
      <w:r>
        <w:t xml:space="preserve"> and </w:t>
      </w:r>
      <w:r w:rsidR="00BF4BEC">
        <w:t>28</w:t>
      </w:r>
      <w:r w:rsidR="00BF4BEC" w:rsidRPr="00BF4BEC">
        <w:rPr>
          <w:vertAlign w:val="superscript"/>
        </w:rPr>
        <w:t>th</w:t>
      </w:r>
      <w:r w:rsidR="00BF4BEC">
        <w:t xml:space="preserve"> February</w:t>
      </w:r>
      <w:r>
        <w:t xml:space="preserve"> 2025. The RFI was published via t</w:t>
      </w:r>
      <w:r w:rsidR="00BF4BEC">
        <w:t xml:space="preserve">he CCS framework </w:t>
      </w:r>
      <w:r w:rsidR="00116DFC">
        <w:t>Learning and Training Services DPS</w:t>
      </w:r>
      <w:r w:rsidR="003E69EB">
        <w:t xml:space="preserve"> (RM6129)</w:t>
      </w:r>
      <w:r>
        <w:t xml:space="preserve">. </w:t>
      </w:r>
    </w:p>
    <w:p w14:paraId="09B2019F" w14:textId="77777777" w:rsidR="009C5590" w:rsidRDefault="009C5590" w:rsidP="009C5590"/>
    <w:p w14:paraId="0CF4E66A" w14:textId="3D00D550" w:rsidR="009C5590" w:rsidRDefault="009C5590" w:rsidP="009C5590">
      <w:r>
        <w:t>The RFI was open to potentially interested Tenderers for a period of</w:t>
      </w:r>
      <w:r w:rsidR="003E69EB">
        <w:t xml:space="preserve"> one month and closed for resp</w:t>
      </w:r>
      <w:r>
        <w:t>onses on</w:t>
      </w:r>
      <w:r w:rsidR="003E69EB">
        <w:t xml:space="preserve"> 28</w:t>
      </w:r>
      <w:r w:rsidR="003E69EB" w:rsidRPr="003E69EB">
        <w:rPr>
          <w:vertAlign w:val="superscript"/>
        </w:rPr>
        <w:t>th</w:t>
      </w:r>
      <w:r w:rsidR="003E69EB">
        <w:t xml:space="preserve"> February</w:t>
      </w:r>
      <w:r>
        <w:t xml:space="preserve"> 2025.</w:t>
      </w:r>
    </w:p>
    <w:p w14:paraId="2A382615" w14:textId="77777777" w:rsidR="009C5590" w:rsidRDefault="009C5590" w:rsidP="009C5590"/>
    <w:p w14:paraId="4719C899" w14:textId="5ECC89E0" w:rsidR="009C5590" w:rsidRDefault="009C5590" w:rsidP="009C5590">
      <w:r>
        <w:t xml:space="preserve">Subsequently the Agency has decided to publish an Open Tender to procure </w:t>
      </w:r>
      <w:r w:rsidR="00B75DDC">
        <w:t>an</w:t>
      </w:r>
      <w:r>
        <w:t xml:space="preserve"> Agency </w:t>
      </w:r>
      <w:r w:rsidR="00627CBE">
        <w:t>Le</w:t>
      </w:r>
      <w:r w:rsidR="00B75DDC">
        <w:t>a</w:t>
      </w:r>
      <w:r w:rsidR="00627CBE">
        <w:t>rning Management</w:t>
      </w:r>
      <w:r w:rsidR="00502868">
        <w:t>/Experience</w:t>
      </w:r>
      <w:r>
        <w:t xml:space="preserve"> S</w:t>
      </w:r>
      <w:r w:rsidR="001A3B5C">
        <w:t>ystem</w:t>
      </w:r>
      <w:r>
        <w:t>. The Agency’s decision to publish an RFI in no way should be construed as favouring any potential Tenderer.</w:t>
      </w:r>
    </w:p>
    <w:p w14:paraId="0CFE456B" w14:textId="7A60C58A" w:rsidR="00D13322" w:rsidRDefault="002107B6" w:rsidP="00DF644D">
      <w:pPr>
        <w:pStyle w:val="Heading1"/>
        <w:numPr>
          <w:ilvl w:val="0"/>
          <w:numId w:val="0"/>
        </w:numPr>
      </w:pPr>
      <w:bookmarkStart w:id="10" w:name="_Toc214868665"/>
      <w:r>
        <w:lastRenderedPageBreak/>
        <w:t xml:space="preserve">The </w:t>
      </w:r>
      <w:r w:rsidR="00203A2B">
        <w:t xml:space="preserve">procurement </w:t>
      </w:r>
      <w:r>
        <w:t>process</w:t>
      </w:r>
      <w:bookmarkEnd w:id="10"/>
    </w:p>
    <w:p w14:paraId="73F51E8E" w14:textId="46FA0D6F" w:rsidR="0095157C" w:rsidRPr="003A4BBE" w:rsidRDefault="0095157C" w:rsidP="00B06893">
      <w:pPr>
        <w:pStyle w:val="BodyText1"/>
        <w:rPr>
          <w:b/>
          <w:bCs/>
          <w:color w:val="auto"/>
        </w:rPr>
      </w:pPr>
      <w:r w:rsidRPr="003A4BBE">
        <w:rPr>
          <w:b/>
          <w:bCs/>
          <w:color w:val="auto"/>
        </w:rPr>
        <w:t>General Information</w:t>
      </w:r>
    </w:p>
    <w:p w14:paraId="074BB5D6" w14:textId="44C50FD4" w:rsidR="00C46259" w:rsidRDefault="000A10AD" w:rsidP="002840CF">
      <w:pPr>
        <w:pStyle w:val="BodyText1"/>
        <w:numPr>
          <w:ilvl w:val="0"/>
          <w:numId w:val="4"/>
        </w:numPr>
        <w:ind w:left="357" w:hanging="357"/>
      </w:pPr>
      <w:r>
        <w:t xml:space="preserve">The Authority invites you to take part in this procurement for </w:t>
      </w:r>
      <w:r w:rsidR="007A2AAF">
        <w:t xml:space="preserve">the Agency’s Backup and Archive Solution. </w:t>
      </w:r>
      <w:r w:rsidR="007B322F">
        <w:t>Tenders</w:t>
      </w:r>
      <w:r w:rsidR="00582F2E">
        <w:t xml:space="preserve"> and PSQ Responses</w:t>
      </w:r>
      <w:r w:rsidR="007B322F">
        <w:t xml:space="preserve"> are required to be submitted by</w:t>
      </w:r>
      <w:r w:rsidR="007A2AAF">
        <w:t xml:space="preserve"> 14:00</w:t>
      </w:r>
      <w:r w:rsidR="007B322F">
        <w:t xml:space="preserve"> on </w:t>
      </w:r>
      <w:r w:rsidR="00C316C5" w:rsidRPr="0007432C">
        <w:t>Wednesday 2</w:t>
      </w:r>
      <w:r w:rsidR="007A2D97" w:rsidRPr="0007432C">
        <w:t>4</w:t>
      </w:r>
      <w:r w:rsidR="00C316C5" w:rsidRPr="0007432C">
        <w:rPr>
          <w:vertAlign w:val="superscript"/>
        </w:rPr>
        <w:t>th</w:t>
      </w:r>
      <w:r w:rsidR="00C316C5" w:rsidRPr="0007432C">
        <w:t xml:space="preserve"> </w:t>
      </w:r>
      <w:r w:rsidR="007A2D97" w:rsidRPr="0007432C">
        <w:t>December</w:t>
      </w:r>
      <w:r w:rsidR="007A2AAF" w:rsidRPr="0007432C">
        <w:t xml:space="preserve"> 2025</w:t>
      </w:r>
      <w:r w:rsidR="007A2AAF">
        <w:t>.</w:t>
      </w:r>
    </w:p>
    <w:p w14:paraId="5E50535C" w14:textId="1555C92D" w:rsidR="000D36CC" w:rsidRDefault="00AF541A" w:rsidP="002840CF">
      <w:pPr>
        <w:pStyle w:val="BodyText1"/>
        <w:numPr>
          <w:ilvl w:val="0"/>
          <w:numId w:val="4"/>
        </w:numPr>
        <w:ind w:left="357" w:hanging="357"/>
      </w:pPr>
      <w:r w:rsidRPr="00AE2304">
        <w:t xml:space="preserve">This Procurement is being conducted in accordance with the Act using the </w:t>
      </w:r>
      <w:r>
        <w:t>Open</w:t>
      </w:r>
      <w:r w:rsidRPr="00AE2304">
        <w:t xml:space="preserve"> Procedure</w:t>
      </w:r>
      <w:r>
        <w:t>, and the Au</w:t>
      </w:r>
      <w:r w:rsidR="006D07F7" w:rsidRPr="006D07F7">
        <w:t xml:space="preserve">thority intends that the </w:t>
      </w:r>
      <w:r w:rsidR="00582F2E">
        <w:t>P</w:t>
      </w:r>
      <w:r w:rsidR="006D07F7" w:rsidRPr="006D07F7">
        <w:t xml:space="preserve">rocurement will comply with </w:t>
      </w:r>
      <w:r w:rsidR="00A4317A">
        <w:t xml:space="preserve">Part 2 of </w:t>
      </w:r>
      <w:r w:rsidR="006D07F7" w:rsidRPr="006D07F7">
        <w:t xml:space="preserve">the Act </w:t>
      </w:r>
      <w:r w:rsidR="00A4317A">
        <w:t>on</w:t>
      </w:r>
      <w:r w:rsidR="0069453F">
        <w:t xml:space="preserve"> </w:t>
      </w:r>
      <w:r w:rsidR="006D07F7" w:rsidRPr="006D07F7">
        <w:t>principles</w:t>
      </w:r>
      <w:r w:rsidR="0069453F">
        <w:t xml:space="preserve"> and objectives</w:t>
      </w:r>
      <w:r w:rsidR="006D07F7" w:rsidRPr="006D07F7">
        <w:t xml:space="preserve">, including value for money, </w:t>
      </w:r>
      <w:r w:rsidR="00814DAE">
        <w:t>public good</w:t>
      </w:r>
      <w:r w:rsidR="006D07F7" w:rsidRPr="006D07F7">
        <w:t xml:space="preserve">, </w:t>
      </w:r>
      <w:r w:rsidR="005D1696">
        <w:t xml:space="preserve">transparency, </w:t>
      </w:r>
      <w:r w:rsidR="006D07F7" w:rsidRPr="006D07F7">
        <w:t>integrity, equal treatment</w:t>
      </w:r>
      <w:r w:rsidR="005D1696">
        <w:t xml:space="preserve"> and </w:t>
      </w:r>
      <w:r w:rsidR="006D07F7" w:rsidRPr="006D07F7">
        <w:t>non-discrimination</w:t>
      </w:r>
      <w:r w:rsidR="00F42489">
        <w:t>.</w:t>
      </w:r>
    </w:p>
    <w:p w14:paraId="02D41CCD" w14:textId="370CB4AF" w:rsidR="007B322F" w:rsidRDefault="006C1824" w:rsidP="002840CF">
      <w:pPr>
        <w:pStyle w:val="BodyText1"/>
        <w:numPr>
          <w:ilvl w:val="0"/>
          <w:numId w:val="4"/>
        </w:numPr>
        <w:ind w:left="357" w:hanging="357"/>
      </w:pPr>
      <w:r>
        <w:t xml:space="preserve">This </w:t>
      </w:r>
      <w:r w:rsidR="00F42489">
        <w:t>Open P</w:t>
      </w:r>
      <w:r w:rsidR="003E673C">
        <w:t>rocedure will be conducted in one stage</w:t>
      </w:r>
      <w:r w:rsidR="00C730F6">
        <w:t>. Th</w:t>
      </w:r>
      <w:r w:rsidR="00AF26E2">
        <w:t xml:space="preserve">is </w:t>
      </w:r>
      <w:r w:rsidR="0094302B">
        <w:t xml:space="preserve">means </w:t>
      </w:r>
      <w:r w:rsidR="00AF26E2">
        <w:t>th</w:t>
      </w:r>
      <w:r w:rsidR="00C730F6">
        <w:t>ere is no restriction on who</w:t>
      </w:r>
      <w:r w:rsidR="00AF26E2">
        <w:t xml:space="preserve"> can submit a Tender </w:t>
      </w:r>
      <w:r w:rsidR="00582F2E">
        <w:t>and PSQ R</w:t>
      </w:r>
      <w:r w:rsidR="00F77976">
        <w:t>esponse,</w:t>
      </w:r>
      <w:r w:rsidR="008F2807">
        <w:t xml:space="preserve"> and all information has been made available to all Suppliers</w:t>
      </w:r>
      <w:r w:rsidR="00216033">
        <w:t xml:space="preserve"> </w:t>
      </w:r>
      <w:r w:rsidR="00F42489">
        <w:t>who may be interested in participating in the Procurement</w:t>
      </w:r>
      <w:r w:rsidR="00216033">
        <w:t>.</w:t>
      </w:r>
      <w:r w:rsidR="00A512CC">
        <w:t xml:space="preserve"> </w:t>
      </w:r>
    </w:p>
    <w:p w14:paraId="2D6E64C9" w14:textId="3D8B2A3A" w:rsidR="00C21C5D" w:rsidRPr="00C21C5D" w:rsidRDefault="00071589" w:rsidP="002840CF">
      <w:pPr>
        <w:pStyle w:val="BodyText1"/>
        <w:numPr>
          <w:ilvl w:val="0"/>
          <w:numId w:val="4"/>
        </w:numPr>
        <w:ind w:left="357" w:hanging="357"/>
        <w:rPr>
          <w:b/>
          <w:bCs/>
        </w:rPr>
      </w:pPr>
      <w:r>
        <w:t>The Authority will check Supplier</w:t>
      </w:r>
      <w:r w:rsidR="00582F2E">
        <w:t>’s Tender and PSQ</w:t>
      </w:r>
      <w:r w:rsidR="00725B4D">
        <w:t xml:space="preserve"> </w:t>
      </w:r>
      <w:r w:rsidR="00582F2E">
        <w:t>R</w:t>
      </w:r>
      <w:r w:rsidR="00725B4D">
        <w:t xml:space="preserve">esponse for </w:t>
      </w:r>
      <w:r w:rsidR="00643CF2" w:rsidRPr="00643CF2">
        <w:t xml:space="preserve">completeness and compliance with </w:t>
      </w:r>
      <w:r w:rsidR="00E45C90" w:rsidRPr="00643CF2">
        <w:t>the instructions</w:t>
      </w:r>
      <w:r w:rsidR="009D5D4C">
        <w:t xml:space="preserve"> and requirements set out in this document and the other documents associated with the Procurement</w:t>
      </w:r>
      <w:r w:rsidR="00643CF2" w:rsidRPr="00643CF2">
        <w:t xml:space="preserve">. </w:t>
      </w:r>
      <w:r w:rsidR="009D5D4C">
        <w:t>These include a requirement for Suppliers to complete and</w:t>
      </w:r>
      <w:r w:rsidR="007B322F">
        <w:t xml:space="preserve"> submi</w:t>
      </w:r>
      <w:r w:rsidR="009D5D4C">
        <w:t>t</w:t>
      </w:r>
      <w:r w:rsidR="00C837BF">
        <w:t xml:space="preserve"> the</w:t>
      </w:r>
      <w:r w:rsidR="00C21C5D">
        <w:t>:</w:t>
      </w:r>
      <w:r w:rsidR="00C837BF">
        <w:t xml:space="preserve"> </w:t>
      </w:r>
    </w:p>
    <w:p w14:paraId="761C08C9" w14:textId="77777777" w:rsidR="007B322F" w:rsidRDefault="007B322F" w:rsidP="002840CF">
      <w:pPr>
        <w:pStyle w:val="BodyText1"/>
        <w:numPr>
          <w:ilvl w:val="1"/>
          <w:numId w:val="4"/>
        </w:numPr>
      </w:pPr>
      <w:r>
        <w:t>Qualification Envelope, including:</w:t>
      </w:r>
    </w:p>
    <w:p w14:paraId="5536A8CA" w14:textId="19C1F582" w:rsidR="007B322F" w:rsidRDefault="007B322F" w:rsidP="002840CF">
      <w:pPr>
        <w:pStyle w:val="BodyText1"/>
        <w:numPr>
          <w:ilvl w:val="2"/>
          <w:numId w:val="4"/>
        </w:numPr>
      </w:pPr>
      <w:r>
        <w:t xml:space="preserve">the </w:t>
      </w:r>
      <w:r w:rsidR="00886247">
        <w:t>p</w:t>
      </w:r>
      <w:r>
        <w:t xml:space="preserve">rocurement </w:t>
      </w:r>
      <w:r w:rsidR="00886247">
        <w:t>s</w:t>
      </w:r>
      <w:r>
        <w:t xml:space="preserve">pecific </w:t>
      </w:r>
      <w:r w:rsidR="00886247">
        <w:t>q</w:t>
      </w:r>
      <w:r>
        <w:t>uestionnaire</w:t>
      </w:r>
      <w:r w:rsidR="006F30DE">
        <w:t xml:space="preserve"> (PSQ)</w:t>
      </w:r>
      <w:r>
        <w:t>;</w:t>
      </w:r>
    </w:p>
    <w:p w14:paraId="41BA46E8" w14:textId="02AABB6A" w:rsidR="00C21C5D" w:rsidRPr="0049690F" w:rsidRDefault="00C21C5D" w:rsidP="002840CF">
      <w:pPr>
        <w:pStyle w:val="BodyText1"/>
        <w:numPr>
          <w:ilvl w:val="2"/>
          <w:numId w:val="4"/>
        </w:numPr>
      </w:pPr>
      <w:r w:rsidRPr="0049690F">
        <w:t xml:space="preserve">Appendix </w:t>
      </w:r>
      <w:r w:rsidR="007561DE">
        <w:t>F</w:t>
      </w:r>
      <w:r w:rsidRPr="0049690F">
        <w:t>: Form of Tender</w:t>
      </w:r>
      <w:r w:rsidR="007B322F">
        <w:t>;</w:t>
      </w:r>
    </w:p>
    <w:p w14:paraId="223F1454" w14:textId="5E440CE6" w:rsidR="00C21C5D" w:rsidRPr="0049690F" w:rsidRDefault="00C21C5D" w:rsidP="002840CF">
      <w:pPr>
        <w:pStyle w:val="BodyText1"/>
        <w:numPr>
          <w:ilvl w:val="2"/>
          <w:numId w:val="4"/>
        </w:numPr>
      </w:pPr>
      <w:r w:rsidRPr="0049690F">
        <w:t xml:space="preserve">Appendix </w:t>
      </w:r>
      <w:r w:rsidR="007561DE">
        <w:t>G</w:t>
      </w:r>
      <w:r w:rsidRPr="0049690F">
        <w:t>: Certificate of non-collusion and non-canvassing</w:t>
      </w:r>
      <w:r w:rsidR="007B322F">
        <w:t>; and</w:t>
      </w:r>
    </w:p>
    <w:p w14:paraId="45CC8142" w14:textId="35F7C93A" w:rsidR="007B322F" w:rsidRDefault="00C21C5D" w:rsidP="002840CF">
      <w:pPr>
        <w:pStyle w:val="BodyText1"/>
        <w:numPr>
          <w:ilvl w:val="2"/>
          <w:numId w:val="4"/>
        </w:numPr>
      </w:pPr>
      <w:r w:rsidRPr="0049690F">
        <w:t xml:space="preserve">Appendix </w:t>
      </w:r>
      <w:r w:rsidR="007561DE">
        <w:t>H</w:t>
      </w:r>
      <w:r w:rsidRPr="0049690F">
        <w:t>: Commercially sensitive information</w:t>
      </w:r>
      <w:r w:rsidR="007B322F">
        <w:t>;</w:t>
      </w:r>
    </w:p>
    <w:p w14:paraId="4C9AD21C" w14:textId="21AD2342" w:rsidR="00477A1C" w:rsidRDefault="007B322F" w:rsidP="002840CF">
      <w:pPr>
        <w:pStyle w:val="BodyText1"/>
        <w:numPr>
          <w:ilvl w:val="1"/>
          <w:numId w:val="4"/>
        </w:numPr>
      </w:pPr>
      <w:r>
        <w:t>Technical Envelope;</w:t>
      </w:r>
    </w:p>
    <w:p w14:paraId="1D5E323E" w14:textId="2BC1C764" w:rsidR="00C21C5D" w:rsidRDefault="007B322F" w:rsidP="002840CF">
      <w:pPr>
        <w:pStyle w:val="BodyText1"/>
        <w:numPr>
          <w:ilvl w:val="1"/>
          <w:numId w:val="4"/>
        </w:numPr>
      </w:pPr>
      <w:r>
        <w:t>Commercial Envelope</w:t>
      </w:r>
      <w:r w:rsidR="004E2CCF">
        <w:t>, the attached Appendix J Pricing</w:t>
      </w:r>
    </w:p>
    <w:p w14:paraId="1A9133FC" w14:textId="65CE5604" w:rsidR="00A22484" w:rsidRPr="00C529E2" w:rsidRDefault="00643CF2" w:rsidP="002840CF">
      <w:pPr>
        <w:pStyle w:val="BodyText1"/>
        <w:numPr>
          <w:ilvl w:val="0"/>
          <w:numId w:val="4"/>
        </w:numPr>
        <w:ind w:left="357" w:hanging="357"/>
        <w:rPr>
          <w:b/>
          <w:bCs/>
        </w:rPr>
      </w:pPr>
      <w:r w:rsidRPr="00643CF2">
        <w:t>The Authority may reject</w:t>
      </w:r>
      <w:r w:rsidR="00B05B0A">
        <w:t xml:space="preserve"> </w:t>
      </w:r>
      <w:r w:rsidR="007B322F">
        <w:t xml:space="preserve">a </w:t>
      </w:r>
      <w:r w:rsidR="00B05B0A">
        <w:t>Supplier</w:t>
      </w:r>
      <w:r w:rsidR="007B322F">
        <w:t>’s</w:t>
      </w:r>
      <w:r w:rsidR="00B05B0A">
        <w:t xml:space="preserve"> </w:t>
      </w:r>
      <w:r w:rsidR="00582F2E">
        <w:t xml:space="preserve">Tender and PSQ Response </w:t>
      </w:r>
      <w:r w:rsidR="007B322F">
        <w:t xml:space="preserve">if </w:t>
      </w:r>
      <w:r w:rsidR="00582F2E">
        <w:t>either</w:t>
      </w:r>
      <w:r w:rsidR="007B322F">
        <w:t xml:space="preserve"> is </w:t>
      </w:r>
      <w:r w:rsidRPr="00643CF2">
        <w:t>substantially and materially incomplete, non-compliant, inconsistent or vague</w:t>
      </w:r>
      <w:r w:rsidR="007B322F">
        <w:t xml:space="preserve"> or if </w:t>
      </w:r>
      <w:r w:rsidR="00582F2E">
        <w:t>the Supplier</w:t>
      </w:r>
      <w:r w:rsidR="007B322F">
        <w:t xml:space="preserve"> seeks to amend or qualify in any way the terms of the Contract</w:t>
      </w:r>
      <w:r w:rsidRPr="00643CF2">
        <w:t>.</w:t>
      </w:r>
      <w:r w:rsidR="009F31FE">
        <w:t xml:space="preserve"> </w:t>
      </w:r>
    </w:p>
    <w:p w14:paraId="0F34FA6F" w14:textId="3D146AC3" w:rsidR="00A34FBB" w:rsidRPr="00A34FBB" w:rsidRDefault="00C529E2" w:rsidP="002840CF">
      <w:pPr>
        <w:pStyle w:val="BodyText1"/>
        <w:numPr>
          <w:ilvl w:val="0"/>
          <w:numId w:val="4"/>
        </w:numPr>
        <w:ind w:left="357" w:hanging="357"/>
        <w:rPr>
          <w:b/>
          <w:bCs/>
        </w:rPr>
      </w:pPr>
      <w:r>
        <w:t xml:space="preserve">The Agency will host a </w:t>
      </w:r>
      <w:r w:rsidR="00A34FBB">
        <w:t xml:space="preserve">virtual </w:t>
      </w:r>
      <w:r>
        <w:t xml:space="preserve">Supplier Day </w:t>
      </w:r>
      <w:r w:rsidR="004C6A3A">
        <w:t xml:space="preserve">on </w:t>
      </w:r>
      <w:r w:rsidR="00936C5D">
        <w:t>Wednesday 10</w:t>
      </w:r>
      <w:r w:rsidR="00936C5D" w:rsidRPr="00936C5D">
        <w:rPr>
          <w:vertAlign w:val="superscript"/>
        </w:rPr>
        <w:t>th</w:t>
      </w:r>
      <w:r w:rsidR="00936C5D">
        <w:t xml:space="preserve"> December</w:t>
      </w:r>
      <w:r w:rsidR="00935D44">
        <w:t xml:space="preserve"> </w:t>
      </w:r>
      <w:r w:rsidR="004C6A3A">
        <w:t>2025</w:t>
      </w:r>
      <w:r w:rsidR="00F2732B">
        <w:t xml:space="preserve"> at </w:t>
      </w:r>
      <w:r w:rsidR="004C6A3A">
        <w:t xml:space="preserve"> </w:t>
      </w:r>
      <w:r w:rsidR="00721FE4">
        <w:t>10.30hrs-12.30hrs</w:t>
      </w:r>
    </w:p>
    <w:p w14:paraId="60B30B21" w14:textId="3D122272" w:rsidR="00A34FBB" w:rsidRPr="00CE5129" w:rsidRDefault="00A34FBB" w:rsidP="002840CF">
      <w:pPr>
        <w:pStyle w:val="BodyText1"/>
        <w:numPr>
          <w:ilvl w:val="0"/>
          <w:numId w:val="4"/>
        </w:numPr>
        <w:ind w:left="357" w:hanging="357"/>
        <w:rPr>
          <w:b/>
          <w:bCs/>
        </w:rPr>
      </w:pPr>
      <w:r>
        <w:t xml:space="preserve">The Supplier Day will be hosted </w:t>
      </w:r>
      <w:r w:rsidR="00B5102D">
        <w:t>as an Event on</w:t>
      </w:r>
      <w:r>
        <w:t xml:space="preserve"> Microsoft Teams.</w:t>
      </w:r>
    </w:p>
    <w:p w14:paraId="1B8CCF04" w14:textId="07422292" w:rsidR="00C529E2" w:rsidRPr="00255286" w:rsidRDefault="004C6A3A" w:rsidP="002840CF">
      <w:pPr>
        <w:pStyle w:val="BodyText1"/>
        <w:numPr>
          <w:ilvl w:val="0"/>
          <w:numId w:val="4"/>
        </w:numPr>
        <w:ind w:left="357" w:hanging="357"/>
        <w:rPr>
          <w:b/>
          <w:bCs/>
        </w:rPr>
      </w:pPr>
      <w:r>
        <w:t>This will be an opportunity for the Agency to share information with potential Tenderers and answer questions</w:t>
      </w:r>
      <w:r w:rsidR="00255286">
        <w:t xml:space="preserve">. </w:t>
      </w:r>
    </w:p>
    <w:p w14:paraId="00B6FDAB" w14:textId="1E23AF79" w:rsidR="00255286" w:rsidRPr="00A824C9" w:rsidRDefault="00255286" w:rsidP="002840CF">
      <w:pPr>
        <w:pStyle w:val="BodyText1"/>
        <w:numPr>
          <w:ilvl w:val="0"/>
          <w:numId w:val="4"/>
        </w:numPr>
        <w:ind w:left="357" w:hanging="357"/>
        <w:rPr>
          <w:b/>
          <w:bCs/>
        </w:rPr>
      </w:pPr>
      <w:r>
        <w:t>Responses to questions</w:t>
      </w:r>
      <w:r w:rsidR="00AC10C3">
        <w:t xml:space="preserve"> which are not deemed to be commercially sensitive which are </w:t>
      </w:r>
      <w:r>
        <w:t xml:space="preserve"> asked at the Supplier Day will be published electronically via the Atamis portal.</w:t>
      </w:r>
    </w:p>
    <w:p w14:paraId="19D49D3D" w14:textId="36EAEF45" w:rsidR="00EE175C" w:rsidRPr="007F1030" w:rsidRDefault="0096388A">
      <w:pPr>
        <w:pStyle w:val="BodyText1"/>
        <w:numPr>
          <w:ilvl w:val="0"/>
          <w:numId w:val="4"/>
        </w:numPr>
        <w:ind w:left="357" w:hanging="357"/>
        <w:rPr>
          <w:lang w:val="en-US"/>
        </w:rPr>
      </w:pPr>
      <w:r>
        <w:lastRenderedPageBreak/>
        <w:t xml:space="preserve">The link attendees should use to join the </w:t>
      </w:r>
      <w:r w:rsidR="00A34FBB">
        <w:t>Supplier Day is provided here</w:t>
      </w:r>
      <w:r w:rsidR="007F1030">
        <w:t>:</w:t>
      </w:r>
    </w:p>
    <w:p w14:paraId="014619F4" w14:textId="1AB5F402" w:rsidR="007F1030" w:rsidRPr="007F1030" w:rsidRDefault="007F1030" w:rsidP="007F1030">
      <w:pPr>
        <w:pStyle w:val="ListParagraph"/>
        <w:ind w:left="360"/>
        <w:rPr>
          <w:rFonts w:ascii="Arial" w:hAnsi="Arial"/>
        </w:rPr>
      </w:pPr>
      <w:hyperlink r:id="rId22" w:history="1">
        <w:r w:rsidRPr="00980C60">
          <w:rPr>
            <w:rStyle w:val="Hyperlink"/>
            <w:rFonts w:ascii="Arial" w:hAnsi="Arial"/>
          </w:rPr>
          <w:t>https://teams.microsoft.com/l/meetup-join/19%3ameeting_Y2Q1YmYxM2ItYjI0Mi00MGNiLTgwNTUtYTc0NDQzMzlhN2Q3%40thread.v2/0?context=%7b%22Tid%22%3a%22e527ea5c-6258-4cd2-a27f-8bd237ec4c26%22%2c%22Oid%22%3a%22e7b4ec2c-b655-4cc4-bfd9-b2bc8a76191b%22%7d</w:t>
        </w:r>
      </w:hyperlink>
    </w:p>
    <w:p w14:paraId="30EA55A8" w14:textId="12D7D245" w:rsidR="006F5FBA" w:rsidRPr="00A22484" w:rsidRDefault="006F5FBA" w:rsidP="00C877DE">
      <w:pPr>
        <w:pStyle w:val="BodyText1"/>
        <w:ind w:left="357"/>
        <w:rPr>
          <w:b/>
          <w:bCs/>
        </w:rPr>
      </w:pPr>
    </w:p>
    <w:p w14:paraId="14552450" w14:textId="2C4FB33D" w:rsidR="00586932" w:rsidRPr="00804D8D" w:rsidRDefault="00B94370" w:rsidP="00B26C9C">
      <w:pPr>
        <w:pStyle w:val="BodyText1"/>
        <w:rPr>
          <w:b/>
          <w:bCs/>
        </w:rPr>
      </w:pPr>
      <w:r w:rsidRPr="00804D8D">
        <w:rPr>
          <w:b/>
          <w:bCs/>
        </w:rPr>
        <w:t xml:space="preserve">About the </w:t>
      </w:r>
      <w:r w:rsidR="00586932" w:rsidRPr="00804D8D">
        <w:rPr>
          <w:b/>
          <w:bCs/>
        </w:rPr>
        <w:t>Procurement Specific</w:t>
      </w:r>
      <w:r w:rsidR="00363117" w:rsidRPr="00804D8D">
        <w:rPr>
          <w:b/>
          <w:bCs/>
        </w:rPr>
        <w:t xml:space="preserve"> Questionnaire (PSQ</w:t>
      </w:r>
      <w:r w:rsidR="00582F2E">
        <w:rPr>
          <w:b/>
          <w:bCs/>
        </w:rPr>
        <w:t xml:space="preserve"> Response</w:t>
      </w:r>
      <w:r w:rsidR="00363117" w:rsidRPr="00804D8D">
        <w:rPr>
          <w:b/>
          <w:bCs/>
        </w:rPr>
        <w:t>)</w:t>
      </w:r>
      <w:r w:rsidR="00582F2E">
        <w:rPr>
          <w:b/>
          <w:bCs/>
        </w:rPr>
        <w:t xml:space="preserve"> (Qualification Envelope)</w:t>
      </w:r>
    </w:p>
    <w:p w14:paraId="4198D665" w14:textId="27CB9479" w:rsidR="00964F92" w:rsidRDefault="007B322F" w:rsidP="002840CF">
      <w:pPr>
        <w:pStyle w:val="BodyText1"/>
        <w:numPr>
          <w:ilvl w:val="0"/>
          <w:numId w:val="4"/>
        </w:numPr>
        <w:ind w:left="357" w:hanging="357"/>
      </w:pPr>
      <w:r>
        <w:t xml:space="preserve">The Qualification Envelope contains </w:t>
      </w:r>
      <w:r w:rsidR="00964F92">
        <w:t>a procurement specific questionnaire (PSQ</w:t>
      </w:r>
      <w:r w:rsidR="008035C8">
        <w:t>)</w:t>
      </w:r>
      <w:r w:rsidR="00964F92">
        <w:t xml:space="preserve"> which all </w:t>
      </w:r>
      <w:r w:rsidR="00F42489">
        <w:t xml:space="preserve">Suppliers </w:t>
      </w:r>
      <w:r w:rsidR="00964F92">
        <w:t>are required to complete and return in accordance with the Procurement Timetable and Instructions on ‘How to respond to this Opportunity’.</w:t>
      </w:r>
      <w:r w:rsidR="00412DF9">
        <w:t xml:space="preserve"> A summary of the questions contained within the PSQ are </w:t>
      </w:r>
      <w:r w:rsidR="00A903F3">
        <w:t xml:space="preserve">below, and </w:t>
      </w:r>
      <w:r w:rsidR="00B171F8">
        <w:t xml:space="preserve">the full PSQ is available on the </w:t>
      </w:r>
      <w:hyperlink r:id="rId23" w:history="1">
        <w:r w:rsidR="00B171F8">
          <w:rPr>
            <w:rStyle w:val="Hyperlink"/>
          </w:rPr>
          <w:t>Procurement Pathway</w:t>
        </w:r>
      </w:hyperlink>
      <w:r w:rsidR="00B171F8">
        <w:t xml:space="preserve">. </w:t>
      </w:r>
    </w:p>
    <w:p w14:paraId="546B20DE" w14:textId="41DFED76" w:rsidR="009D1B2A" w:rsidRDefault="00640A9C" w:rsidP="002840CF">
      <w:pPr>
        <w:pStyle w:val="BodyText1"/>
        <w:numPr>
          <w:ilvl w:val="0"/>
          <w:numId w:val="4"/>
        </w:numPr>
        <w:ind w:left="357" w:hanging="357"/>
      </w:pPr>
      <w:r>
        <w:t>The PSQ has been designed to help the Authority</w:t>
      </w:r>
      <w:r w:rsidR="00560BDD">
        <w:t xml:space="preserve"> ensure that Suppliers share the right information when participating in the </w:t>
      </w:r>
      <w:r w:rsidR="00536D09">
        <w:t>Procurement</w:t>
      </w:r>
      <w:r w:rsidR="00D14B4A">
        <w:t xml:space="preserve"> and </w:t>
      </w:r>
      <w:r w:rsidR="009D5D4C">
        <w:t>to assess whether the Supplier ought to be excluded from participation in the Procurement</w:t>
      </w:r>
      <w:r w:rsidR="009D1B2A">
        <w:t xml:space="preserve"> because one of the exclusion grounds applies</w:t>
      </w:r>
      <w:r w:rsidR="00D14B4A">
        <w:t>.</w:t>
      </w:r>
      <w:r w:rsidR="00536D09">
        <w:t xml:space="preserve"> </w:t>
      </w:r>
      <w:r w:rsidR="009D1B2A">
        <w:t>The assessment of the PSQ</w:t>
      </w:r>
      <w:r w:rsidR="00AB544E">
        <w:t xml:space="preserve"> Response</w:t>
      </w:r>
      <w:r w:rsidR="009D1B2A">
        <w:t xml:space="preserve"> </w:t>
      </w:r>
      <w:r w:rsidR="00560BDD">
        <w:t>is separate from the</w:t>
      </w:r>
      <w:r w:rsidR="009D1B2A">
        <w:t xml:space="preserve"> Authority’s assessment of</w:t>
      </w:r>
      <w:r w:rsidR="009D5D4C">
        <w:t xml:space="preserve"> </w:t>
      </w:r>
      <w:r w:rsidR="009D1B2A">
        <w:t xml:space="preserve">the </w:t>
      </w:r>
      <w:r w:rsidR="009D5D4C">
        <w:t>Supplier’s</w:t>
      </w:r>
      <w:r w:rsidR="00560BDD">
        <w:t xml:space="preserve"> Tender</w:t>
      </w:r>
      <w:r w:rsidR="009D1B2A">
        <w:t>.  T</w:t>
      </w:r>
      <w:r w:rsidR="009D5D4C">
        <w:t>he Supplier</w:t>
      </w:r>
      <w:r w:rsidR="009D1B2A">
        <w:t xml:space="preserve"> is required to set out in the Technical Envelope and Commercial Envelope </w:t>
      </w:r>
      <w:r w:rsidR="0059481F">
        <w:t xml:space="preserve">how </w:t>
      </w:r>
      <w:r w:rsidR="009D5D4C">
        <w:t xml:space="preserve">it </w:t>
      </w:r>
      <w:r w:rsidR="0059481F">
        <w:t>proposes to meet the Authority’s requirements</w:t>
      </w:r>
      <w:r w:rsidR="009D5D4C">
        <w:t xml:space="preserve"> in relation to the Contract</w:t>
      </w:r>
      <w:r w:rsidR="009D1B2A">
        <w:t xml:space="preserve">, and it is the Technical Envelope and Commercial Envelope submissions which will be assessed </w:t>
      </w:r>
      <w:proofErr w:type="gramStart"/>
      <w:r w:rsidR="009D1B2A">
        <w:t>in order to</w:t>
      </w:r>
      <w:proofErr w:type="gramEnd"/>
      <w:r w:rsidR="009D1B2A">
        <w:t xml:space="preserve"> identify the most advantageous </w:t>
      </w:r>
      <w:r w:rsidR="00AB544E">
        <w:t>T</w:t>
      </w:r>
      <w:r w:rsidR="009D1B2A">
        <w:t>ender and the winning Supplier</w:t>
      </w:r>
      <w:r w:rsidR="00705E7A">
        <w:t xml:space="preserve">. </w:t>
      </w:r>
    </w:p>
    <w:p w14:paraId="104977C4" w14:textId="7DDE4E34" w:rsidR="00640A9C" w:rsidRDefault="00705E7A" w:rsidP="002840CF">
      <w:pPr>
        <w:pStyle w:val="BodyText1"/>
        <w:numPr>
          <w:ilvl w:val="0"/>
          <w:numId w:val="4"/>
        </w:numPr>
        <w:ind w:left="357" w:hanging="357"/>
      </w:pPr>
      <w:r>
        <w:t>The PSQ consists of three parts</w:t>
      </w:r>
      <w:r w:rsidR="006F1553">
        <w:t>.</w:t>
      </w:r>
    </w:p>
    <w:p w14:paraId="583E405D" w14:textId="1E33AAC0" w:rsidR="006F1553" w:rsidRDefault="006F1553" w:rsidP="002840CF">
      <w:pPr>
        <w:pStyle w:val="BodyText1"/>
        <w:numPr>
          <w:ilvl w:val="0"/>
          <w:numId w:val="4"/>
        </w:numPr>
        <w:ind w:left="357" w:hanging="357"/>
      </w:pPr>
      <w:r w:rsidRPr="0025500A">
        <w:rPr>
          <w:b/>
          <w:bCs/>
        </w:rPr>
        <w:t>Part 1</w:t>
      </w:r>
      <w:r>
        <w:t xml:space="preserve"> – confirmation of core supplier information: Supplier</w:t>
      </w:r>
      <w:r w:rsidR="00536D09">
        <w:t>s</w:t>
      </w:r>
      <w:r>
        <w:t xml:space="preserve"> participating in this </w:t>
      </w:r>
      <w:r w:rsidR="009D1B2A">
        <w:t xml:space="preserve">Procurement </w:t>
      </w:r>
      <w:r>
        <w:t>a</w:t>
      </w:r>
      <w:r w:rsidR="00E70618">
        <w:t>re expected to register on the Central Digital Platform (CDP)</w:t>
      </w:r>
      <w:r w:rsidR="00EB5667">
        <w:t xml:space="preserve"> and </w:t>
      </w:r>
      <w:r w:rsidR="00536D09">
        <w:t xml:space="preserve">share </w:t>
      </w:r>
      <w:r w:rsidR="00EB5667">
        <w:t xml:space="preserve">their </w:t>
      </w:r>
      <w:r w:rsidR="000B2555">
        <w:t>core supplier information with the Authority via the CDP</w:t>
      </w:r>
      <w:r w:rsidR="004541B0">
        <w:t>. Part 1 provides confirmation that Suppliers have taken these steps</w:t>
      </w:r>
      <w:r w:rsidR="00536D09">
        <w:t>.</w:t>
      </w:r>
    </w:p>
    <w:p w14:paraId="63EC57E2" w14:textId="6CCB7A8F" w:rsidR="009F231F" w:rsidRDefault="004541B0" w:rsidP="002840CF">
      <w:pPr>
        <w:pStyle w:val="BodyText1"/>
        <w:numPr>
          <w:ilvl w:val="0"/>
          <w:numId w:val="4"/>
        </w:numPr>
        <w:ind w:left="357" w:hanging="357"/>
      </w:pPr>
      <w:r w:rsidRPr="0025500A">
        <w:rPr>
          <w:b/>
          <w:bCs/>
        </w:rPr>
        <w:t>Part 2</w:t>
      </w:r>
      <w:r>
        <w:t xml:space="preserve"> – additional exclusions </w:t>
      </w:r>
      <w:r w:rsidR="00CE0308">
        <w:t xml:space="preserve">information: </w:t>
      </w:r>
      <w:r w:rsidR="00777232" w:rsidRPr="00777232">
        <w:t xml:space="preserve">procurement legislation provides for an ‘exclusion regime’ and a published ‘debarment’ list to safeguard procurement from suppliers who may pose a risk (for example, due to misconduct or poor performance). Suppliers must submit their own (and their </w:t>
      </w:r>
      <w:r w:rsidR="009D1B2A">
        <w:t>C</w:t>
      </w:r>
      <w:r w:rsidR="009D1B2A" w:rsidRPr="00777232">
        <w:t xml:space="preserve">onnected </w:t>
      </w:r>
      <w:r w:rsidR="009D1B2A">
        <w:t>P</w:t>
      </w:r>
      <w:r w:rsidR="009D1B2A" w:rsidRPr="00777232">
        <w:t>erso</w:t>
      </w:r>
      <w:r w:rsidR="009D1B2A">
        <w:t>ns’</w:t>
      </w:r>
      <w:r w:rsidR="004A09ED">
        <w:t>)</w:t>
      </w:r>
      <w:r w:rsidR="00777232" w:rsidRPr="00777232">
        <w:t xml:space="preserve"> exclusions information via the CDP. This includes self-declarations as to whether any exclusion grounds apply to them and, if so, details about the event or conviction and what steps have been taken to prevent such circumstances from occurring again.</w:t>
      </w:r>
    </w:p>
    <w:p w14:paraId="2F52134A" w14:textId="5BD9E6E6" w:rsidR="00705E7A" w:rsidRPr="009F231F" w:rsidRDefault="00072738" w:rsidP="002840CF">
      <w:pPr>
        <w:pStyle w:val="BodyText1"/>
        <w:numPr>
          <w:ilvl w:val="0"/>
          <w:numId w:val="4"/>
        </w:numPr>
        <w:ind w:left="357" w:hanging="357"/>
      </w:pPr>
      <w:r w:rsidRPr="003A0BEE">
        <w:t>As</w:t>
      </w:r>
      <w:r w:rsidRPr="00072738">
        <w:t xml:space="preserve"> part of </w:t>
      </w:r>
      <w:r>
        <w:t>this</w:t>
      </w:r>
      <w:r w:rsidRPr="00072738">
        <w:t xml:space="preserve"> </w:t>
      </w:r>
      <w:r w:rsidR="00536D09">
        <w:t>P</w:t>
      </w:r>
      <w:r w:rsidR="00536D09" w:rsidRPr="00072738">
        <w:t>rocurement</w:t>
      </w:r>
      <w:r w:rsidRPr="00072738">
        <w:t xml:space="preserve">, </w:t>
      </w:r>
      <w:r>
        <w:t>S</w:t>
      </w:r>
      <w:r w:rsidRPr="00072738">
        <w:t>upplier</w:t>
      </w:r>
      <w:r>
        <w:t>s</w:t>
      </w:r>
      <w:r w:rsidRPr="00072738">
        <w:t xml:space="preserve"> </w:t>
      </w:r>
      <w:r w:rsidR="00536D09">
        <w:t>are required</w:t>
      </w:r>
      <w:r w:rsidRPr="00072738">
        <w:t xml:space="preserve"> to also share additional exclusions information for any suppliers that they are relying on to meet the conditions of participation</w:t>
      </w:r>
      <w:r w:rsidR="009D1B2A">
        <w:t xml:space="preserve"> for this Procurement set out in Part 3 of the PSQ</w:t>
      </w:r>
      <w:r w:rsidRPr="00072738">
        <w:t xml:space="preserve">. These could either be consortium members or key sub-contractors (but </w:t>
      </w:r>
      <w:r w:rsidR="00536D09">
        <w:t>exclusions information is not required for</w:t>
      </w:r>
      <w:r w:rsidR="00536D09" w:rsidRPr="00072738">
        <w:t xml:space="preserve"> </w:t>
      </w:r>
      <w:r w:rsidRPr="00072738">
        <w:t xml:space="preserve">any </w:t>
      </w:r>
      <w:r w:rsidR="00536D09">
        <w:t xml:space="preserve">suppliers who are merely </w:t>
      </w:r>
      <w:r w:rsidRPr="00072738">
        <w:t xml:space="preserve">guarantors). These suppliers are ‘associated persons’ and their exclusions information must be shared with the </w:t>
      </w:r>
      <w:r w:rsidR="00536D09">
        <w:t>A</w:t>
      </w:r>
      <w:r w:rsidRPr="00072738">
        <w:t xml:space="preserve">uthority. </w:t>
      </w:r>
      <w:r w:rsidR="00657118">
        <w:t>The Authority r</w:t>
      </w:r>
      <w:r w:rsidRPr="00072738">
        <w:t>ecommend</w:t>
      </w:r>
      <w:r w:rsidR="00AF2AFC">
        <w:t>s</w:t>
      </w:r>
      <w:r w:rsidRPr="00072738">
        <w:t xml:space="preserve"> this is done by ensuring that associated persons register, submit and share their information via the CDP (</w:t>
      </w:r>
      <w:r w:rsidR="009D1B2A">
        <w:t>in the same way as the S</w:t>
      </w:r>
      <w:r w:rsidRPr="00301C86">
        <w:t>upplier</w:t>
      </w:r>
      <w:r w:rsidR="009D1B2A">
        <w:t xml:space="preserve"> itself</w:t>
      </w:r>
      <w:r w:rsidRPr="00301C86">
        <w:t>).</w:t>
      </w:r>
      <w:r w:rsidR="009D1B2A">
        <w:t xml:space="preserve">  If th</w:t>
      </w:r>
      <w:r w:rsidR="001534B6">
        <w:t>e</w:t>
      </w:r>
      <w:r w:rsidR="009D1B2A">
        <w:t xml:space="preserve"> </w:t>
      </w:r>
      <w:r w:rsidR="001534B6">
        <w:lastRenderedPageBreak/>
        <w:t xml:space="preserve">exclusions </w:t>
      </w:r>
      <w:r w:rsidR="009D1B2A">
        <w:t xml:space="preserve">information </w:t>
      </w:r>
      <w:r w:rsidR="001534B6">
        <w:t xml:space="preserve">for its associated persons </w:t>
      </w:r>
      <w:r w:rsidR="009D1B2A">
        <w:t xml:space="preserve">is not shared </w:t>
      </w:r>
      <w:r w:rsidR="001534B6">
        <w:t>via the CDP, t</w:t>
      </w:r>
      <w:r w:rsidR="009D1B2A" w:rsidRPr="00301C86">
        <w:t xml:space="preserve">he </w:t>
      </w:r>
      <w:r w:rsidR="00301C86" w:rsidRPr="009F231F">
        <w:t>S</w:t>
      </w:r>
      <w:r w:rsidR="00EB1CE1" w:rsidRPr="009F231F">
        <w:t xml:space="preserve">upplier will need </w:t>
      </w:r>
      <w:r w:rsidR="001534B6">
        <w:t xml:space="preserve">instead </w:t>
      </w:r>
      <w:r w:rsidR="00EB1CE1" w:rsidRPr="009F231F">
        <w:t xml:space="preserve">to collate this information </w:t>
      </w:r>
      <w:r w:rsidR="00D03471" w:rsidRPr="009F231F">
        <w:t xml:space="preserve">as PDF downloads and submit as part of </w:t>
      </w:r>
      <w:r w:rsidR="001534B6">
        <w:t xml:space="preserve">its </w:t>
      </w:r>
      <w:r w:rsidR="00D03471" w:rsidRPr="009F231F">
        <w:t>response to Part 2</w:t>
      </w:r>
      <w:r w:rsidR="001534B6">
        <w:t xml:space="preserve"> of the PSQ</w:t>
      </w:r>
      <w:r w:rsidR="00C30756" w:rsidRPr="009F231F">
        <w:t>.</w:t>
      </w:r>
    </w:p>
    <w:p w14:paraId="56B30510" w14:textId="44549775" w:rsidR="00CB7D60" w:rsidRPr="007679F4" w:rsidRDefault="009823CF" w:rsidP="002840CF">
      <w:pPr>
        <w:pStyle w:val="BodyText1"/>
        <w:numPr>
          <w:ilvl w:val="0"/>
          <w:numId w:val="4"/>
        </w:numPr>
        <w:ind w:left="357" w:hanging="357"/>
      </w:pPr>
      <w:r>
        <w:rPr>
          <w:rFonts w:ascii="Arial" w:hAnsi="Arial" w:cs="Arial"/>
        </w:rPr>
        <w:t>In addition to the sub-contractors</w:t>
      </w:r>
      <w:r w:rsidR="00AF2AFC">
        <w:rPr>
          <w:rFonts w:ascii="Arial" w:hAnsi="Arial" w:cs="Arial"/>
        </w:rPr>
        <w:t xml:space="preserve"> (if any)</w:t>
      </w:r>
      <w:r>
        <w:rPr>
          <w:rFonts w:ascii="Arial" w:hAnsi="Arial" w:cs="Arial"/>
        </w:rPr>
        <w:t xml:space="preserve"> who are being relied on to meet the conditions of participation (who are associated persons), </w:t>
      </w:r>
      <w:r w:rsidR="00AF2AFC">
        <w:rPr>
          <w:rFonts w:ascii="Arial" w:hAnsi="Arial" w:cs="Arial"/>
        </w:rPr>
        <w:t>Suppliers are also required</w:t>
      </w:r>
      <w:r>
        <w:rPr>
          <w:rFonts w:ascii="Arial" w:hAnsi="Arial" w:cs="Arial"/>
        </w:rPr>
        <w:t xml:space="preserve"> to share an</w:t>
      </w:r>
      <w:r w:rsidR="00EE10E6">
        <w:rPr>
          <w:rFonts w:ascii="Arial" w:hAnsi="Arial" w:cs="Arial"/>
        </w:rPr>
        <w:t xml:space="preserve"> exhaustive list of all their intended sub-contractors, which will be checked against the debarment list.</w:t>
      </w:r>
    </w:p>
    <w:p w14:paraId="1F1A4AC4" w14:textId="1225A129" w:rsidR="00CB7D60" w:rsidRPr="00CB7D60" w:rsidRDefault="00CB7D60" w:rsidP="002840CF">
      <w:pPr>
        <w:pStyle w:val="BodyText1"/>
        <w:numPr>
          <w:ilvl w:val="0"/>
          <w:numId w:val="4"/>
        </w:numPr>
        <w:ind w:left="357" w:hanging="357"/>
      </w:pPr>
      <w:r w:rsidRPr="00CB7D60">
        <w:t xml:space="preserve">If </w:t>
      </w:r>
      <w:r w:rsidR="00F114F8">
        <w:t xml:space="preserve">the identity of </w:t>
      </w:r>
      <w:r w:rsidRPr="00CB7D60">
        <w:t xml:space="preserve">a sub-contractor is unknown </w:t>
      </w:r>
      <w:r w:rsidR="00F114F8">
        <w:t xml:space="preserve">when the </w:t>
      </w:r>
      <w:r w:rsidR="00AB544E">
        <w:t>T</w:t>
      </w:r>
      <w:r w:rsidR="00F114F8">
        <w:t>ender is submitted</w:t>
      </w:r>
      <w:r w:rsidRPr="00CB7D60">
        <w:t xml:space="preserve">, this should be made clear by the </w:t>
      </w:r>
      <w:r>
        <w:t>S</w:t>
      </w:r>
      <w:r w:rsidRPr="00CB7D60">
        <w:t xml:space="preserve">upplier and relevant details of the sub-contractor should be provided once their identity and role is confirmed. This information should be shared with the </w:t>
      </w:r>
      <w:r>
        <w:t>A</w:t>
      </w:r>
      <w:r w:rsidRPr="00CB7D60">
        <w:t xml:space="preserve">uthority as soon as possible and </w:t>
      </w:r>
      <w:r w:rsidR="00F114F8">
        <w:t xml:space="preserve">the Authority reserves the right to reassess the Supplier’s </w:t>
      </w:r>
      <w:r w:rsidR="00AB544E">
        <w:t>PSQ Response</w:t>
      </w:r>
      <w:r w:rsidR="00F114F8">
        <w:t xml:space="preserve"> </w:t>
      </w:r>
      <w:proofErr w:type="gramStart"/>
      <w:r w:rsidR="00F114F8">
        <w:t>in light of</w:t>
      </w:r>
      <w:proofErr w:type="gramEnd"/>
      <w:r w:rsidR="00F114F8">
        <w:t xml:space="preserve"> the information provided</w:t>
      </w:r>
      <w:r w:rsidRPr="00CB7D60">
        <w:t>.</w:t>
      </w:r>
    </w:p>
    <w:p w14:paraId="4B72451A" w14:textId="20550756" w:rsidR="00CB7D60" w:rsidRDefault="00E416FF" w:rsidP="002840CF">
      <w:pPr>
        <w:pStyle w:val="BodyText1"/>
        <w:numPr>
          <w:ilvl w:val="0"/>
          <w:numId w:val="4"/>
        </w:numPr>
        <w:ind w:left="357" w:hanging="357"/>
      </w:pPr>
      <w:r w:rsidRPr="0025500A">
        <w:rPr>
          <w:b/>
          <w:bCs/>
        </w:rPr>
        <w:t>Part 3</w:t>
      </w:r>
      <w:r w:rsidRPr="00E416FF">
        <w:t xml:space="preserve"> - conditions of participation: </w:t>
      </w:r>
      <w:r>
        <w:t>The</w:t>
      </w:r>
      <w:r w:rsidRPr="00E416FF">
        <w:t xml:space="preserve"> </w:t>
      </w:r>
      <w:r>
        <w:t xml:space="preserve">Authority </w:t>
      </w:r>
      <w:r w:rsidR="009369E5">
        <w:t xml:space="preserve">has </w:t>
      </w:r>
      <w:r w:rsidRPr="00E416FF">
        <w:t xml:space="preserve">set conditions of participation which a </w:t>
      </w:r>
      <w:r w:rsidR="008677D1">
        <w:t>S</w:t>
      </w:r>
      <w:r w:rsidRPr="00E416FF">
        <w:t xml:space="preserve">upplier must satisfy </w:t>
      </w:r>
      <w:proofErr w:type="gramStart"/>
      <w:r w:rsidRPr="00E416FF">
        <w:t>in order to</w:t>
      </w:r>
      <w:proofErr w:type="gramEnd"/>
      <w:r w:rsidRPr="00E416FF">
        <w:t xml:space="preserve"> be awarded </w:t>
      </w:r>
      <w:r w:rsidR="00436D5C">
        <w:t>the C</w:t>
      </w:r>
      <w:r w:rsidRPr="00E416FF">
        <w:t xml:space="preserve">ontract. They relate to the </w:t>
      </w:r>
      <w:r w:rsidR="00436D5C" w:rsidRPr="003E6C0F">
        <w:t xml:space="preserve">Supplier’s </w:t>
      </w:r>
      <w:r w:rsidRPr="003E6C0F">
        <w:t xml:space="preserve">legal and financial capacity </w:t>
      </w:r>
      <w:r w:rsidR="00436D5C" w:rsidRPr="003E6C0F">
        <w:t>and</w:t>
      </w:r>
      <w:r w:rsidRPr="003E6C0F">
        <w:t xml:space="preserve"> technical ability</w:t>
      </w:r>
      <w:r w:rsidR="003D44E1">
        <w:t xml:space="preserve"> and are detailed in </w:t>
      </w:r>
      <w:r w:rsidR="003A201D">
        <w:t>the ‘The assessment process and award criteria’ section of this document.</w:t>
      </w:r>
    </w:p>
    <w:p w14:paraId="736A9580" w14:textId="3E05AA3E" w:rsidR="009F7027" w:rsidRDefault="0076490A" w:rsidP="002840CF">
      <w:pPr>
        <w:pStyle w:val="BodyText1"/>
        <w:numPr>
          <w:ilvl w:val="0"/>
          <w:numId w:val="4"/>
        </w:numPr>
        <w:ind w:left="357" w:hanging="357"/>
      </w:pPr>
      <w:r w:rsidRPr="0076490A">
        <w:t xml:space="preserve">Some of the information requested in the PSQ </w:t>
      </w:r>
      <w:r w:rsidR="003A21BA">
        <w:t>is</w:t>
      </w:r>
      <w:r w:rsidRPr="0076490A">
        <w:t xml:space="preserve"> for information purposes only. Other information will be assessed by the </w:t>
      </w:r>
      <w:r>
        <w:t>A</w:t>
      </w:r>
      <w:r w:rsidRPr="0076490A">
        <w:t>uthority</w:t>
      </w:r>
      <w:r>
        <w:t xml:space="preserve"> in accordance with </w:t>
      </w:r>
      <w:r w:rsidR="00434FAB">
        <w:t xml:space="preserve">assessment criteria and methodology detailed in the ‘The assessment process and award criteria’ section of this document. </w:t>
      </w:r>
    </w:p>
    <w:p w14:paraId="79CD1558" w14:textId="24A79450" w:rsidR="009F7027" w:rsidRDefault="009F7027" w:rsidP="002840CF">
      <w:pPr>
        <w:pStyle w:val="BodyText1"/>
        <w:numPr>
          <w:ilvl w:val="0"/>
          <w:numId w:val="4"/>
        </w:numPr>
        <w:ind w:left="357" w:hanging="357"/>
      </w:pPr>
      <w:r w:rsidRPr="009F7027">
        <w:t>Suppliers should note that</w:t>
      </w:r>
      <w:r>
        <w:t xml:space="preserve"> the A</w:t>
      </w:r>
      <w:r w:rsidRPr="009F7027">
        <w:t>uthorit</w:t>
      </w:r>
      <w:r w:rsidR="0019361D">
        <w:t>y</w:t>
      </w:r>
      <w:r w:rsidRPr="009F7027">
        <w:t xml:space="preserve"> ha</w:t>
      </w:r>
      <w:r w:rsidR="0019361D">
        <w:t>s</w:t>
      </w:r>
      <w:r w:rsidRPr="009F7027">
        <w:t xml:space="preserve"> legislative duties to publish certain information which relate</w:t>
      </w:r>
      <w:r w:rsidR="003A21BA">
        <w:t>s</w:t>
      </w:r>
      <w:r w:rsidRPr="009F7027">
        <w:t xml:space="preserve"> to the </w:t>
      </w:r>
      <w:r w:rsidR="003A21BA">
        <w:t>S</w:t>
      </w:r>
      <w:r w:rsidR="003A21BA" w:rsidRPr="009F7027">
        <w:t xml:space="preserve">upplier </w:t>
      </w:r>
      <w:r w:rsidRPr="009F7027">
        <w:t xml:space="preserve">in </w:t>
      </w:r>
      <w:r w:rsidR="003A21BA">
        <w:t>its</w:t>
      </w:r>
      <w:r w:rsidRPr="009F7027">
        <w:t xml:space="preserve"> contract award notice</w:t>
      </w:r>
      <w:r w:rsidR="003A21BA">
        <w:t xml:space="preserve"> for the Procurement</w:t>
      </w:r>
      <w:r w:rsidRPr="009F7027">
        <w:t>. This information includes, but is not limited to:</w:t>
      </w:r>
    </w:p>
    <w:p w14:paraId="18F2C6F0" w14:textId="364C6782" w:rsidR="0019361D" w:rsidRDefault="0019361D" w:rsidP="002840CF">
      <w:pPr>
        <w:pStyle w:val="BodyText1"/>
        <w:numPr>
          <w:ilvl w:val="1"/>
          <w:numId w:val="4"/>
        </w:numPr>
      </w:pPr>
      <w:r>
        <w:t xml:space="preserve">details of the winning </w:t>
      </w:r>
      <w:r w:rsidR="003A21BA">
        <w:t xml:space="preserve">Supplier’s </w:t>
      </w:r>
      <w:r>
        <w:t>associated persons</w:t>
      </w:r>
    </w:p>
    <w:p w14:paraId="240971CE" w14:textId="4D3807BF" w:rsidR="0019361D" w:rsidRDefault="0019361D" w:rsidP="002840CF">
      <w:pPr>
        <w:pStyle w:val="BodyText1"/>
        <w:numPr>
          <w:ilvl w:val="1"/>
          <w:numId w:val="4"/>
        </w:numPr>
      </w:pPr>
      <w:r>
        <w:t xml:space="preserve">details of the winning </w:t>
      </w:r>
      <w:r w:rsidR="003E1398">
        <w:t>Suppliers Connected P</w:t>
      </w:r>
      <w:r>
        <w:t>erson</w:t>
      </w:r>
      <w:r w:rsidR="003E1398">
        <w:t>s</w:t>
      </w:r>
      <w:r>
        <w:t xml:space="preserve"> information</w:t>
      </w:r>
    </w:p>
    <w:p w14:paraId="513760EF" w14:textId="4EAEC305" w:rsidR="0019361D" w:rsidRPr="009F7027" w:rsidRDefault="003E1398" w:rsidP="002840CF">
      <w:pPr>
        <w:pStyle w:val="BodyText1"/>
        <w:numPr>
          <w:ilvl w:val="1"/>
          <w:numId w:val="4"/>
        </w:numPr>
      </w:pPr>
      <w:r>
        <w:t xml:space="preserve">for </w:t>
      </w:r>
      <w:r w:rsidR="0019361D">
        <w:t>certain procurements over £5 million, details of unsuccessful bidders</w:t>
      </w:r>
      <w:r>
        <w:t>.</w:t>
      </w:r>
      <w:r w:rsidR="008678F6">
        <w:br/>
      </w:r>
    </w:p>
    <w:p w14:paraId="7A379BF5" w14:textId="7DCF2B59" w:rsidR="00961FE8" w:rsidRPr="00964F92" w:rsidRDefault="00961FE8" w:rsidP="00B26C9C">
      <w:pPr>
        <w:pStyle w:val="BodyText1"/>
        <w:rPr>
          <w:b/>
          <w:bCs/>
        </w:rPr>
      </w:pPr>
      <w:r w:rsidRPr="00964F92">
        <w:rPr>
          <w:b/>
          <w:bCs/>
        </w:rPr>
        <w:t>Assessing</w:t>
      </w:r>
      <w:r w:rsidR="00725312" w:rsidRPr="00964F92">
        <w:rPr>
          <w:b/>
          <w:bCs/>
        </w:rPr>
        <w:t xml:space="preserve"> responses to the PSQ, including information shared via the CDP</w:t>
      </w:r>
    </w:p>
    <w:p w14:paraId="07B3BA56" w14:textId="6629E324" w:rsidR="00761E29" w:rsidRDefault="00761E29" w:rsidP="002840CF">
      <w:pPr>
        <w:pStyle w:val="BodyText1"/>
        <w:numPr>
          <w:ilvl w:val="0"/>
          <w:numId w:val="4"/>
        </w:numPr>
        <w:ind w:left="357" w:hanging="357"/>
      </w:pPr>
      <w:r>
        <w:t xml:space="preserve">The Authority will </w:t>
      </w:r>
      <w:r w:rsidR="00340FA6">
        <w:t xml:space="preserve">undertake a review of </w:t>
      </w:r>
      <w:r w:rsidR="00CB4E09">
        <w:t>com</w:t>
      </w:r>
      <w:r w:rsidR="00340FA6">
        <w:t xml:space="preserve">pleted </w:t>
      </w:r>
      <w:r w:rsidR="00AB544E">
        <w:t>PSQ R</w:t>
      </w:r>
      <w:r w:rsidR="00494BB2">
        <w:t>esponses</w:t>
      </w:r>
      <w:r w:rsidR="00C47AA3">
        <w:t xml:space="preserve"> submitted</w:t>
      </w:r>
      <w:r w:rsidR="009A357F">
        <w:t xml:space="preserve"> </w:t>
      </w:r>
      <w:r w:rsidR="00CB4E09">
        <w:t>to</w:t>
      </w:r>
      <w:r w:rsidR="00706A4A">
        <w:t>:</w:t>
      </w:r>
    </w:p>
    <w:p w14:paraId="35F7AA8F" w14:textId="2B4244FF" w:rsidR="00716787" w:rsidRDefault="003E1398" w:rsidP="002840CF">
      <w:pPr>
        <w:pStyle w:val="BodyText1"/>
        <w:numPr>
          <w:ilvl w:val="1"/>
          <w:numId w:val="4"/>
        </w:numPr>
      </w:pPr>
      <w:r>
        <w:t xml:space="preserve">validate </w:t>
      </w:r>
      <w:r w:rsidR="00716787">
        <w:t>the responses to the preliminary questions</w:t>
      </w:r>
      <w:r w:rsidR="00683518">
        <w:t xml:space="preserve"> in Part 1</w:t>
      </w:r>
      <w:r w:rsidR="00E65E23">
        <w:t xml:space="preserve"> and</w:t>
      </w:r>
      <w:r w:rsidR="00AC5459">
        <w:t xml:space="preserve"> assess</w:t>
      </w:r>
      <w:r w:rsidR="00E65E23">
        <w:t xml:space="preserve"> 2 and 3</w:t>
      </w:r>
      <w:r w:rsidR="00AC5459">
        <w:t>.</w:t>
      </w:r>
    </w:p>
    <w:p w14:paraId="1D223340" w14:textId="5E36B4B8" w:rsidR="000923C5" w:rsidRDefault="00A90265" w:rsidP="002840CF">
      <w:pPr>
        <w:pStyle w:val="BodyText1"/>
        <w:numPr>
          <w:ilvl w:val="1"/>
          <w:numId w:val="4"/>
        </w:numPr>
      </w:pPr>
      <w:r>
        <w:t xml:space="preserve">confirm that Suppliers participating in the </w:t>
      </w:r>
      <w:r w:rsidR="003E1398">
        <w:t xml:space="preserve">Procurement </w:t>
      </w:r>
      <w:r>
        <w:t>have</w:t>
      </w:r>
      <w:r w:rsidR="00B8658A">
        <w:t xml:space="preserve"> submitted their core supplier information via the </w:t>
      </w:r>
      <w:r w:rsidR="003E1398">
        <w:t>Central D</w:t>
      </w:r>
      <w:r w:rsidR="00B8658A">
        <w:t xml:space="preserve">igital </w:t>
      </w:r>
      <w:r w:rsidR="003E1398">
        <w:t>P</w:t>
      </w:r>
      <w:r w:rsidR="00B8658A">
        <w:t>latform (CDP)</w:t>
      </w:r>
    </w:p>
    <w:p w14:paraId="408BCA97" w14:textId="6CA919CA" w:rsidR="00DA17EB" w:rsidRDefault="00E65E23" w:rsidP="002840CF">
      <w:pPr>
        <w:pStyle w:val="BodyText1"/>
        <w:numPr>
          <w:ilvl w:val="1"/>
          <w:numId w:val="4"/>
        </w:numPr>
      </w:pPr>
      <w:r>
        <w:t>c</w:t>
      </w:r>
      <w:r w:rsidR="00363F7D">
        <w:t>onfirm that neither the Supplier</w:t>
      </w:r>
      <w:r w:rsidR="00982C07">
        <w:t>, nor any</w:t>
      </w:r>
      <w:r w:rsidR="003E1398">
        <w:t xml:space="preserve"> Connected P</w:t>
      </w:r>
      <w:r w:rsidR="00982C07">
        <w:t xml:space="preserve">ersons, associated persons </w:t>
      </w:r>
      <w:r w:rsidR="00A83964">
        <w:t xml:space="preserve">relied on to meet the conditions of participation, or </w:t>
      </w:r>
      <w:r w:rsidR="003E1398">
        <w:t xml:space="preserve">intended </w:t>
      </w:r>
      <w:r w:rsidR="00A83964">
        <w:t>sub-contractors are listed on the debarment list</w:t>
      </w:r>
      <w:r w:rsidR="00B537F0">
        <w:t>. To the exten</w:t>
      </w:r>
      <w:r w:rsidR="00356B6A">
        <w:t>t</w:t>
      </w:r>
      <w:r w:rsidR="00B537F0">
        <w:t xml:space="preserve"> that any such entities are listed on the debarment list, the Authority will consider whether to exclude the Supplier</w:t>
      </w:r>
      <w:r w:rsidR="00DA17EB">
        <w:t xml:space="preserve"> from participating in the Procurement in accordance with its obligations under the Act</w:t>
      </w:r>
    </w:p>
    <w:p w14:paraId="1816EB0B" w14:textId="5868A972" w:rsidR="00363F7D" w:rsidRDefault="006D482A" w:rsidP="002840CF">
      <w:pPr>
        <w:pStyle w:val="BodyText1"/>
        <w:numPr>
          <w:ilvl w:val="1"/>
          <w:numId w:val="4"/>
        </w:numPr>
      </w:pPr>
      <w:r w:rsidRPr="00DD01ED">
        <w:rPr>
          <w:rFonts w:ascii="Arial" w:hAnsi="Arial" w:cs="Arial"/>
        </w:rPr>
        <w:lastRenderedPageBreak/>
        <w:t xml:space="preserve">consider whether any Supplier or </w:t>
      </w:r>
      <w:r w:rsidR="003E1398">
        <w:rPr>
          <w:rFonts w:ascii="Arial" w:hAnsi="Arial" w:cs="Arial"/>
        </w:rPr>
        <w:t>its Connected Persons</w:t>
      </w:r>
      <w:r w:rsidRPr="00DD01ED">
        <w:rPr>
          <w:rFonts w:ascii="Arial" w:hAnsi="Arial" w:cs="Arial"/>
        </w:rPr>
        <w:t xml:space="preserve">, associated persons relied on to meet the conditions of participation, or </w:t>
      </w:r>
      <w:r w:rsidR="003E1398">
        <w:rPr>
          <w:rFonts w:ascii="Arial" w:hAnsi="Arial" w:cs="Arial"/>
        </w:rPr>
        <w:t>intended</w:t>
      </w:r>
      <w:r w:rsidR="003E1398" w:rsidRPr="00DD01ED">
        <w:rPr>
          <w:rFonts w:ascii="Arial" w:hAnsi="Arial" w:cs="Arial"/>
        </w:rPr>
        <w:t xml:space="preserve"> </w:t>
      </w:r>
      <w:r w:rsidRPr="00DD01ED">
        <w:rPr>
          <w:rFonts w:ascii="Arial" w:hAnsi="Arial" w:cs="Arial"/>
        </w:rPr>
        <w:t>sub-contractors are excluded</w:t>
      </w:r>
      <w:r w:rsidR="003E1398">
        <w:rPr>
          <w:rFonts w:ascii="Arial" w:hAnsi="Arial" w:cs="Arial"/>
        </w:rPr>
        <w:t xml:space="preserve"> suppliers</w:t>
      </w:r>
      <w:r w:rsidRPr="00DD01ED">
        <w:rPr>
          <w:rFonts w:ascii="Arial" w:hAnsi="Arial" w:cs="Arial"/>
        </w:rPr>
        <w:t xml:space="preserve"> or excludable </w:t>
      </w:r>
      <w:r w:rsidR="003E1398">
        <w:rPr>
          <w:rFonts w:ascii="Arial" w:hAnsi="Arial" w:cs="Arial"/>
        </w:rPr>
        <w:t>s</w:t>
      </w:r>
      <w:r w:rsidR="003E1398" w:rsidRPr="00DD01ED">
        <w:rPr>
          <w:rFonts w:ascii="Arial" w:hAnsi="Arial" w:cs="Arial"/>
        </w:rPr>
        <w:t>uppliers</w:t>
      </w:r>
      <w:r w:rsidRPr="00DD01ED">
        <w:rPr>
          <w:rFonts w:ascii="Arial" w:hAnsi="Arial" w:cs="Arial"/>
        </w:rPr>
        <w:t>, and before the Authority determines that a Supplier is an excluded</w:t>
      </w:r>
      <w:r w:rsidR="003E1398">
        <w:rPr>
          <w:rFonts w:ascii="Arial" w:hAnsi="Arial" w:cs="Arial"/>
        </w:rPr>
        <w:t xml:space="preserve"> supplier</w:t>
      </w:r>
      <w:r w:rsidRPr="00DD01ED">
        <w:rPr>
          <w:rFonts w:ascii="Arial" w:hAnsi="Arial" w:cs="Arial"/>
        </w:rPr>
        <w:t xml:space="preserve"> or excludable </w:t>
      </w:r>
      <w:r w:rsidR="003E1398">
        <w:rPr>
          <w:rFonts w:ascii="Arial" w:hAnsi="Arial" w:cs="Arial"/>
        </w:rPr>
        <w:t>s</w:t>
      </w:r>
      <w:r w:rsidRPr="00DD01ED">
        <w:rPr>
          <w:rFonts w:ascii="Arial" w:hAnsi="Arial" w:cs="Arial"/>
        </w:rPr>
        <w:t xml:space="preserve">upplier, it will provide the Supplier </w:t>
      </w:r>
      <w:r w:rsidR="003E1398">
        <w:rPr>
          <w:rFonts w:ascii="Arial" w:hAnsi="Arial" w:cs="Arial"/>
        </w:rPr>
        <w:t xml:space="preserve">with a </w:t>
      </w:r>
      <w:r w:rsidRPr="00DD01ED">
        <w:rPr>
          <w:rFonts w:ascii="Arial" w:hAnsi="Arial" w:cs="Arial"/>
        </w:rPr>
        <w:t>reasonable opportunity to make representations and provide evidence as is proportionate in the circumstances.</w:t>
      </w:r>
      <w:r w:rsidR="000F3616">
        <w:rPr>
          <w:rFonts w:ascii="Arial" w:hAnsi="Arial" w:cs="Arial"/>
        </w:rPr>
        <w:t xml:space="preserve"> </w:t>
      </w:r>
      <w:r w:rsidR="000F3616" w:rsidRPr="00DD01ED">
        <w:rPr>
          <w:rFonts w:ascii="Arial" w:hAnsi="Arial" w:cs="Arial"/>
        </w:rPr>
        <w:t>If the Supplier is an excluded</w:t>
      </w:r>
      <w:r w:rsidR="003E1398">
        <w:rPr>
          <w:rFonts w:ascii="Arial" w:hAnsi="Arial" w:cs="Arial"/>
        </w:rPr>
        <w:t xml:space="preserve"> supplier</w:t>
      </w:r>
      <w:r w:rsidR="000F3616" w:rsidRPr="00DD01ED">
        <w:rPr>
          <w:rFonts w:ascii="Arial" w:hAnsi="Arial" w:cs="Arial"/>
        </w:rPr>
        <w:t xml:space="preserve"> or excludable </w:t>
      </w:r>
      <w:r w:rsidR="003E1398">
        <w:rPr>
          <w:rFonts w:ascii="Arial" w:hAnsi="Arial" w:cs="Arial"/>
        </w:rPr>
        <w:t>s</w:t>
      </w:r>
      <w:r w:rsidR="000F3616" w:rsidRPr="00DD01ED">
        <w:rPr>
          <w:rFonts w:ascii="Arial" w:hAnsi="Arial" w:cs="Arial"/>
        </w:rPr>
        <w:t xml:space="preserve">upplier only by virtue of an associated person or </w:t>
      </w:r>
      <w:r w:rsidR="003E1398">
        <w:rPr>
          <w:rFonts w:ascii="Arial" w:hAnsi="Arial" w:cs="Arial"/>
        </w:rPr>
        <w:t>intended</w:t>
      </w:r>
      <w:r w:rsidR="003E1398" w:rsidRPr="00DD01ED">
        <w:rPr>
          <w:rFonts w:ascii="Arial" w:hAnsi="Arial" w:cs="Arial"/>
        </w:rPr>
        <w:t xml:space="preserve"> </w:t>
      </w:r>
      <w:r w:rsidR="000F3616" w:rsidRPr="00DD01ED">
        <w:rPr>
          <w:rFonts w:ascii="Arial" w:hAnsi="Arial" w:cs="Arial"/>
        </w:rPr>
        <w:t xml:space="preserve">sub-contractor, the Authority will notify the Supplier of its intention to exclude the Supplier and provide the Supplier with </w:t>
      </w:r>
      <w:r w:rsidR="003E1398">
        <w:rPr>
          <w:rFonts w:ascii="Arial" w:hAnsi="Arial" w:cs="Arial"/>
        </w:rPr>
        <w:t xml:space="preserve">a </w:t>
      </w:r>
      <w:r w:rsidR="000F3616" w:rsidRPr="00DD01ED">
        <w:rPr>
          <w:rFonts w:ascii="Arial" w:hAnsi="Arial" w:cs="Arial"/>
        </w:rPr>
        <w:t xml:space="preserve">reasonable opportunity to replace the associated person or sub-contractor. If </w:t>
      </w:r>
      <w:proofErr w:type="gramStart"/>
      <w:r w:rsidR="000F3616" w:rsidRPr="00DD01ED">
        <w:rPr>
          <w:rFonts w:ascii="Arial" w:hAnsi="Arial" w:cs="Arial"/>
        </w:rPr>
        <w:t>as a consequence of</w:t>
      </w:r>
      <w:proofErr w:type="gramEnd"/>
      <w:r w:rsidR="000F3616" w:rsidRPr="00DD01ED">
        <w:rPr>
          <w:rFonts w:ascii="Arial" w:hAnsi="Arial" w:cs="Arial"/>
        </w:rPr>
        <w:t xml:space="preserve"> this process the Authority excludes the Supplier from participating in the </w:t>
      </w:r>
      <w:r w:rsidR="00B20F24" w:rsidRPr="00DD01ED">
        <w:rPr>
          <w:rFonts w:ascii="Arial" w:hAnsi="Arial" w:cs="Arial"/>
        </w:rPr>
        <w:t>Procurement or</w:t>
      </w:r>
      <w:r w:rsidR="000F3616" w:rsidRPr="00DD01ED">
        <w:rPr>
          <w:rFonts w:ascii="Arial" w:hAnsi="Arial" w:cs="Arial"/>
        </w:rPr>
        <w:t xml:space="preserve"> is aware of an associated person or sub-contract</w:t>
      </w:r>
      <w:r w:rsidR="003E1398">
        <w:rPr>
          <w:rFonts w:ascii="Arial" w:hAnsi="Arial" w:cs="Arial"/>
        </w:rPr>
        <w:t>or</w:t>
      </w:r>
      <w:r w:rsidR="000F3616" w:rsidRPr="00DD01ED">
        <w:rPr>
          <w:rFonts w:ascii="Arial" w:hAnsi="Arial" w:cs="Arial"/>
        </w:rPr>
        <w:t xml:space="preserve"> having been replaced, it will give notice of this fact within 30 days of its decision to the Procurement Review Unit (PRU).</w:t>
      </w:r>
    </w:p>
    <w:p w14:paraId="19772314" w14:textId="16ABF92D" w:rsidR="00E20AFD" w:rsidRPr="007679F4" w:rsidRDefault="00FF5B29" w:rsidP="002840CF">
      <w:pPr>
        <w:pStyle w:val="BodyText1"/>
        <w:numPr>
          <w:ilvl w:val="1"/>
          <w:numId w:val="4"/>
        </w:numPr>
      </w:pPr>
      <w:r w:rsidRPr="00DD01ED">
        <w:rPr>
          <w:rFonts w:ascii="Arial" w:hAnsi="Arial" w:cs="Arial"/>
        </w:rPr>
        <w:t>undertake a review of the completed PSQ</w:t>
      </w:r>
      <w:r w:rsidR="00AB544E">
        <w:rPr>
          <w:rFonts w:ascii="Arial" w:hAnsi="Arial" w:cs="Arial"/>
        </w:rPr>
        <w:t xml:space="preserve"> Response</w:t>
      </w:r>
      <w:r w:rsidRPr="00DD01ED">
        <w:rPr>
          <w:rFonts w:ascii="Arial" w:hAnsi="Arial" w:cs="Arial"/>
        </w:rPr>
        <w:t xml:space="preserve"> with reference to any information held on the Central Digital Platform. </w:t>
      </w:r>
    </w:p>
    <w:p w14:paraId="7A74EA6A" w14:textId="52F727F0" w:rsidR="00A92B68" w:rsidRPr="001E3A4E" w:rsidRDefault="00611402" w:rsidP="002840CF">
      <w:pPr>
        <w:pStyle w:val="BodyText1"/>
        <w:numPr>
          <w:ilvl w:val="1"/>
          <w:numId w:val="4"/>
        </w:numPr>
      </w:pPr>
      <w:r>
        <w:rPr>
          <w:rFonts w:ascii="Arial" w:hAnsi="Arial" w:cs="Arial"/>
        </w:rPr>
        <w:t xml:space="preserve">undertake </w:t>
      </w:r>
      <w:r w:rsidR="00E20AFD">
        <w:rPr>
          <w:rFonts w:ascii="Arial" w:hAnsi="Arial" w:cs="Arial"/>
        </w:rPr>
        <w:t>a review of Part 3</w:t>
      </w:r>
      <w:r w:rsidR="00CB7730">
        <w:rPr>
          <w:rFonts w:ascii="Arial" w:hAnsi="Arial" w:cs="Arial"/>
        </w:rPr>
        <w:t xml:space="preserve"> of the PSQ</w:t>
      </w:r>
      <w:r w:rsidR="006A06B3">
        <w:rPr>
          <w:rFonts w:ascii="Arial" w:hAnsi="Arial" w:cs="Arial"/>
        </w:rPr>
        <w:t xml:space="preserve"> </w:t>
      </w:r>
      <w:r w:rsidR="00AB544E">
        <w:rPr>
          <w:rFonts w:ascii="Arial" w:hAnsi="Arial" w:cs="Arial"/>
        </w:rPr>
        <w:t xml:space="preserve">Response </w:t>
      </w:r>
      <w:r w:rsidR="006A06B3">
        <w:rPr>
          <w:rFonts w:ascii="Arial" w:hAnsi="Arial" w:cs="Arial"/>
        </w:rPr>
        <w:t>to determine whether the Supplier satisfies</w:t>
      </w:r>
      <w:r w:rsidR="006C5EFF">
        <w:rPr>
          <w:rFonts w:ascii="Arial" w:hAnsi="Arial" w:cs="Arial"/>
        </w:rPr>
        <w:t xml:space="preserve"> the </w:t>
      </w:r>
      <w:r w:rsidR="00FF5B29" w:rsidRPr="00DD01ED">
        <w:rPr>
          <w:rFonts w:ascii="Arial" w:hAnsi="Arial" w:cs="Arial"/>
        </w:rPr>
        <w:t xml:space="preserve">conditions of participation in accordance with the </w:t>
      </w:r>
      <w:r w:rsidR="004F7768">
        <w:rPr>
          <w:rFonts w:ascii="Arial" w:hAnsi="Arial" w:cs="Arial"/>
        </w:rPr>
        <w:t xml:space="preserve">assessment criteria and </w:t>
      </w:r>
      <w:r w:rsidR="0065581A">
        <w:rPr>
          <w:rFonts w:ascii="Arial" w:hAnsi="Arial" w:cs="Arial"/>
        </w:rPr>
        <w:t xml:space="preserve">methodology </w:t>
      </w:r>
      <w:r w:rsidR="00FF5B29" w:rsidRPr="00DD01ED">
        <w:rPr>
          <w:rFonts w:ascii="Arial" w:hAnsi="Arial" w:cs="Arial"/>
        </w:rPr>
        <w:t xml:space="preserve">as set out in the Tender Notice, </w:t>
      </w:r>
      <w:r>
        <w:rPr>
          <w:rFonts w:ascii="Arial" w:hAnsi="Arial" w:cs="Arial"/>
        </w:rPr>
        <w:t xml:space="preserve">the </w:t>
      </w:r>
      <w:r w:rsidR="00FF5B29" w:rsidRPr="00DD01ED">
        <w:rPr>
          <w:rFonts w:ascii="Arial" w:hAnsi="Arial" w:cs="Arial"/>
        </w:rPr>
        <w:t xml:space="preserve">PSQ and </w:t>
      </w:r>
      <w:r w:rsidR="00F32A03">
        <w:rPr>
          <w:rFonts w:ascii="Arial" w:hAnsi="Arial" w:cs="Arial"/>
        </w:rPr>
        <w:t xml:space="preserve">as </w:t>
      </w:r>
      <w:r w:rsidR="00FF5B29" w:rsidRPr="00DD01ED">
        <w:rPr>
          <w:rFonts w:ascii="Arial" w:hAnsi="Arial" w:cs="Arial"/>
        </w:rPr>
        <w:t xml:space="preserve">described in </w:t>
      </w:r>
      <w:r w:rsidR="00151C16">
        <w:t>‘The assessment process and award criteria’</w:t>
      </w:r>
      <w:r w:rsidR="0023359C">
        <w:t xml:space="preserve"> section of this document</w:t>
      </w:r>
      <w:r w:rsidR="00FF5B29" w:rsidRPr="00DD01ED">
        <w:rPr>
          <w:rFonts w:ascii="Arial" w:hAnsi="Arial" w:cs="Arial"/>
        </w:rPr>
        <w:t>.</w:t>
      </w:r>
    </w:p>
    <w:p w14:paraId="14FEF3B2" w14:textId="06A4160C" w:rsidR="00611402" w:rsidRDefault="00611402" w:rsidP="002840CF">
      <w:pPr>
        <w:pStyle w:val="BodyText1"/>
        <w:numPr>
          <w:ilvl w:val="0"/>
          <w:numId w:val="4"/>
        </w:numPr>
        <w:ind w:left="357" w:hanging="357"/>
      </w:pPr>
      <w:r>
        <w:t xml:space="preserve">The Authority </w:t>
      </w:r>
      <w:r w:rsidR="007908BC">
        <w:t>will</w:t>
      </w:r>
      <w:r>
        <w:t xml:space="preserve"> assess </w:t>
      </w:r>
      <w:r w:rsidR="00AB544E">
        <w:t>PSQ Responses</w:t>
      </w:r>
      <w:r>
        <w:t xml:space="preserve"> first to consider whether to exclude any Suppliers from participating further in the Procurement, and it </w:t>
      </w:r>
      <w:r w:rsidR="007908BC">
        <w:t>will</w:t>
      </w:r>
      <w:r>
        <w:t xml:space="preserve"> do this before assessing </w:t>
      </w:r>
      <w:r w:rsidR="00AB544E">
        <w:t>Tenders</w:t>
      </w:r>
      <w:r>
        <w:t xml:space="preserve"> against the award criteria </w:t>
      </w:r>
      <w:proofErr w:type="gramStart"/>
      <w:r>
        <w:t>in order to</w:t>
      </w:r>
      <w:proofErr w:type="gramEnd"/>
      <w:r>
        <w:t xml:space="preserve"> identify the most advantageous </w:t>
      </w:r>
      <w:r w:rsidR="00AB544E">
        <w:t>T</w:t>
      </w:r>
      <w:r>
        <w:t xml:space="preserve">ender.  </w:t>
      </w:r>
    </w:p>
    <w:p w14:paraId="0D0DFC46" w14:textId="69E8206E" w:rsidR="009C5B54" w:rsidRDefault="00611402" w:rsidP="002840CF">
      <w:pPr>
        <w:pStyle w:val="BodyText1"/>
        <w:numPr>
          <w:ilvl w:val="0"/>
          <w:numId w:val="4"/>
        </w:numPr>
        <w:ind w:left="357" w:hanging="357"/>
      </w:pPr>
      <w:r>
        <w:t xml:space="preserve">When assessing </w:t>
      </w:r>
      <w:r w:rsidR="00AB544E">
        <w:t>the Qualification Envelope</w:t>
      </w:r>
      <w:r w:rsidR="00646CAF">
        <w:t>, the</w:t>
      </w:r>
      <w:r w:rsidR="00AE1F55">
        <w:t xml:space="preserve"> Authority </w:t>
      </w:r>
      <w:r w:rsidR="00646CAF">
        <w:t xml:space="preserve">will review </w:t>
      </w:r>
      <w:r w:rsidR="002F5C37">
        <w:t>the completed PSQ</w:t>
      </w:r>
      <w:r w:rsidR="00AB544E">
        <w:t xml:space="preserve"> Responses</w:t>
      </w:r>
      <w:r w:rsidR="0000465B">
        <w:t xml:space="preserve"> and information shared via the Central Digital Platform. </w:t>
      </w:r>
      <w:r w:rsidR="0000465B" w:rsidRPr="0023359C">
        <w:rPr>
          <w:color w:val="auto"/>
        </w:rPr>
        <w:t xml:space="preserve">The Authority </w:t>
      </w:r>
      <w:r w:rsidR="000D2243" w:rsidRPr="0023359C">
        <w:rPr>
          <w:color w:val="auto"/>
        </w:rPr>
        <w:t>will</w:t>
      </w:r>
      <w:r w:rsidR="00646CAF" w:rsidRPr="0023359C">
        <w:rPr>
          <w:color w:val="auto"/>
        </w:rPr>
        <w:t xml:space="preserve"> </w:t>
      </w:r>
      <w:r w:rsidR="001E3A4E" w:rsidRPr="0023359C">
        <w:rPr>
          <w:color w:val="auto"/>
        </w:rPr>
        <w:t xml:space="preserve">disregard </w:t>
      </w:r>
      <w:r w:rsidR="00AB544E">
        <w:rPr>
          <w:color w:val="auto"/>
        </w:rPr>
        <w:t>any</w:t>
      </w:r>
      <w:r w:rsidR="00AB544E" w:rsidRPr="0023359C">
        <w:rPr>
          <w:color w:val="auto"/>
        </w:rPr>
        <w:t xml:space="preserve"> </w:t>
      </w:r>
      <w:r w:rsidR="001E3A4E" w:rsidRPr="0023359C">
        <w:rPr>
          <w:color w:val="auto"/>
        </w:rPr>
        <w:t xml:space="preserve">Tender from an excluded </w:t>
      </w:r>
      <w:r w:rsidR="00620583">
        <w:rPr>
          <w:color w:val="auto"/>
        </w:rPr>
        <w:t>s</w:t>
      </w:r>
      <w:r w:rsidR="001E3A4E" w:rsidRPr="0023359C">
        <w:rPr>
          <w:color w:val="auto"/>
        </w:rPr>
        <w:t xml:space="preserve">upplier </w:t>
      </w:r>
      <w:r w:rsidR="00F102EB" w:rsidRPr="0023359C">
        <w:rPr>
          <w:color w:val="auto"/>
        </w:rPr>
        <w:t xml:space="preserve">and may decide to disregard </w:t>
      </w:r>
      <w:r w:rsidR="00AB544E">
        <w:rPr>
          <w:color w:val="auto"/>
        </w:rPr>
        <w:t>any</w:t>
      </w:r>
      <w:r w:rsidR="00AB544E" w:rsidRPr="0023359C">
        <w:rPr>
          <w:color w:val="auto"/>
        </w:rPr>
        <w:t xml:space="preserve"> </w:t>
      </w:r>
      <w:r w:rsidR="00F102EB" w:rsidRPr="0023359C">
        <w:rPr>
          <w:color w:val="auto"/>
        </w:rPr>
        <w:t xml:space="preserve">Tender </w:t>
      </w:r>
      <w:r w:rsidR="00F102EB">
        <w:t xml:space="preserve">from an excludable </w:t>
      </w:r>
      <w:r w:rsidR="00620583">
        <w:t>s</w:t>
      </w:r>
      <w:r w:rsidR="00F102EB">
        <w:t xml:space="preserve">upplier. </w:t>
      </w:r>
      <w:r w:rsidR="000D2243">
        <w:t xml:space="preserve">The Authority </w:t>
      </w:r>
      <w:r w:rsidR="00620583">
        <w:t xml:space="preserve">will </w:t>
      </w:r>
      <w:r w:rsidR="000D2243">
        <w:t xml:space="preserve">also </w:t>
      </w:r>
      <w:r w:rsidR="00DD4CE0">
        <w:t xml:space="preserve">disregard </w:t>
      </w:r>
      <w:r w:rsidR="00AB544E">
        <w:t xml:space="preserve">any </w:t>
      </w:r>
      <w:r w:rsidR="00DD4CE0">
        <w:t xml:space="preserve">Tender </w:t>
      </w:r>
      <w:r w:rsidR="00620583">
        <w:t>from a</w:t>
      </w:r>
      <w:r w:rsidR="00DD4CE0">
        <w:t xml:space="preserve"> Supplier who</w:t>
      </w:r>
      <w:r w:rsidR="00550EAD">
        <w:t xml:space="preserve"> does not satisfy the </w:t>
      </w:r>
      <w:r w:rsidR="006A06B3">
        <w:t>conditions of participation</w:t>
      </w:r>
      <w:r w:rsidR="009B4C6D">
        <w:t>.</w:t>
      </w:r>
    </w:p>
    <w:p w14:paraId="7581CC00" w14:textId="77777777" w:rsidR="005429D8" w:rsidRDefault="005429D8" w:rsidP="005429D8">
      <w:pPr>
        <w:pStyle w:val="BodyText1"/>
        <w:ind w:left="357"/>
      </w:pPr>
    </w:p>
    <w:p w14:paraId="7808F075" w14:textId="77777777" w:rsidR="00C65985" w:rsidRPr="00804D8D" w:rsidRDefault="00C65985" w:rsidP="00C65985">
      <w:pPr>
        <w:pStyle w:val="BodyText1"/>
        <w:rPr>
          <w:b/>
          <w:bCs/>
        </w:rPr>
      </w:pPr>
      <w:r w:rsidRPr="00804D8D">
        <w:rPr>
          <w:b/>
          <w:bCs/>
        </w:rPr>
        <w:t>Lotting Structure</w:t>
      </w:r>
    </w:p>
    <w:p w14:paraId="68D58E96" w14:textId="0C35953F" w:rsidR="00D03D47" w:rsidRPr="00D14B4A" w:rsidRDefault="003E6C0F" w:rsidP="002840CF">
      <w:pPr>
        <w:pStyle w:val="BodyText1"/>
        <w:numPr>
          <w:ilvl w:val="0"/>
          <w:numId w:val="4"/>
        </w:numPr>
        <w:ind w:left="357" w:hanging="357"/>
        <w:rPr>
          <w:color w:val="auto"/>
        </w:rPr>
      </w:pPr>
      <w:r>
        <w:rPr>
          <w:color w:val="auto"/>
        </w:rPr>
        <w:t xml:space="preserve">The </w:t>
      </w:r>
      <w:r w:rsidR="00D14B4A" w:rsidRPr="00D14B4A">
        <w:rPr>
          <w:color w:val="auto"/>
        </w:rPr>
        <w:t>tender opportunity has not been divided into Lots and was not appropriate to so divide the opportunity.</w:t>
      </w:r>
    </w:p>
    <w:p w14:paraId="4E3BD9FE" w14:textId="54E9D93C" w:rsidR="000C538D" w:rsidRPr="00964F92" w:rsidRDefault="00A67A8F" w:rsidP="00A91C79">
      <w:pPr>
        <w:pStyle w:val="BodyText1"/>
        <w:rPr>
          <w:b/>
          <w:bCs/>
        </w:rPr>
      </w:pPr>
      <w:r w:rsidRPr="00964F92">
        <w:rPr>
          <w:b/>
          <w:bCs/>
        </w:rPr>
        <w:t xml:space="preserve">About the Tender </w:t>
      </w:r>
      <w:r w:rsidR="00063A8C" w:rsidRPr="00964F92">
        <w:rPr>
          <w:b/>
          <w:bCs/>
        </w:rPr>
        <w:t>assessment</w:t>
      </w:r>
    </w:p>
    <w:p w14:paraId="4980DD1C" w14:textId="18088FDF" w:rsidR="00EF0673" w:rsidRDefault="00063A8C" w:rsidP="002840CF">
      <w:pPr>
        <w:pStyle w:val="BodyText1"/>
        <w:numPr>
          <w:ilvl w:val="0"/>
          <w:numId w:val="4"/>
        </w:numPr>
        <w:ind w:left="357" w:hanging="357"/>
      </w:pPr>
      <w:r w:rsidRPr="00063A8C">
        <w:t xml:space="preserve">The Authority will </w:t>
      </w:r>
      <w:r w:rsidR="00D509B6" w:rsidRPr="00063A8C">
        <w:t>assess</w:t>
      </w:r>
      <w:r w:rsidRPr="00063A8C">
        <w:t xml:space="preserve"> all </w:t>
      </w:r>
      <w:r w:rsidR="00AB544E">
        <w:t>T</w:t>
      </w:r>
      <w:r w:rsidR="00AB544E" w:rsidRPr="00063A8C">
        <w:t>ender</w:t>
      </w:r>
      <w:r w:rsidR="00AB544E">
        <w:t xml:space="preserve">s </w:t>
      </w:r>
      <w:proofErr w:type="gramStart"/>
      <w:r w:rsidRPr="00063A8C">
        <w:t>in order to</w:t>
      </w:r>
      <w:proofErr w:type="gramEnd"/>
      <w:r w:rsidRPr="00063A8C">
        <w:t xml:space="preserve"> identify the Supplier which has submitted the most advantageous </w:t>
      </w:r>
      <w:r w:rsidR="00AB544E">
        <w:t>T</w:t>
      </w:r>
      <w:r w:rsidRPr="00063A8C">
        <w:t>ender in accordance with the assessment methodology and award criteria set out in the Tender Notice and described in this document.</w:t>
      </w:r>
    </w:p>
    <w:p w14:paraId="17423F46" w14:textId="249664A1" w:rsidR="007D03A4" w:rsidRDefault="00EF0673" w:rsidP="002840CF">
      <w:pPr>
        <w:pStyle w:val="BodyText1"/>
        <w:numPr>
          <w:ilvl w:val="0"/>
          <w:numId w:val="4"/>
        </w:numPr>
        <w:ind w:left="357" w:hanging="357"/>
      </w:pPr>
      <w:r w:rsidRPr="00EF0673">
        <w:rPr>
          <w:rFonts w:ascii="Arial" w:hAnsi="Arial" w:cs="Arial"/>
        </w:rPr>
        <w:lastRenderedPageBreak/>
        <w:t xml:space="preserve">In carrying out this assessment, the Authority will disregard any </w:t>
      </w:r>
      <w:r w:rsidR="00AB544E">
        <w:rPr>
          <w:rFonts w:ascii="Arial" w:hAnsi="Arial" w:cs="Arial"/>
        </w:rPr>
        <w:t>T</w:t>
      </w:r>
      <w:r w:rsidR="00AB544E" w:rsidRPr="00EF0673">
        <w:rPr>
          <w:rFonts w:ascii="Arial" w:hAnsi="Arial" w:cs="Arial"/>
        </w:rPr>
        <w:t xml:space="preserve">ender </w:t>
      </w:r>
      <w:r w:rsidRPr="00EF0673">
        <w:rPr>
          <w:rFonts w:ascii="Arial" w:hAnsi="Arial" w:cs="Arial"/>
        </w:rPr>
        <w:t xml:space="preserve">from a Supplier that does not satisfy the conditions of participation. The Authority may also disregard a </w:t>
      </w:r>
      <w:r w:rsidR="00AB544E">
        <w:rPr>
          <w:rFonts w:ascii="Arial" w:hAnsi="Arial" w:cs="Arial"/>
        </w:rPr>
        <w:t>T</w:t>
      </w:r>
      <w:r w:rsidR="00AB544E" w:rsidRPr="00EF0673">
        <w:rPr>
          <w:rFonts w:ascii="Arial" w:hAnsi="Arial" w:cs="Arial"/>
        </w:rPr>
        <w:t>ender</w:t>
      </w:r>
      <w:r w:rsidRPr="00EF0673">
        <w:rPr>
          <w:rFonts w:ascii="Arial" w:hAnsi="Arial" w:cs="Arial"/>
        </w:rPr>
        <w:t>:</w:t>
      </w:r>
    </w:p>
    <w:p w14:paraId="3A880AEB" w14:textId="1A1F40C0" w:rsidR="007D03A4" w:rsidRDefault="00EF0673" w:rsidP="002840CF">
      <w:pPr>
        <w:pStyle w:val="BodyText1"/>
        <w:numPr>
          <w:ilvl w:val="1"/>
          <w:numId w:val="4"/>
        </w:numPr>
      </w:pPr>
      <w:r w:rsidRPr="007D03A4">
        <w:rPr>
          <w:rFonts w:ascii="Arial" w:hAnsi="Arial" w:cs="Arial"/>
        </w:rPr>
        <w:t xml:space="preserve">from a Supplier that is not a United Kingdom </w:t>
      </w:r>
      <w:r w:rsidR="00620583">
        <w:rPr>
          <w:rFonts w:ascii="Arial" w:hAnsi="Arial" w:cs="Arial"/>
        </w:rPr>
        <w:t>s</w:t>
      </w:r>
      <w:r w:rsidR="00620583" w:rsidRPr="007D03A4">
        <w:rPr>
          <w:rFonts w:ascii="Arial" w:hAnsi="Arial" w:cs="Arial"/>
        </w:rPr>
        <w:t xml:space="preserve">upplier </w:t>
      </w:r>
      <w:r w:rsidRPr="007D03A4">
        <w:rPr>
          <w:rFonts w:ascii="Arial" w:hAnsi="Arial" w:cs="Arial"/>
        </w:rPr>
        <w:t xml:space="preserve">or a treaty state </w:t>
      </w:r>
      <w:r w:rsidR="00620583">
        <w:rPr>
          <w:rFonts w:ascii="Arial" w:hAnsi="Arial" w:cs="Arial"/>
        </w:rPr>
        <w:t>s</w:t>
      </w:r>
      <w:r w:rsidR="00620583" w:rsidRPr="007D03A4">
        <w:rPr>
          <w:rFonts w:ascii="Arial" w:hAnsi="Arial" w:cs="Arial"/>
        </w:rPr>
        <w:t xml:space="preserve">upplier </w:t>
      </w:r>
      <w:r w:rsidR="00620583">
        <w:rPr>
          <w:rFonts w:ascii="Arial" w:hAnsi="Arial" w:cs="Arial"/>
        </w:rPr>
        <w:t xml:space="preserve">(as defined in sections 89 and 90 of the Act) </w:t>
      </w:r>
      <w:r w:rsidRPr="007D03A4">
        <w:rPr>
          <w:rFonts w:ascii="Arial" w:hAnsi="Arial" w:cs="Arial"/>
        </w:rPr>
        <w:t xml:space="preserve">or that intends to sub-contract the performance of all or part of the Contract to a </w:t>
      </w:r>
      <w:r w:rsidR="00620583">
        <w:rPr>
          <w:rFonts w:ascii="Arial" w:hAnsi="Arial" w:cs="Arial"/>
        </w:rPr>
        <w:t>s</w:t>
      </w:r>
      <w:r w:rsidR="00620583" w:rsidRPr="007D03A4">
        <w:rPr>
          <w:rFonts w:ascii="Arial" w:hAnsi="Arial" w:cs="Arial"/>
        </w:rPr>
        <w:t xml:space="preserve">upplier </w:t>
      </w:r>
      <w:r w:rsidRPr="007D03A4">
        <w:rPr>
          <w:rFonts w:ascii="Arial" w:hAnsi="Arial" w:cs="Arial"/>
        </w:rPr>
        <w:t xml:space="preserve">that is not a United Kingdom </w:t>
      </w:r>
      <w:r w:rsidR="00620583">
        <w:rPr>
          <w:rFonts w:ascii="Arial" w:hAnsi="Arial" w:cs="Arial"/>
        </w:rPr>
        <w:t>s</w:t>
      </w:r>
      <w:r w:rsidR="00620583" w:rsidRPr="007D03A4">
        <w:rPr>
          <w:rFonts w:ascii="Arial" w:hAnsi="Arial" w:cs="Arial"/>
        </w:rPr>
        <w:t xml:space="preserve">upplier </w:t>
      </w:r>
      <w:r w:rsidRPr="007D03A4">
        <w:rPr>
          <w:rFonts w:ascii="Arial" w:hAnsi="Arial" w:cs="Arial"/>
        </w:rPr>
        <w:t xml:space="preserve">or a treaty state </w:t>
      </w:r>
      <w:r w:rsidR="00620583">
        <w:rPr>
          <w:rFonts w:ascii="Arial" w:hAnsi="Arial" w:cs="Arial"/>
        </w:rPr>
        <w:t>s</w:t>
      </w:r>
      <w:r w:rsidR="00620583" w:rsidRPr="007D03A4">
        <w:rPr>
          <w:rFonts w:ascii="Arial" w:hAnsi="Arial" w:cs="Arial"/>
        </w:rPr>
        <w:t>upplier</w:t>
      </w:r>
      <w:r w:rsidRPr="007D03A4">
        <w:rPr>
          <w:rFonts w:ascii="Arial" w:hAnsi="Arial" w:cs="Arial"/>
        </w:rPr>
        <w:t>; or</w:t>
      </w:r>
    </w:p>
    <w:p w14:paraId="486B1019" w14:textId="78191E64" w:rsidR="007D03A4" w:rsidRDefault="00EF0673" w:rsidP="002840CF">
      <w:pPr>
        <w:pStyle w:val="BodyText1"/>
        <w:numPr>
          <w:ilvl w:val="1"/>
          <w:numId w:val="4"/>
        </w:numPr>
      </w:pPr>
      <w:r w:rsidRPr="007D03A4">
        <w:rPr>
          <w:rFonts w:ascii="Arial" w:hAnsi="Arial" w:cs="Arial"/>
        </w:rPr>
        <w:t xml:space="preserve">if the </w:t>
      </w:r>
      <w:r w:rsidR="00AB544E">
        <w:rPr>
          <w:rFonts w:ascii="Arial" w:hAnsi="Arial" w:cs="Arial"/>
        </w:rPr>
        <w:t>T</w:t>
      </w:r>
      <w:r w:rsidR="00AB544E" w:rsidRPr="007D03A4">
        <w:rPr>
          <w:rFonts w:ascii="Arial" w:hAnsi="Arial" w:cs="Arial"/>
        </w:rPr>
        <w:t xml:space="preserve">ender </w:t>
      </w:r>
      <w:r w:rsidRPr="007D03A4">
        <w:rPr>
          <w:rFonts w:ascii="Arial" w:hAnsi="Arial" w:cs="Arial"/>
        </w:rPr>
        <w:t>breaches a procedural requirement set out in the Tender Notice</w:t>
      </w:r>
      <w:r w:rsidR="00AB544E">
        <w:rPr>
          <w:rFonts w:ascii="Arial" w:hAnsi="Arial" w:cs="Arial"/>
        </w:rPr>
        <w:t>, this document</w:t>
      </w:r>
      <w:r w:rsidRPr="007D03A4">
        <w:rPr>
          <w:rFonts w:ascii="Arial" w:hAnsi="Arial" w:cs="Arial"/>
        </w:rPr>
        <w:t xml:space="preserve"> or </w:t>
      </w:r>
      <w:r w:rsidR="00AB544E">
        <w:rPr>
          <w:rFonts w:ascii="Arial" w:hAnsi="Arial" w:cs="Arial"/>
        </w:rPr>
        <w:t xml:space="preserve">any other documents </w:t>
      </w:r>
      <w:r w:rsidRPr="007D03A4">
        <w:rPr>
          <w:rFonts w:ascii="Arial" w:hAnsi="Arial" w:cs="Arial"/>
        </w:rPr>
        <w:t xml:space="preserve">associated </w:t>
      </w:r>
      <w:r w:rsidR="00AB544E">
        <w:rPr>
          <w:rFonts w:ascii="Arial" w:hAnsi="Arial" w:cs="Arial"/>
        </w:rPr>
        <w:t>with this Procurement</w:t>
      </w:r>
      <w:r w:rsidRPr="007D03A4">
        <w:rPr>
          <w:rFonts w:ascii="Arial" w:hAnsi="Arial" w:cs="Arial"/>
        </w:rPr>
        <w:t xml:space="preserve">; or </w:t>
      </w:r>
    </w:p>
    <w:p w14:paraId="247E2E2B" w14:textId="24D58B20" w:rsidR="00A60687" w:rsidRDefault="00EF0673" w:rsidP="002840CF">
      <w:pPr>
        <w:pStyle w:val="BodyText1"/>
        <w:numPr>
          <w:ilvl w:val="1"/>
          <w:numId w:val="4"/>
        </w:numPr>
      </w:pPr>
      <w:r w:rsidRPr="007D03A4">
        <w:rPr>
          <w:rFonts w:ascii="Arial" w:hAnsi="Arial" w:cs="Arial"/>
        </w:rPr>
        <w:t xml:space="preserve">if the </w:t>
      </w:r>
      <w:r w:rsidR="00AB544E">
        <w:rPr>
          <w:rFonts w:ascii="Arial" w:hAnsi="Arial" w:cs="Arial"/>
        </w:rPr>
        <w:t>T</w:t>
      </w:r>
      <w:r w:rsidR="00AB544E" w:rsidRPr="007D03A4">
        <w:rPr>
          <w:rFonts w:ascii="Arial" w:hAnsi="Arial" w:cs="Arial"/>
        </w:rPr>
        <w:t xml:space="preserve">ender </w:t>
      </w:r>
      <w:r w:rsidRPr="007D03A4">
        <w:rPr>
          <w:rFonts w:ascii="Arial" w:hAnsi="Arial" w:cs="Arial"/>
        </w:rPr>
        <w:t xml:space="preserve">offers a price that the Authority considers to be abnormally low for the performance of the Contract. Where the Authority considers that a price offered by a Supplier in its </w:t>
      </w:r>
      <w:r w:rsidR="00AB544E">
        <w:rPr>
          <w:rFonts w:ascii="Arial" w:hAnsi="Arial" w:cs="Arial"/>
        </w:rPr>
        <w:t>T</w:t>
      </w:r>
      <w:r w:rsidR="00AB544E" w:rsidRPr="007D03A4">
        <w:rPr>
          <w:rFonts w:ascii="Arial" w:hAnsi="Arial" w:cs="Arial"/>
        </w:rPr>
        <w:t xml:space="preserve">ender </w:t>
      </w:r>
      <w:r w:rsidRPr="007D03A4">
        <w:rPr>
          <w:rFonts w:ascii="Arial" w:hAnsi="Arial" w:cs="Arial"/>
        </w:rPr>
        <w:t xml:space="preserve">is abnormally low, the Authority will notify the Supplier and give the Supplier </w:t>
      </w:r>
      <w:r w:rsidR="00620583">
        <w:rPr>
          <w:rFonts w:ascii="Arial" w:hAnsi="Arial" w:cs="Arial"/>
        </w:rPr>
        <w:t xml:space="preserve">a </w:t>
      </w:r>
      <w:r w:rsidRPr="007D03A4">
        <w:rPr>
          <w:rFonts w:ascii="Arial" w:hAnsi="Arial" w:cs="Arial"/>
        </w:rPr>
        <w:t xml:space="preserve">reasonable opportunity to demonstrate that it will be able to perform the </w:t>
      </w:r>
      <w:r w:rsidR="00620583">
        <w:rPr>
          <w:rFonts w:ascii="Arial" w:hAnsi="Arial" w:cs="Arial"/>
        </w:rPr>
        <w:t>C</w:t>
      </w:r>
      <w:r w:rsidR="00620583" w:rsidRPr="007D03A4">
        <w:rPr>
          <w:rFonts w:ascii="Arial" w:hAnsi="Arial" w:cs="Arial"/>
        </w:rPr>
        <w:t xml:space="preserve">ontract </w:t>
      </w:r>
      <w:r w:rsidRPr="007D03A4">
        <w:rPr>
          <w:rFonts w:ascii="Arial" w:hAnsi="Arial" w:cs="Arial"/>
        </w:rPr>
        <w:t xml:space="preserve">for the price offered. The Authority will only disregard the </w:t>
      </w:r>
      <w:r w:rsidR="00AB544E">
        <w:rPr>
          <w:rFonts w:ascii="Arial" w:hAnsi="Arial" w:cs="Arial"/>
        </w:rPr>
        <w:t>T</w:t>
      </w:r>
      <w:r w:rsidR="00AB544E" w:rsidRPr="007D03A4">
        <w:rPr>
          <w:rFonts w:ascii="Arial" w:hAnsi="Arial" w:cs="Arial"/>
        </w:rPr>
        <w:t xml:space="preserve">ender </w:t>
      </w:r>
      <w:r w:rsidRPr="007D03A4">
        <w:rPr>
          <w:rFonts w:ascii="Arial" w:hAnsi="Arial" w:cs="Arial"/>
        </w:rPr>
        <w:t>if the Supplier cannot satisfactorily demonstrate that it will be able to perform the Contract for the price offered.</w:t>
      </w:r>
    </w:p>
    <w:p w14:paraId="077C116A" w14:textId="3CE0E3E8" w:rsidR="00582CB0" w:rsidRDefault="00582CB0" w:rsidP="002840CF">
      <w:pPr>
        <w:pStyle w:val="BodyText1"/>
        <w:numPr>
          <w:ilvl w:val="0"/>
          <w:numId w:val="4"/>
        </w:numPr>
      </w:pPr>
      <w:r>
        <w:t xml:space="preserve">Once the assessment has concluded, the Authority will provide an assessment summary to </w:t>
      </w:r>
      <w:r w:rsidR="00620583">
        <w:t xml:space="preserve">each </w:t>
      </w:r>
      <w:r>
        <w:t xml:space="preserve">Supplier that submitted </w:t>
      </w:r>
      <w:r w:rsidR="00620583">
        <w:t xml:space="preserve">a </w:t>
      </w:r>
      <w:r w:rsidR="00AB544E">
        <w:t>T</w:t>
      </w:r>
      <w:r>
        <w:t xml:space="preserve">ender </w:t>
      </w:r>
      <w:r w:rsidR="00620583">
        <w:t xml:space="preserve">that was assessed (i.e. not disregarded) </w:t>
      </w:r>
      <w:r>
        <w:t>to:</w:t>
      </w:r>
    </w:p>
    <w:p w14:paraId="69ADFAB9" w14:textId="77777777" w:rsidR="00582CB0" w:rsidRDefault="00582CB0" w:rsidP="002840CF">
      <w:pPr>
        <w:pStyle w:val="BodyText1"/>
        <w:numPr>
          <w:ilvl w:val="1"/>
          <w:numId w:val="4"/>
        </w:numPr>
      </w:pPr>
      <w:r>
        <w:t>inform them whether they have been successful in being awarded the Contract</w:t>
      </w:r>
    </w:p>
    <w:p w14:paraId="20C8C312" w14:textId="2EBFAA95" w:rsidR="00582CB0" w:rsidRDefault="00582CB0" w:rsidP="002840CF">
      <w:pPr>
        <w:pStyle w:val="BodyText1"/>
        <w:numPr>
          <w:ilvl w:val="1"/>
          <w:numId w:val="4"/>
        </w:numPr>
      </w:pPr>
      <w:r>
        <w:t xml:space="preserve">provide an explanation of the assessment of the Supplier’s </w:t>
      </w:r>
      <w:r w:rsidR="00AB544E">
        <w:t xml:space="preserve">Tender </w:t>
      </w:r>
      <w:r>
        <w:t>against the relevant award criteria, in accordance with the requirements of the Act</w:t>
      </w:r>
    </w:p>
    <w:p w14:paraId="150C197D" w14:textId="38CB841B" w:rsidR="00DC4E6A" w:rsidRDefault="00582CB0" w:rsidP="002840CF">
      <w:pPr>
        <w:pStyle w:val="BodyText1"/>
        <w:numPr>
          <w:ilvl w:val="1"/>
          <w:numId w:val="4"/>
        </w:numPr>
      </w:pPr>
      <w:r>
        <w:t xml:space="preserve">where different to the Supplier concerned, provide information in respect of the most advantageous </w:t>
      </w:r>
      <w:r w:rsidR="00AB544E">
        <w:t xml:space="preserve">Tender </w:t>
      </w:r>
      <w:r>
        <w:t xml:space="preserve">submitted, including details of the assessment of this </w:t>
      </w:r>
      <w:r w:rsidR="00AB544E">
        <w:t xml:space="preserve">Tender </w:t>
      </w:r>
      <w:r>
        <w:t>against the relevant award criteria</w:t>
      </w:r>
      <w:r w:rsidR="00AB544E">
        <w:t>,</w:t>
      </w:r>
      <w:r>
        <w:t xml:space="preserve"> and the </w:t>
      </w:r>
      <w:r w:rsidR="00620583">
        <w:t xml:space="preserve">winning </w:t>
      </w:r>
      <w:r>
        <w:t>Supplier’s name</w:t>
      </w:r>
      <w:r w:rsidR="00620583">
        <w:t>.</w:t>
      </w:r>
      <w:r>
        <w:t xml:space="preserve"> </w:t>
      </w:r>
    </w:p>
    <w:p w14:paraId="3D23F738" w14:textId="49737224" w:rsidR="004215F3" w:rsidRDefault="00DC4E6A" w:rsidP="002840CF">
      <w:pPr>
        <w:pStyle w:val="BodyText1"/>
        <w:numPr>
          <w:ilvl w:val="0"/>
          <w:numId w:val="4"/>
        </w:numPr>
      </w:pPr>
      <w:r w:rsidRPr="00DC4E6A">
        <w:t xml:space="preserve">Once the assessment summaries have been provided to the Suppliers </w:t>
      </w:r>
      <w:r w:rsidR="00617405">
        <w:t xml:space="preserve">whose </w:t>
      </w:r>
      <w:r w:rsidR="00AB544E">
        <w:t>T</w:t>
      </w:r>
      <w:r w:rsidR="00AB544E" w:rsidRPr="00DC4E6A">
        <w:t>enders</w:t>
      </w:r>
      <w:r w:rsidR="00AB544E">
        <w:t xml:space="preserve"> </w:t>
      </w:r>
      <w:r w:rsidR="00617405">
        <w:t>were assessed</w:t>
      </w:r>
      <w:r w:rsidRPr="00DC4E6A">
        <w:t xml:space="preserve">, the Authority will also publish a contract award notice on the Central Digital Platform </w:t>
      </w:r>
      <w:r w:rsidRPr="00D14B4A">
        <w:t>to commence the mandatory standstill period</w:t>
      </w:r>
      <w:r w:rsidR="00D14B4A" w:rsidRPr="00D14B4A">
        <w:t>.</w:t>
      </w:r>
    </w:p>
    <w:p w14:paraId="5A8D4CD5" w14:textId="4796D2D3" w:rsidR="007D03A4" w:rsidRPr="001E3A4E" w:rsidRDefault="0053013C" w:rsidP="002840CF">
      <w:pPr>
        <w:pStyle w:val="BodyText1"/>
        <w:numPr>
          <w:ilvl w:val="0"/>
          <w:numId w:val="4"/>
        </w:numPr>
      </w:pPr>
      <w:r w:rsidRPr="00DD01ED">
        <w:rPr>
          <w:rFonts w:ascii="Arial" w:hAnsi="Arial" w:cs="Arial"/>
        </w:rPr>
        <w:t>Subject to completion of the mandatory standstill period</w:t>
      </w:r>
      <w:r w:rsidR="00617405">
        <w:rPr>
          <w:rFonts w:ascii="Arial" w:hAnsi="Arial" w:cs="Arial"/>
        </w:rPr>
        <w:t xml:space="preserve"> and unless the Authority decides not to award the Contract</w:t>
      </w:r>
      <w:r w:rsidRPr="00DD01ED">
        <w:rPr>
          <w:rFonts w:ascii="Arial" w:hAnsi="Arial" w:cs="Arial"/>
        </w:rPr>
        <w:t xml:space="preserve">, </w:t>
      </w:r>
      <w:r>
        <w:rPr>
          <w:rFonts w:ascii="Arial" w:hAnsi="Arial" w:cs="Arial"/>
        </w:rPr>
        <w:t>the procurement process</w:t>
      </w:r>
      <w:r w:rsidRPr="00DD01ED">
        <w:rPr>
          <w:rFonts w:ascii="Arial" w:hAnsi="Arial" w:cs="Arial"/>
        </w:rPr>
        <w:t xml:space="preserve"> will end with the Authority </w:t>
      </w:r>
      <w:proofErr w:type="gramStart"/>
      <w:r w:rsidRPr="00DD01ED">
        <w:rPr>
          <w:rFonts w:ascii="Arial" w:hAnsi="Arial" w:cs="Arial"/>
        </w:rPr>
        <w:t>entering into</w:t>
      </w:r>
      <w:proofErr w:type="gramEnd"/>
      <w:r w:rsidRPr="00DD01ED">
        <w:rPr>
          <w:rFonts w:ascii="Arial" w:hAnsi="Arial" w:cs="Arial"/>
        </w:rPr>
        <w:t xml:space="preserve"> the Contract with the preferred Supplier and publication of a Contract Details Notice on the Central Digital Platform (within 30 days</w:t>
      </w:r>
      <w:r w:rsidR="00D14B4A">
        <w:rPr>
          <w:rFonts w:ascii="Arial" w:hAnsi="Arial" w:cs="Arial"/>
        </w:rPr>
        <w:t xml:space="preserve"> </w:t>
      </w:r>
      <w:r w:rsidRPr="00DD01ED">
        <w:rPr>
          <w:rFonts w:ascii="Arial" w:hAnsi="Arial" w:cs="Arial"/>
        </w:rPr>
        <w:t>of the date on which the Contract is entered into). Where appropriate</w:t>
      </w:r>
      <w:r w:rsidR="00617405">
        <w:rPr>
          <w:rFonts w:ascii="Arial" w:hAnsi="Arial" w:cs="Arial"/>
        </w:rPr>
        <w:t xml:space="preserve"> or required by the Act</w:t>
      </w:r>
      <w:r w:rsidRPr="00DD01ED">
        <w:rPr>
          <w:rFonts w:ascii="Arial" w:hAnsi="Arial" w:cs="Arial"/>
        </w:rPr>
        <w:t>, a copy of the Contract may also be published on the Central Digital Platform.</w:t>
      </w:r>
    </w:p>
    <w:p w14:paraId="4CCB9883" w14:textId="4023BAD9" w:rsidR="009A0559" w:rsidRPr="007456F8" w:rsidRDefault="002107B6" w:rsidP="007456F8">
      <w:pPr>
        <w:pStyle w:val="Heading1"/>
        <w:numPr>
          <w:ilvl w:val="0"/>
          <w:numId w:val="0"/>
        </w:numPr>
      </w:pPr>
      <w:bookmarkStart w:id="11" w:name="_Procurement_timetable"/>
      <w:bookmarkStart w:id="12" w:name="_Toc214868666"/>
      <w:bookmarkEnd w:id="11"/>
      <w:r>
        <w:lastRenderedPageBreak/>
        <w:t>Procurement timetable</w:t>
      </w:r>
      <w:bookmarkEnd w:id="12"/>
    </w:p>
    <w:p w14:paraId="7D9619E2" w14:textId="6BA8D5D9" w:rsidR="00F72F39" w:rsidRDefault="0018563A" w:rsidP="002840CF">
      <w:pPr>
        <w:pStyle w:val="BodyText1"/>
        <w:numPr>
          <w:ilvl w:val="0"/>
          <w:numId w:val="4"/>
        </w:numPr>
        <w:ind w:left="357" w:hanging="357"/>
      </w:pPr>
      <w:r w:rsidRPr="0018563A">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6965BC">
        <w:t>P</w:t>
      </w:r>
      <w:r w:rsidRPr="0018563A">
        <w:t>ortal.</w:t>
      </w:r>
    </w:p>
    <w:tbl>
      <w:tblPr>
        <w:tblStyle w:val="TableGrid"/>
        <w:tblW w:w="0" w:type="auto"/>
        <w:tblBorders>
          <w:bottom w:val="single" w:sz="4" w:space="0" w:color="auto"/>
          <w:insideH w:val="single" w:sz="4"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11F4E13A">
        <w:trPr>
          <w:tblHeader/>
        </w:trPr>
        <w:tc>
          <w:tcPr>
            <w:tcW w:w="3119" w:type="dxa"/>
            <w:tcBorders>
              <w:right w:val="single" w:sz="4" w:space="0" w:color="auto"/>
            </w:tcBorders>
            <w:shd w:val="clear" w:color="auto" w:fill="BEDDFF" w:themeFill="accent2" w:themeFillTint="33"/>
          </w:tcPr>
          <w:p w14:paraId="026BF2DC" w14:textId="77777777" w:rsidR="0018563A" w:rsidRPr="00845A54" w:rsidRDefault="0018563A"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bookmarkStart w:id="13" w:name="_Hlk210732008"/>
            <w:r>
              <w:rPr>
                <w:b/>
                <w:bCs/>
                <w:sz w:val="28"/>
                <w:szCs w:val="28"/>
              </w:rPr>
              <w:t>Date(s) and time(s)</w:t>
            </w:r>
          </w:p>
        </w:tc>
        <w:tc>
          <w:tcPr>
            <w:tcW w:w="6519" w:type="dxa"/>
            <w:tcBorders>
              <w:top w:val="nil"/>
              <w:left w:val="single" w:sz="4" w:space="0" w:color="auto"/>
            </w:tcBorders>
            <w:shd w:val="clear" w:color="auto" w:fill="BEDDFF" w:themeFill="accent2" w:themeFillTint="33"/>
          </w:tcPr>
          <w:p w14:paraId="025089DD" w14:textId="57356F03" w:rsidR="0018563A" w:rsidRPr="00845A54" w:rsidRDefault="003329A8"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 xml:space="preserve"> </w:t>
            </w:r>
            <w:r w:rsidR="0018563A">
              <w:rPr>
                <w:b/>
                <w:bCs/>
                <w:sz w:val="28"/>
                <w:szCs w:val="28"/>
              </w:rPr>
              <w:t>Procurement activity</w:t>
            </w:r>
          </w:p>
        </w:tc>
      </w:tr>
      <w:tr w:rsidR="00C74902" w:rsidRPr="0018563A" w14:paraId="7EF6D173" w14:textId="77777777" w:rsidTr="00534716">
        <w:tc>
          <w:tcPr>
            <w:tcW w:w="3119" w:type="dxa"/>
            <w:tcBorders>
              <w:right w:val="single" w:sz="4" w:space="0" w:color="auto"/>
            </w:tcBorders>
          </w:tcPr>
          <w:p w14:paraId="0B483F42" w14:textId="197F8EC0" w:rsidR="00C74902" w:rsidRPr="00C749C7" w:rsidRDefault="00BF4F07" w:rsidP="00C74902">
            <w:pPr>
              <w:pStyle w:val="BodyText1"/>
              <w:spacing w:after="120"/>
              <w:rPr>
                <w:b/>
                <w:bCs/>
              </w:rPr>
            </w:pPr>
            <w:r>
              <w:rPr>
                <w:b/>
                <w:bCs/>
              </w:rPr>
              <w:t>24th</w:t>
            </w:r>
            <w:r w:rsidR="00E24EDD">
              <w:rPr>
                <w:b/>
                <w:bCs/>
              </w:rPr>
              <w:t xml:space="preserve"> Nov</w:t>
            </w:r>
            <w:r w:rsidR="00C74902">
              <w:rPr>
                <w:b/>
                <w:bCs/>
              </w:rPr>
              <w:t xml:space="preserve"> 2025</w:t>
            </w:r>
          </w:p>
        </w:tc>
        <w:tc>
          <w:tcPr>
            <w:tcW w:w="6519" w:type="dxa"/>
            <w:tcBorders>
              <w:top w:val="single" w:sz="4" w:space="0" w:color="auto"/>
              <w:left w:val="single" w:sz="4" w:space="0" w:color="auto"/>
            </w:tcBorders>
          </w:tcPr>
          <w:p w14:paraId="6DAF73B5" w14:textId="1FB82D8F" w:rsidR="00C74902" w:rsidRDefault="00C74902" w:rsidP="00C74902">
            <w:pPr>
              <w:pStyle w:val="BodyText1"/>
              <w:spacing w:after="120"/>
            </w:pPr>
            <w:r>
              <w:t>ITT published</w:t>
            </w:r>
          </w:p>
        </w:tc>
      </w:tr>
      <w:tr w:rsidR="00C74902" w:rsidRPr="0018563A" w14:paraId="37169254" w14:textId="77777777" w:rsidTr="00534716">
        <w:tc>
          <w:tcPr>
            <w:tcW w:w="3119" w:type="dxa"/>
            <w:tcBorders>
              <w:right w:val="single" w:sz="4" w:space="0" w:color="auto"/>
            </w:tcBorders>
          </w:tcPr>
          <w:p w14:paraId="0B1F223A" w14:textId="4F221B35" w:rsidR="00C74902" w:rsidRPr="00C749C7" w:rsidRDefault="008B7277" w:rsidP="00C74902">
            <w:pPr>
              <w:pStyle w:val="BodyText1"/>
              <w:spacing w:after="0"/>
              <w:rPr>
                <w:b/>
                <w:bCs/>
              </w:rPr>
            </w:pPr>
            <w:r>
              <w:rPr>
                <w:b/>
                <w:bCs/>
              </w:rPr>
              <w:t>8th</w:t>
            </w:r>
            <w:r w:rsidR="00C74902">
              <w:rPr>
                <w:b/>
                <w:bCs/>
              </w:rPr>
              <w:t xml:space="preserve"> </w:t>
            </w:r>
            <w:r>
              <w:rPr>
                <w:b/>
                <w:bCs/>
              </w:rPr>
              <w:t>December</w:t>
            </w:r>
            <w:r w:rsidR="00C74902">
              <w:rPr>
                <w:b/>
                <w:bCs/>
              </w:rPr>
              <w:t xml:space="preserve"> 2025</w:t>
            </w:r>
          </w:p>
        </w:tc>
        <w:tc>
          <w:tcPr>
            <w:tcW w:w="6519" w:type="dxa"/>
            <w:tcBorders>
              <w:top w:val="single" w:sz="4" w:space="0" w:color="auto"/>
              <w:left w:val="single" w:sz="4" w:space="0" w:color="auto"/>
            </w:tcBorders>
          </w:tcPr>
          <w:p w14:paraId="4470D134" w14:textId="5E097BB5" w:rsidR="00C74902" w:rsidRPr="0018563A" w:rsidRDefault="00C74902" w:rsidP="00C74902">
            <w:pPr>
              <w:pStyle w:val="BodyText1"/>
              <w:spacing w:after="0"/>
            </w:pPr>
            <w:r w:rsidRPr="007A3B7E">
              <w:rPr>
                <w:rFonts w:cs="Arial"/>
              </w:rPr>
              <w:t xml:space="preserve">Closing date for submission of </w:t>
            </w:r>
            <w:r>
              <w:rPr>
                <w:rFonts w:cs="Arial"/>
              </w:rPr>
              <w:t>Supplier Clarification Questions (Supplier CQs)</w:t>
            </w:r>
          </w:p>
        </w:tc>
      </w:tr>
      <w:tr w:rsidR="00C74902" w:rsidRPr="0018563A" w14:paraId="3012074E" w14:textId="77777777" w:rsidTr="00534716">
        <w:tc>
          <w:tcPr>
            <w:tcW w:w="3119" w:type="dxa"/>
            <w:tcBorders>
              <w:right w:val="single" w:sz="4" w:space="0" w:color="auto"/>
            </w:tcBorders>
          </w:tcPr>
          <w:p w14:paraId="1C0972C0" w14:textId="4E49D598" w:rsidR="00C74902" w:rsidRDefault="0042195E" w:rsidP="00C74902">
            <w:pPr>
              <w:pStyle w:val="BodyText1"/>
              <w:spacing w:after="0"/>
              <w:rPr>
                <w:b/>
                <w:bCs/>
              </w:rPr>
            </w:pPr>
            <w:r>
              <w:rPr>
                <w:b/>
                <w:bCs/>
              </w:rPr>
              <w:t>10th</w:t>
            </w:r>
            <w:r w:rsidR="00B05455">
              <w:rPr>
                <w:b/>
                <w:bCs/>
              </w:rPr>
              <w:t xml:space="preserve"> December</w:t>
            </w:r>
            <w:r w:rsidR="00C74902">
              <w:rPr>
                <w:b/>
                <w:bCs/>
              </w:rPr>
              <w:t xml:space="preserve"> 2025</w:t>
            </w:r>
          </w:p>
        </w:tc>
        <w:tc>
          <w:tcPr>
            <w:tcW w:w="6519" w:type="dxa"/>
            <w:tcBorders>
              <w:top w:val="single" w:sz="4" w:space="0" w:color="auto"/>
              <w:left w:val="single" w:sz="4" w:space="0" w:color="auto"/>
            </w:tcBorders>
          </w:tcPr>
          <w:p w14:paraId="31840073" w14:textId="1A2F696E" w:rsidR="00C74902" w:rsidRPr="007A3B7E" w:rsidRDefault="00C74902" w:rsidP="00C74902">
            <w:pPr>
              <w:pStyle w:val="BodyText1"/>
              <w:spacing w:after="0"/>
              <w:rPr>
                <w:rFonts w:cs="Arial"/>
              </w:rPr>
            </w:pPr>
            <w:r>
              <w:rPr>
                <w:rFonts w:cs="Arial"/>
              </w:rPr>
              <w:t xml:space="preserve">Virtual Supplier Day hosted on Microsoft Teams </w:t>
            </w:r>
            <w:r>
              <w:rPr>
                <w:rFonts w:cs="Arial"/>
                <w:i/>
                <w:iCs/>
              </w:rPr>
              <w:t>if applicable</w:t>
            </w:r>
          </w:p>
        </w:tc>
      </w:tr>
      <w:tr w:rsidR="00C74902" w:rsidRPr="0018563A" w14:paraId="06FBADF4" w14:textId="77777777" w:rsidTr="00534716">
        <w:tc>
          <w:tcPr>
            <w:tcW w:w="3119" w:type="dxa"/>
            <w:tcBorders>
              <w:right w:val="single" w:sz="4" w:space="0" w:color="auto"/>
            </w:tcBorders>
          </w:tcPr>
          <w:p w14:paraId="77F88391" w14:textId="3C45C81F" w:rsidR="00C74902" w:rsidRPr="00C749C7" w:rsidRDefault="005E2A74" w:rsidP="00C74902">
            <w:pPr>
              <w:pStyle w:val="BodyText1"/>
              <w:spacing w:after="0"/>
              <w:rPr>
                <w:b/>
                <w:bCs/>
              </w:rPr>
            </w:pPr>
            <w:r>
              <w:rPr>
                <w:b/>
                <w:bCs/>
              </w:rPr>
              <w:t>12</w:t>
            </w:r>
            <w:r w:rsidR="00B05455" w:rsidRPr="00B05455">
              <w:rPr>
                <w:b/>
                <w:bCs/>
                <w:vertAlign w:val="superscript"/>
              </w:rPr>
              <w:t>th</w:t>
            </w:r>
            <w:r w:rsidR="00B05455">
              <w:rPr>
                <w:b/>
                <w:bCs/>
              </w:rPr>
              <w:t xml:space="preserve"> December</w:t>
            </w:r>
            <w:r w:rsidR="00C74902">
              <w:rPr>
                <w:b/>
                <w:bCs/>
              </w:rPr>
              <w:t xml:space="preserve"> 2025</w:t>
            </w:r>
          </w:p>
        </w:tc>
        <w:tc>
          <w:tcPr>
            <w:tcW w:w="6519" w:type="dxa"/>
            <w:tcBorders>
              <w:top w:val="single" w:sz="4" w:space="0" w:color="auto"/>
              <w:left w:val="single" w:sz="4" w:space="0" w:color="auto"/>
            </w:tcBorders>
          </w:tcPr>
          <w:p w14:paraId="13DC56D4" w14:textId="6B912D2E" w:rsidR="00C74902" w:rsidRPr="0018563A" w:rsidRDefault="00C74902" w:rsidP="00C74902">
            <w:pPr>
              <w:tabs>
                <w:tab w:val="left" w:pos="2751"/>
              </w:tabs>
            </w:pPr>
            <w:r w:rsidRPr="007A3B7E">
              <w:rPr>
                <w:rFonts w:cs="Arial"/>
              </w:rPr>
              <w:t xml:space="preserve">Answers to </w:t>
            </w:r>
            <w:r>
              <w:rPr>
                <w:rFonts w:cs="Arial"/>
              </w:rPr>
              <w:t>Supplier CQ</w:t>
            </w:r>
            <w:r w:rsidRPr="007A3B7E">
              <w:rPr>
                <w:rFonts w:cs="Arial"/>
              </w:rPr>
              <w:t xml:space="preserve">s </w:t>
            </w:r>
            <w:r>
              <w:rPr>
                <w:rFonts w:cs="Arial"/>
              </w:rPr>
              <w:t>published on the Portal</w:t>
            </w:r>
          </w:p>
        </w:tc>
      </w:tr>
      <w:tr w:rsidR="00C74902" w:rsidRPr="0018563A" w14:paraId="798884F2" w14:textId="77777777" w:rsidTr="00534716">
        <w:tc>
          <w:tcPr>
            <w:tcW w:w="3119" w:type="dxa"/>
            <w:tcBorders>
              <w:right w:val="single" w:sz="4" w:space="0" w:color="auto"/>
            </w:tcBorders>
          </w:tcPr>
          <w:p w14:paraId="004D2031" w14:textId="65A38AD8" w:rsidR="00C74902" w:rsidRPr="00C749C7" w:rsidRDefault="00F478FB" w:rsidP="00C74902">
            <w:pPr>
              <w:pStyle w:val="BodyText1"/>
              <w:spacing w:after="0"/>
              <w:rPr>
                <w:b/>
                <w:bCs/>
              </w:rPr>
            </w:pPr>
            <w:r>
              <w:rPr>
                <w:b/>
                <w:bCs/>
              </w:rPr>
              <w:t>24</w:t>
            </w:r>
            <w:r w:rsidRPr="00F478FB">
              <w:rPr>
                <w:b/>
                <w:bCs/>
                <w:vertAlign w:val="superscript"/>
              </w:rPr>
              <w:t>th</w:t>
            </w:r>
            <w:r>
              <w:rPr>
                <w:b/>
                <w:bCs/>
              </w:rPr>
              <w:t xml:space="preserve"> De</w:t>
            </w:r>
            <w:r w:rsidR="00B66476">
              <w:rPr>
                <w:b/>
                <w:bCs/>
              </w:rPr>
              <w:t>cember</w:t>
            </w:r>
            <w:r w:rsidR="00C74902">
              <w:rPr>
                <w:b/>
                <w:bCs/>
              </w:rPr>
              <w:t xml:space="preserve"> 2025 14:00</w:t>
            </w:r>
          </w:p>
        </w:tc>
        <w:tc>
          <w:tcPr>
            <w:tcW w:w="6519" w:type="dxa"/>
            <w:tcBorders>
              <w:top w:val="single" w:sz="4" w:space="0" w:color="auto"/>
              <w:left w:val="single" w:sz="4" w:space="0" w:color="auto"/>
            </w:tcBorders>
          </w:tcPr>
          <w:p w14:paraId="29D8B445" w14:textId="2551FA92" w:rsidR="00C74902" w:rsidRPr="0018563A" w:rsidRDefault="00C74902" w:rsidP="00C74902">
            <w:pPr>
              <w:tabs>
                <w:tab w:val="left" w:pos="2751"/>
              </w:tabs>
            </w:pPr>
            <w:r w:rsidRPr="007A3B7E">
              <w:rPr>
                <w:rFonts w:cs="Arial"/>
              </w:rPr>
              <w:t>Closing date for receipt of Tender</w:t>
            </w:r>
            <w:r>
              <w:rPr>
                <w:rFonts w:cs="Arial"/>
              </w:rPr>
              <w:t>s and PSQ Responses</w:t>
            </w:r>
          </w:p>
        </w:tc>
      </w:tr>
      <w:tr w:rsidR="00C74902" w:rsidRPr="0018563A" w14:paraId="7BB8F3D1" w14:textId="77777777" w:rsidTr="00A60678">
        <w:tc>
          <w:tcPr>
            <w:tcW w:w="3119" w:type="dxa"/>
            <w:tcBorders>
              <w:right w:val="single" w:sz="4" w:space="0" w:color="auto"/>
            </w:tcBorders>
          </w:tcPr>
          <w:p w14:paraId="056123E4" w14:textId="2619F739" w:rsidR="00C74902" w:rsidRPr="00C749C7" w:rsidRDefault="00C74902" w:rsidP="00C74902">
            <w:pPr>
              <w:pStyle w:val="BodyText1"/>
              <w:spacing w:after="0"/>
              <w:rPr>
                <w:b/>
                <w:bCs/>
              </w:rPr>
            </w:pPr>
            <w:r>
              <w:rPr>
                <w:b/>
                <w:bCs/>
              </w:rPr>
              <w:t xml:space="preserve">Begins </w:t>
            </w:r>
            <w:r w:rsidR="00043977">
              <w:rPr>
                <w:b/>
                <w:bCs/>
              </w:rPr>
              <w:t>29</w:t>
            </w:r>
            <w:r w:rsidR="00043977" w:rsidRPr="00043977">
              <w:rPr>
                <w:b/>
                <w:bCs/>
                <w:vertAlign w:val="superscript"/>
              </w:rPr>
              <w:t>th</w:t>
            </w:r>
            <w:r w:rsidR="00043977">
              <w:rPr>
                <w:b/>
                <w:bCs/>
              </w:rPr>
              <w:t xml:space="preserve"> D</w:t>
            </w:r>
            <w:r w:rsidR="002D6BBD">
              <w:rPr>
                <w:b/>
                <w:bCs/>
              </w:rPr>
              <w:t>ecember</w:t>
            </w:r>
            <w:r>
              <w:rPr>
                <w:b/>
                <w:bCs/>
              </w:rPr>
              <w:t xml:space="preserve"> 2025</w:t>
            </w:r>
          </w:p>
        </w:tc>
        <w:tc>
          <w:tcPr>
            <w:tcW w:w="6519" w:type="dxa"/>
            <w:tcBorders>
              <w:top w:val="single" w:sz="4" w:space="0" w:color="auto"/>
              <w:left w:val="single" w:sz="4" w:space="0" w:color="auto"/>
              <w:bottom w:val="single" w:sz="4" w:space="0" w:color="auto"/>
            </w:tcBorders>
          </w:tcPr>
          <w:p w14:paraId="7AAA8B8F" w14:textId="4A7385AC" w:rsidR="00C74902" w:rsidRPr="0018563A" w:rsidRDefault="00C74902" w:rsidP="00C74902">
            <w:pPr>
              <w:pStyle w:val="BodyText1"/>
              <w:spacing w:after="0"/>
            </w:pPr>
            <w:r>
              <w:rPr>
                <w:rFonts w:cs="Arial"/>
              </w:rPr>
              <w:t>Evaluation period (on or around)</w:t>
            </w:r>
          </w:p>
        </w:tc>
      </w:tr>
      <w:tr w:rsidR="11F4E13A" w14:paraId="0861CAB9" w14:textId="77777777" w:rsidTr="11F4E13A">
        <w:trPr>
          <w:trHeight w:val="300"/>
        </w:trPr>
        <w:tc>
          <w:tcPr>
            <w:tcW w:w="3119" w:type="dxa"/>
            <w:tcBorders>
              <w:right w:val="single" w:sz="4" w:space="0" w:color="auto"/>
            </w:tcBorders>
          </w:tcPr>
          <w:p w14:paraId="6DC66CD3" w14:textId="0C4E6C13" w:rsidR="732DF5BC" w:rsidRDefault="00C63EB8" w:rsidP="11F4E13A">
            <w:pPr>
              <w:pStyle w:val="BodyText1"/>
              <w:rPr>
                <w:b/>
                <w:bCs/>
              </w:rPr>
            </w:pPr>
            <w:r>
              <w:rPr>
                <w:b/>
                <w:bCs/>
              </w:rPr>
              <w:t>21</w:t>
            </w:r>
            <w:r w:rsidRPr="00C63EB8">
              <w:rPr>
                <w:b/>
                <w:bCs/>
                <w:vertAlign w:val="superscript"/>
              </w:rPr>
              <w:t>st</w:t>
            </w:r>
            <w:r>
              <w:rPr>
                <w:b/>
                <w:bCs/>
              </w:rPr>
              <w:t xml:space="preserve"> </w:t>
            </w:r>
            <w:r w:rsidR="00230159">
              <w:rPr>
                <w:b/>
                <w:bCs/>
              </w:rPr>
              <w:t>and 22</w:t>
            </w:r>
            <w:r w:rsidR="00230159" w:rsidRPr="00230159">
              <w:rPr>
                <w:b/>
                <w:bCs/>
                <w:vertAlign w:val="superscript"/>
              </w:rPr>
              <w:t>nd</w:t>
            </w:r>
            <w:r w:rsidR="00230159">
              <w:rPr>
                <w:b/>
                <w:bCs/>
              </w:rPr>
              <w:t xml:space="preserve"> </w:t>
            </w:r>
            <w:r>
              <w:rPr>
                <w:b/>
                <w:bCs/>
              </w:rPr>
              <w:t>January 2026</w:t>
            </w:r>
          </w:p>
        </w:tc>
        <w:tc>
          <w:tcPr>
            <w:tcW w:w="6519" w:type="dxa"/>
            <w:tcBorders>
              <w:top w:val="single" w:sz="4" w:space="0" w:color="auto"/>
              <w:left w:val="single" w:sz="4" w:space="0" w:color="auto"/>
              <w:bottom w:val="single" w:sz="4" w:space="0" w:color="auto"/>
            </w:tcBorders>
          </w:tcPr>
          <w:p w14:paraId="2F1001B9" w14:textId="62A30AFD" w:rsidR="732DF5BC" w:rsidRDefault="732DF5BC" w:rsidP="11F4E13A">
            <w:pPr>
              <w:pStyle w:val="BodyText1"/>
              <w:rPr>
                <w:rFonts w:cs="Arial"/>
              </w:rPr>
            </w:pPr>
            <w:r w:rsidRPr="11F4E13A">
              <w:rPr>
                <w:rFonts w:cs="Arial"/>
              </w:rPr>
              <w:t>Demonstrations for Invited Suppliers</w:t>
            </w:r>
          </w:p>
        </w:tc>
      </w:tr>
      <w:tr w:rsidR="00DD4B8A" w:rsidRPr="0018563A" w14:paraId="2F16DC0B" w14:textId="77777777" w:rsidTr="008610EB">
        <w:tc>
          <w:tcPr>
            <w:tcW w:w="3119" w:type="dxa"/>
            <w:tcBorders>
              <w:right w:val="single" w:sz="4" w:space="0" w:color="auto"/>
            </w:tcBorders>
          </w:tcPr>
          <w:p w14:paraId="091A333B" w14:textId="28704EBE" w:rsidR="00DD4B8A" w:rsidRDefault="00DD4B8A" w:rsidP="00C74902">
            <w:pPr>
              <w:pStyle w:val="BodyText1"/>
              <w:spacing w:after="0"/>
              <w:rPr>
                <w:b/>
                <w:bCs/>
              </w:rPr>
            </w:pPr>
            <w:r>
              <w:rPr>
                <w:b/>
                <w:bCs/>
              </w:rPr>
              <w:t>26</w:t>
            </w:r>
            <w:r w:rsidRPr="00DD4B8A">
              <w:rPr>
                <w:b/>
                <w:bCs/>
                <w:vertAlign w:val="superscript"/>
              </w:rPr>
              <w:t>th</w:t>
            </w:r>
            <w:r>
              <w:rPr>
                <w:b/>
                <w:bCs/>
              </w:rPr>
              <w:t xml:space="preserve"> January 2026</w:t>
            </w:r>
          </w:p>
        </w:tc>
        <w:tc>
          <w:tcPr>
            <w:tcW w:w="6519" w:type="dxa"/>
            <w:tcBorders>
              <w:top w:val="single" w:sz="4" w:space="0" w:color="auto"/>
              <w:left w:val="single" w:sz="4" w:space="0" w:color="auto"/>
              <w:bottom w:val="single" w:sz="4" w:space="0" w:color="auto"/>
            </w:tcBorders>
          </w:tcPr>
          <w:p w14:paraId="4D2C1462" w14:textId="650A1F9A" w:rsidR="00DD4B8A" w:rsidRPr="007A3B7E" w:rsidRDefault="00DD4B8A" w:rsidP="00C74902">
            <w:pPr>
              <w:pStyle w:val="BodyText1"/>
              <w:spacing w:after="0"/>
              <w:rPr>
                <w:rFonts w:cs="Arial"/>
              </w:rPr>
            </w:pPr>
            <w:r>
              <w:rPr>
                <w:rFonts w:cs="Arial"/>
              </w:rPr>
              <w:t>Commencement of evaluation of Presentations</w:t>
            </w:r>
          </w:p>
        </w:tc>
      </w:tr>
      <w:tr w:rsidR="00C74902" w:rsidRPr="0018563A" w14:paraId="1B3996F4" w14:textId="77777777" w:rsidTr="008610EB">
        <w:tc>
          <w:tcPr>
            <w:tcW w:w="3119" w:type="dxa"/>
            <w:tcBorders>
              <w:right w:val="single" w:sz="4" w:space="0" w:color="auto"/>
            </w:tcBorders>
          </w:tcPr>
          <w:p w14:paraId="3FF82790" w14:textId="3EE66FD7" w:rsidR="00C74902" w:rsidRPr="00C749C7" w:rsidRDefault="00C65CCF" w:rsidP="00C74902">
            <w:pPr>
              <w:pStyle w:val="BodyText1"/>
              <w:spacing w:after="0"/>
              <w:rPr>
                <w:b/>
                <w:bCs/>
              </w:rPr>
            </w:pPr>
            <w:r>
              <w:rPr>
                <w:b/>
                <w:bCs/>
              </w:rPr>
              <w:t>w/c 2</w:t>
            </w:r>
            <w:r w:rsidRPr="00C65CCF">
              <w:rPr>
                <w:b/>
                <w:bCs/>
                <w:vertAlign w:val="superscript"/>
              </w:rPr>
              <w:t>nd</w:t>
            </w:r>
            <w:r>
              <w:rPr>
                <w:b/>
                <w:bCs/>
              </w:rPr>
              <w:t xml:space="preserve"> February 2026</w:t>
            </w:r>
          </w:p>
        </w:tc>
        <w:tc>
          <w:tcPr>
            <w:tcW w:w="6519" w:type="dxa"/>
            <w:tcBorders>
              <w:top w:val="single" w:sz="4" w:space="0" w:color="auto"/>
              <w:left w:val="single" w:sz="4" w:space="0" w:color="auto"/>
              <w:bottom w:val="single" w:sz="4" w:space="0" w:color="auto"/>
            </w:tcBorders>
          </w:tcPr>
          <w:p w14:paraId="2E129DB9" w14:textId="6702705C" w:rsidR="00C74902" w:rsidRDefault="00C74902" w:rsidP="00C74902">
            <w:pPr>
              <w:pStyle w:val="BodyText1"/>
              <w:spacing w:after="0"/>
              <w:rPr>
                <w:rFonts w:cs="Arial"/>
              </w:rPr>
            </w:pPr>
            <w:r w:rsidRPr="007A3B7E">
              <w:rPr>
                <w:rFonts w:cs="Arial"/>
              </w:rPr>
              <w:t xml:space="preserve">Notification of proposed </w:t>
            </w:r>
            <w:r>
              <w:rPr>
                <w:rFonts w:cs="Arial"/>
              </w:rPr>
              <w:t xml:space="preserve">contract </w:t>
            </w:r>
            <w:r w:rsidRPr="007A3B7E">
              <w:rPr>
                <w:rFonts w:cs="Arial"/>
              </w:rPr>
              <w:t xml:space="preserve">award </w:t>
            </w:r>
            <w:r>
              <w:rPr>
                <w:rFonts w:cs="Arial"/>
              </w:rPr>
              <w:t>and start of standstill  period (on or around)</w:t>
            </w:r>
          </w:p>
        </w:tc>
      </w:tr>
      <w:tr w:rsidR="00C74902" w:rsidRPr="0018563A" w14:paraId="7B3F2CE2" w14:textId="77777777" w:rsidTr="008610EB">
        <w:tc>
          <w:tcPr>
            <w:tcW w:w="3119" w:type="dxa"/>
            <w:tcBorders>
              <w:right w:val="single" w:sz="4" w:space="0" w:color="auto"/>
            </w:tcBorders>
          </w:tcPr>
          <w:p w14:paraId="4BC52421" w14:textId="673EE452" w:rsidR="00C74902" w:rsidRDefault="00C74902" w:rsidP="00C74902">
            <w:pPr>
              <w:pStyle w:val="BodyText1"/>
              <w:spacing w:after="0"/>
              <w:rPr>
                <w:b/>
                <w:bCs/>
              </w:rPr>
            </w:pPr>
            <w:r>
              <w:rPr>
                <w:b/>
                <w:bCs/>
              </w:rPr>
              <w:t xml:space="preserve">Not before </w:t>
            </w:r>
            <w:r w:rsidR="008E4DCB">
              <w:rPr>
                <w:b/>
                <w:bCs/>
              </w:rPr>
              <w:t>12</w:t>
            </w:r>
            <w:r w:rsidR="008E4DCB" w:rsidRPr="008E4DCB">
              <w:rPr>
                <w:b/>
                <w:bCs/>
                <w:vertAlign w:val="superscript"/>
              </w:rPr>
              <w:t>th</w:t>
            </w:r>
            <w:r w:rsidR="008E4DCB">
              <w:rPr>
                <w:b/>
                <w:bCs/>
              </w:rPr>
              <w:t xml:space="preserve"> February</w:t>
            </w:r>
            <w:r w:rsidR="00B64E71">
              <w:rPr>
                <w:b/>
                <w:bCs/>
              </w:rPr>
              <w:t xml:space="preserve"> 2026</w:t>
            </w:r>
          </w:p>
        </w:tc>
        <w:tc>
          <w:tcPr>
            <w:tcW w:w="6519" w:type="dxa"/>
            <w:tcBorders>
              <w:top w:val="single" w:sz="4" w:space="0" w:color="auto"/>
              <w:left w:val="single" w:sz="4" w:space="0" w:color="auto"/>
              <w:bottom w:val="single" w:sz="4" w:space="0" w:color="auto"/>
            </w:tcBorders>
          </w:tcPr>
          <w:p w14:paraId="6507E73E" w14:textId="454CF0AF" w:rsidR="00C74902" w:rsidRPr="007A3B7E" w:rsidRDefault="00C74902" w:rsidP="00C74902">
            <w:pPr>
              <w:pStyle w:val="BodyText1"/>
              <w:spacing w:after="0"/>
              <w:rPr>
                <w:rFonts w:cs="Arial"/>
              </w:rPr>
            </w:pPr>
            <w:r>
              <w:rPr>
                <w:rFonts w:cs="Arial"/>
              </w:rPr>
              <w:t>Contract Signature Date</w:t>
            </w:r>
          </w:p>
        </w:tc>
      </w:tr>
      <w:tr w:rsidR="00C74902" w:rsidRPr="0018563A" w14:paraId="334E0008" w14:textId="77777777" w:rsidTr="00C74902">
        <w:trPr>
          <w:trHeight w:val="17"/>
        </w:trPr>
        <w:tc>
          <w:tcPr>
            <w:tcW w:w="3119" w:type="dxa"/>
            <w:tcBorders>
              <w:right w:val="single" w:sz="4" w:space="0" w:color="auto"/>
            </w:tcBorders>
          </w:tcPr>
          <w:p w14:paraId="5ACB8CD7" w14:textId="4CF9639B" w:rsidR="00C74902" w:rsidRPr="00C749C7" w:rsidRDefault="00C74902" w:rsidP="00C74902">
            <w:pPr>
              <w:pStyle w:val="BodyText1"/>
              <w:spacing w:after="0"/>
              <w:rPr>
                <w:b/>
                <w:bCs/>
              </w:rPr>
            </w:pPr>
            <w:r>
              <w:rPr>
                <w:b/>
                <w:bCs/>
              </w:rPr>
              <w:t xml:space="preserve">Not before </w:t>
            </w:r>
            <w:r w:rsidR="008E4DCB">
              <w:rPr>
                <w:b/>
                <w:bCs/>
              </w:rPr>
              <w:t>12</w:t>
            </w:r>
            <w:r w:rsidR="008E4DCB" w:rsidRPr="008E4DCB">
              <w:rPr>
                <w:b/>
                <w:bCs/>
                <w:vertAlign w:val="superscript"/>
              </w:rPr>
              <w:t>th</w:t>
            </w:r>
            <w:r w:rsidR="008E4DCB">
              <w:rPr>
                <w:b/>
                <w:bCs/>
              </w:rPr>
              <w:t xml:space="preserve"> February</w:t>
            </w:r>
            <w:r w:rsidR="00B64E71">
              <w:rPr>
                <w:b/>
                <w:bCs/>
              </w:rPr>
              <w:t xml:space="preserve"> 2026</w:t>
            </w:r>
          </w:p>
        </w:tc>
        <w:tc>
          <w:tcPr>
            <w:tcW w:w="6519" w:type="dxa"/>
            <w:tcBorders>
              <w:top w:val="single" w:sz="4" w:space="0" w:color="auto"/>
              <w:left w:val="single" w:sz="4" w:space="0" w:color="auto"/>
            </w:tcBorders>
          </w:tcPr>
          <w:p w14:paraId="4DE708EB" w14:textId="67E53D0E" w:rsidR="00C74902" w:rsidRPr="00743BDC" w:rsidRDefault="00C74902" w:rsidP="00C74902">
            <w:pPr>
              <w:pStyle w:val="BodyText1"/>
              <w:spacing w:after="0"/>
              <w:rPr>
                <w:rFonts w:cs="Arial"/>
              </w:rPr>
            </w:pPr>
            <w:r>
              <w:rPr>
                <w:rFonts w:cs="Arial"/>
              </w:rPr>
              <w:t>Anticipated Contract c</w:t>
            </w:r>
            <w:r w:rsidRPr="007A3B7E">
              <w:rPr>
                <w:rFonts w:cs="Arial"/>
              </w:rPr>
              <w:t xml:space="preserve">ommencement </w:t>
            </w:r>
            <w:r>
              <w:rPr>
                <w:rFonts w:cs="Arial"/>
              </w:rPr>
              <w:t>d</w:t>
            </w:r>
            <w:r w:rsidRPr="007A3B7E">
              <w:rPr>
                <w:rFonts w:cs="Arial"/>
              </w:rPr>
              <w:t>ate</w:t>
            </w:r>
            <w:r>
              <w:rPr>
                <w:rFonts w:cs="Arial"/>
              </w:rPr>
              <w:t xml:space="preserve"> (</w:t>
            </w:r>
            <w:r>
              <w:rPr>
                <w:rFonts w:cs="Arial"/>
                <w:i/>
                <w:iCs/>
              </w:rPr>
              <w:t>subject to change</w:t>
            </w:r>
            <w:r>
              <w:rPr>
                <w:rFonts w:cs="Arial"/>
              </w:rPr>
              <w:t>)</w:t>
            </w:r>
          </w:p>
        </w:tc>
      </w:tr>
      <w:bookmarkEnd w:id="13"/>
    </w:tbl>
    <w:p w14:paraId="016E9755" w14:textId="6C502142" w:rsidR="0018563A" w:rsidRDefault="0018563A" w:rsidP="0007780E">
      <w:pPr>
        <w:pStyle w:val="BodyText1"/>
      </w:pPr>
    </w:p>
    <w:p w14:paraId="0AB05BD8" w14:textId="0126F6A1" w:rsidR="0018563A" w:rsidRDefault="002147DD" w:rsidP="002840CF">
      <w:pPr>
        <w:pStyle w:val="BodyText1"/>
        <w:numPr>
          <w:ilvl w:val="0"/>
          <w:numId w:val="4"/>
        </w:numPr>
        <w:ind w:left="357" w:hanging="357"/>
      </w:pPr>
      <w:r w:rsidRPr="002147DD">
        <w:t xml:space="preserve">Please note that the Authority reserves the right, in its absolute discretion, to amend the Procurement Timetable or extend any </w:t>
      </w:r>
      <w:proofErr w:type="gramStart"/>
      <w:r w:rsidRPr="002147DD">
        <w:t>time period</w:t>
      </w:r>
      <w:proofErr w:type="gramEnd"/>
      <w:r w:rsidRPr="002147DD">
        <w:t xml:space="preserve"> in connection with the Procurement. Any changes to the Procurement Timetable will be notified </w:t>
      </w:r>
      <w:r w:rsidR="0023010E">
        <w:t>via the Portal</w:t>
      </w:r>
      <w:r w:rsidRPr="002147DD">
        <w:t>.</w:t>
      </w:r>
    </w:p>
    <w:p w14:paraId="2AC01748" w14:textId="77777777" w:rsidR="00A93FDC" w:rsidRPr="002147DD" w:rsidRDefault="002147DD" w:rsidP="00DF644D">
      <w:pPr>
        <w:pStyle w:val="Heading1"/>
        <w:numPr>
          <w:ilvl w:val="0"/>
          <w:numId w:val="0"/>
        </w:numPr>
      </w:pPr>
      <w:bookmarkStart w:id="14" w:name="_Toc214868667"/>
      <w:r w:rsidRPr="002147DD">
        <w:lastRenderedPageBreak/>
        <w:t>Service Levels, Service Credits and</w:t>
      </w:r>
      <w:r w:rsidR="00F22687">
        <w:t> </w:t>
      </w:r>
      <w:r w:rsidRPr="002147DD">
        <w:t>KPIs</w:t>
      </w:r>
      <w:bookmarkEnd w:id="14"/>
    </w:p>
    <w:p w14:paraId="454FF404" w14:textId="77777777" w:rsidR="009A0559" w:rsidRPr="00803682" w:rsidRDefault="009A0559" w:rsidP="00107623">
      <w:pPr>
        <w:pStyle w:val="BodyText1"/>
        <w:rPr>
          <w:color w:val="auto"/>
        </w:rPr>
      </w:pPr>
    </w:p>
    <w:p w14:paraId="2649F1C6" w14:textId="083F2F09" w:rsidR="00190CC6" w:rsidRPr="000C0292" w:rsidRDefault="00E90428" w:rsidP="002840CF">
      <w:pPr>
        <w:pStyle w:val="BodyText1"/>
        <w:numPr>
          <w:ilvl w:val="0"/>
          <w:numId w:val="4"/>
        </w:numPr>
        <w:ind w:left="357" w:hanging="357"/>
        <w:rPr>
          <w:b/>
          <w:bCs/>
          <w:color w:val="auto"/>
        </w:rPr>
      </w:pPr>
      <w:r w:rsidRPr="000C0292">
        <w:rPr>
          <w:b/>
          <w:bCs/>
          <w:color w:val="auto"/>
        </w:rPr>
        <w:t>Service Level requirements</w:t>
      </w:r>
    </w:p>
    <w:p w14:paraId="3F0EBD4B" w14:textId="15828F0F" w:rsidR="00556381" w:rsidRPr="00F7429D" w:rsidRDefault="00D03F39" w:rsidP="00657872">
      <w:pPr>
        <w:rPr>
          <w:rFonts w:eastAsia="Aptos" w:cstheme="minorHAnsi"/>
          <w:spacing w:val="-1"/>
          <w:szCs w:val="20"/>
        </w:rPr>
      </w:pPr>
      <w:r w:rsidRPr="00F7429D">
        <w:rPr>
          <w:rFonts w:eastAsia="Aptos" w:cstheme="minorHAnsi"/>
          <w:spacing w:val="-1"/>
          <w:szCs w:val="20"/>
        </w:rPr>
        <w:t xml:space="preserve">For </w:t>
      </w:r>
      <w:r w:rsidR="00B00B49">
        <w:rPr>
          <w:rFonts w:eastAsia="Aptos" w:cstheme="minorHAnsi"/>
          <w:spacing w:val="-1"/>
          <w:szCs w:val="20"/>
        </w:rPr>
        <w:t>implementation of the LMS</w:t>
      </w:r>
      <w:r w:rsidRPr="00F7429D">
        <w:rPr>
          <w:rFonts w:eastAsia="Aptos" w:cstheme="minorHAnsi"/>
          <w:spacing w:val="-1"/>
          <w:szCs w:val="20"/>
        </w:rPr>
        <w:t xml:space="preserve">, we </w:t>
      </w:r>
      <w:r w:rsidR="00556381" w:rsidRPr="00F7429D">
        <w:rPr>
          <w:rFonts w:cstheme="minorHAnsi"/>
        </w:rPr>
        <w:t>will measure the quality of the delivery by:</w:t>
      </w:r>
    </w:p>
    <w:p w14:paraId="0E8AD14D" w14:textId="77777777" w:rsidR="00DB2448" w:rsidRDefault="00DB2448" w:rsidP="00556381">
      <w:pPr>
        <w:pStyle w:val="Standard"/>
        <w:rPr>
          <w:sz w:val="24"/>
          <w:szCs w:val="24"/>
        </w:rPr>
      </w:pPr>
    </w:p>
    <w:p w14:paraId="27A77899" w14:textId="78F82506" w:rsidR="00556381" w:rsidRDefault="00F7429D" w:rsidP="00556381">
      <w:pPr>
        <w:pStyle w:val="Standard"/>
      </w:pPr>
      <w:r>
        <w:rPr>
          <w:sz w:val="24"/>
          <w:szCs w:val="24"/>
        </w:rPr>
        <w:t>(</w:t>
      </w:r>
      <w:r w:rsidR="00556381">
        <w:rPr>
          <w:sz w:val="24"/>
          <w:szCs w:val="24"/>
        </w:rPr>
        <w:t xml:space="preserve">This table includes 4 columns and </w:t>
      </w:r>
      <w:r>
        <w:rPr>
          <w:sz w:val="24"/>
          <w:szCs w:val="24"/>
        </w:rPr>
        <w:t>3</w:t>
      </w:r>
      <w:r w:rsidR="00556381">
        <w:rPr>
          <w:sz w:val="24"/>
          <w:szCs w:val="24"/>
        </w:rPr>
        <w:t xml:space="preserve"> rows</w:t>
      </w:r>
      <w:r>
        <w:rPr>
          <w:sz w:val="24"/>
          <w:szCs w:val="24"/>
        </w:rPr>
        <w:t>)</w:t>
      </w:r>
    </w:p>
    <w:tbl>
      <w:tblPr>
        <w:tblW w:w="9340" w:type="dxa"/>
        <w:tblCellMar>
          <w:left w:w="10" w:type="dxa"/>
          <w:right w:w="10" w:type="dxa"/>
        </w:tblCellMar>
        <w:tblLook w:val="04A0" w:firstRow="1" w:lastRow="0" w:firstColumn="1" w:lastColumn="0" w:noHBand="0" w:noVBand="1"/>
      </w:tblPr>
      <w:tblGrid>
        <w:gridCol w:w="1555"/>
        <w:gridCol w:w="3115"/>
        <w:gridCol w:w="3405"/>
        <w:gridCol w:w="1265"/>
      </w:tblGrid>
      <w:tr w:rsidR="00556381" w14:paraId="53427C82" w14:textId="77777777" w:rsidTr="00756E33">
        <w:trPr>
          <w:trHeight w:val="861"/>
        </w:trPr>
        <w:tc>
          <w:tcPr>
            <w:tcW w:w="15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ECA52C2" w14:textId="77777777" w:rsidR="00556381" w:rsidRDefault="00556381" w:rsidP="00756E33">
            <w:pPr>
              <w:pStyle w:val="Standard"/>
              <w:rPr>
                <w:sz w:val="24"/>
                <w:szCs w:val="24"/>
              </w:rPr>
            </w:pPr>
            <w:r>
              <w:rPr>
                <w:sz w:val="24"/>
                <w:szCs w:val="24"/>
              </w:rPr>
              <w:t>KPI/SLA</w:t>
            </w:r>
          </w:p>
        </w:tc>
        <w:tc>
          <w:tcPr>
            <w:tcW w:w="311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2D5B9C4" w14:textId="77777777" w:rsidR="00556381" w:rsidRDefault="00556381" w:rsidP="00756E33">
            <w:pPr>
              <w:pStyle w:val="Standard"/>
              <w:rPr>
                <w:sz w:val="24"/>
                <w:szCs w:val="24"/>
              </w:rPr>
            </w:pPr>
            <w:r>
              <w:rPr>
                <w:sz w:val="24"/>
                <w:szCs w:val="24"/>
              </w:rPr>
              <w:t>Service Area</w:t>
            </w:r>
          </w:p>
        </w:tc>
        <w:tc>
          <w:tcPr>
            <w:tcW w:w="34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C444D26" w14:textId="77777777" w:rsidR="00556381" w:rsidRDefault="00556381" w:rsidP="00756E33">
            <w:pPr>
              <w:pStyle w:val="Standard"/>
              <w:rPr>
                <w:sz w:val="24"/>
                <w:szCs w:val="24"/>
              </w:rPr>
            </w:pPr>
            <w:r>
              <w:rPr>
                <w:sz w:val="24"/>
                <w:szCs w:val="24"/>
              </w:rPr>
              <w:t>KPI/SLA description</w:t>
            </w:r>
          </w:p>
        </w:tc>
        <w:tc>
          <w:tcPr>
            <w:tcW w:w="12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3508671" w14:textId="77777777" w:rsidR="00556381" w:rsidRDefault="00556381" w:rsidP="00756E33">
            <w:pPr>
              <w:pStyle w:val="Standard"/>
              <w:rPr>
                <w:sz w:val="24"/>
                <w:szCs w:val="24"/>
              </w:rPr>
            </w:pPr>
            <w:r>
              <w:rPr>
                <w:sz w:val="24"/>
                <w:szCs w:val="24"/>
              </w:rPr>
              <w:t>Target</w:t>
            </w:r>
          </w:p>
        </w:tc>
      </w:tr>
      <w:tr w:rsidR="00556381" w:rsidRPr="004706AA" w14:paraId="2A211011" w14:textId="77777777" w:rsidTr="00756E33">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F70CD" w14:textId="77777777" w:rsidR="00556381" w:rsidRPr="004706AA" w:rsidRDefault="00556381" w:rsidP="00756E33">
            <w:pPr>
              <w:pStyle w:val="Standard"/>
              <w:rPr>
                <w:sz w:val="24"/>
                <w:szCs w:val="24"/>
              </w:rPr>
            </w:pPr>
            <w:r w:rsidRPr="004706AA">
              <w:rPr>
                <w:sz w:val="24"/>
                <w:szCs w:val="24"/>
              </w:rPr>
              <w:t>1</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3FB1" w14:textId="61F7F5F7" w:rsidR="00556381" w:rsidRPr="004706AA" w:rsidRDefault="00EB555F" w:rsidP="00756E33">
            <w:pPr>
              <w:pStyle w:val="Standard"/>
              <w:rPr>
                <w:sz w:val="24"/>
                <w:szCs w:val="24"/>
              </w:rPr>
            </w:pPr>
            <w:r>
              <w:rPr>
                <w:sz w:val="24"/>
                <w:szCs w:val="24"/>
              </w:rPr>
              <w:t>Initial i</w:t>
            </w:r>
            <w:r w:rsidR="003C6E26">
              <w:rPr>
                <w:sz w:val="24"/>
                <w:szCs w:val="24"/>
              </w:rPr>
              <w:t xml:space="preserve">mplementation </w:t>
            </w:r>
            <w:r w:rsidR="00450881">
              <w:rPr>
                <w:sz w:val="24"/>
                <w:szCs w:val="24"/>
              </w:rPr>
              <w:t xml:space="preserve">/stand up </w:t>
            </w:r>
            <w:r w:rsidR="00A07BA2">
              <w:rPr>
                <w:sz w:val="24"/>
                <w:szCs w:val="24"/>
              </w:rPr>
              <w:t>d</w:t>
            </w:r>
            <w:r w:rsidR="00556381" w:rsidRPr="004706AA">
              <w:rPr>
                <w:sz w:val="24"/>
                <w:szCs w:val="24"/>
              </w:rPr>
              <w:t xml:space="preserve">elivery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32D44" w14:textId="1B04891F" w:rsidR="00556381" w:rsidRPr="004706AA" w:rsidRDefault="00556381" w:rsidP="00756E33">
            <w:pPr>
              <w:pStyle w:val="Standard"/>
              <w:rPr>
                <w:sz w:val="24"/>
                <w:szCs w:val="24"/>
              </w:rPr>
            </w:pPr>
            <w:r w:rsidRPr="004706AA">
              <w:rPr>
                <w:sz w:val="24"/>
                <w:szCs w:val="24"/>
              </w:rPr>
              <w:t xml:space="preserve">Weekly progress delivery reports presented by the Supplier </w:t>
            </w:r>
            <w:r w:rsidR="00A07BA2">
              <w:rPr>
                <w:sz w:val="24"/>
                <w:szCs w:val="24"/>
              </w:rPr>
              <w:t>to customer</w:t>
            </w:r>
            <w:r w:rsidRPr="004706AA">
              <w:rPr>
                <w:sz w:val="24"/>
                <w:szCs w:val="24"/>
              </w:rPr>
              <w:t xml:space="preserve"> board</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3383" w14:textId="77777777" w:rsidR="00556381" w:rsidRPr="004706AA" w:rsidRDefault="00556381" w:rsidP="00756E33">
            <w:pPr>
              <w:pStyle w:val="Standard"/>
              <w:rPr>
                <w:sz w:val="24"/>
                <w:szCs w:val="24"/>
              </w:rPr>
            </w:pPr>
            <w:r w:rsidRPr="004706AA">
              <w:rPr>
                <w:sz w:val="24"/>
                <w:szCs w:val="24"/>
              </w:rPr>
              <w:t>100%</w:t>
            </w:r>
          </w:p>
        </w:tc>
      </w:tr>
      <w:tr w:rsidR="007F6D4F" w:rsidRPr="004706AA" w14:paraId="5FE8C1D5" w14:textId="77777777" w:rsidTr="00756E33">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B532" w14:textId="7F60FD0A" w:rsidR="007F6D4F" w:rsidRPr="004706AA" w:rsidRDefault="007F6D4F" w:rsidP="007F6D4F">
            <w:pPr>
              <w:pStyle w:val="Standard"/>
              <w:rPr>
                <w:sz w:val="24"/>
                <w:szCs w:val="24"/>
              </w:rPr>
            </w:pPr>
            <w:r>
              <w:rPr>
                <w:sz w:val="24"/>
                <w:szCs w:val="24"/>
              </w:rPr>
              <w:t>2</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EA3F" w14:textId="0C0E1BFC" w:rsidR="007F6D4F" w:rsidRDefault="007F6D4F" w:rsidP="007F6D4F">
            <w:pPr>
              <w:pStyle w:val="Standard"/>
              <w:rPr>
                <w:sz w:val="24"/>
                <w:szCs w:val="24"/>
              </w:rPr>
            </w:pPr>
            <w:r>
              <w:rPr>
                <w:sz w:val="24"/>
                <w:szCs w:val="24"/>
              </w:rPr>
              <w:t xml:space="preserve">Full roll out delivery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F5DBD" w14:textId="2B2089EB" w:rsidR="007F6D4F" w:rsidRPr="004706AA" w:rsidRDefault="007F6D4F" w:rsidP="007F6D4F">
            <w:pPr>
              <w:pStyle w:val="Standard"/>
              <w:rPr>
                <w:sz w:val="24"/>
                <w:szCs w:val="24"/>
              </w:rPr>
            </w:pPr>
            <w:r w:rsidRPr="004706AA">
              <w:rPr>
                <w:sz w:val="24"/>
                <w:szCs w:val="24"/>
              </w:rPr>
              <w:t xml:space="preserve">Weekly progress delivery reports presented by the Supplier </w:t>
            </w:r>
            <w:r>
              <w:rPr>
                <w:sz w:val="24"/>
                <w:szCs w:val="24"/>
              </w:rPr>
              <w:t>to customer</w:t>
            </w:r>
            <w:r w:rsidRPr="004706AA">
              <w:rPr>
                <w:sz w:val="24"/>
                <w:szCs w:val="24"/>
              </w:rPr>
              <w:t xml:space="preserve"> board</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D009" w14:textId="475D834F" w:rsidR="007F6D4F" w:rsidRPr="004706AA" w:rsidRDefault="007F6D4F" w:rsidP="007F6D4F">
            <w:pPr>
              <w:pStyle w:val="Standard"/>
              <w:rPr>
                <w:sz w:val="24"/>
                <w:szCs w:val="24"/>
              </w:rPr>
            </w:pPr>
            <w:r>
              <w:rPr>
                <w:sz w:val="24"/>
                <w:szCs w:val="24"/>
              </w:rPr>
              <w:t>100%</w:t>
            </w:r>
          </w:p>
        </w:tc>
      </w:tr>
      <w:tr w:rsidR="007F6D4F" w:rsidRPr="004706AA" w14:paraId="2FCC652F" w14:textId="77777777" w:rsidTr="00756E33">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2302B" w14:textId="762997B2" w:rsidR="007F6D4F" w:rsidRPr="004706AA" w:rsidRDefault="007F6D4F" w:rsidP="007F6D4F">
            <w:pPr>
              <w:pStyle w:val="Standard"/>
              <w:rPr>
                <w:sz w:val="24"/>
                <w:szCs w:val="24"/>
              </w:rPr>
            </w:pPr>
            <w:r>
              <w:rPr>
                <w:sz w:val="24"/>
                <w:szCs w:val="24"/>
              </w:rPr>
              <w:t>3</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D337" w14:textId="791C9B87" w:rsidR="007F6D4F" w:rsidRPr="004706AA" w:rsidRDefault="007F6D4F" w:rsidP="007F6D4F">
            <w:pPr>
              <w:pStyle w:val="Standard"/>
              <w:rPr>
                <w:sz w:val="24"/>
                <w:szCs w:val="24"/>
              </w:rPr>
            </w:pPr>
            <w:r>
              <w:rPr>
                <w:sz w:val="24"/>
                <w:szCs w:val="24"/>
              </w:rPr>
              <w:t>Agreed d</w:t>
            </w:r>
            <w:r w:rsidRPr="004706AA">
              <w:rPr>
                <w:sz w:val="24"/>
                <w:szCs w:val="24"/>
              </w:rPr>
              <w:t>elivery Milestones</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A68A" w14:textId="77777777" w:rsidR="007F6D4F" w:rsidRPr="004706AA" w:rsidRDefault="007F6D4F" w:rsidP="007F6D4F">
            <w:pPr>
              <w:pStyle w:val="Standard"/>
              <w:rPr>
                <w:sz w:val="24"/>
                <w:szCs w:val="24"/>
              </w:rPr>
            </w:pPr>
            <w:r w:rsidRPr="004706AA">
              <w:rPr>
                <w:sz w:val="24"/>
                <w:szCs w:val="24"/>
              </w:rPr>
              <w:t>Delivery against mutually agreed baselined project plan</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6F9DC" w14:textId="365BDF11" w:rsidR="007F6D4F" w:rsidRPr="004706AA" w:rsidRDefault="007F6D4F" w:rsidP="007F6D4F">
            <w:pPr>
              <w:pStyle w:val="Standard"/>
              <w:rPr>
                <w:sz w:val="24"/>
                <w:szCs w:val="24"/>
              </w:rPr>
            </w:pPr>
            <w:r w:rsidRPr="004706AA">
              <w:rPr>
                <w:sz w:val="24"/>
                <w:szCs w:val="24"/>
              </w:rPr>
              <w:t xml:space="preserve">+/- </w:t>
            </w:r>
            <w:r>
              <w:rPr>
                <w:sz w:val="24"/>
                <w:szCs w:val="24"/>
              </w:rPr>
              <w:t>7</w:t>
            </w:r>
            <w:r w:rsidRPr="004706AA">
              <w:rPr>
                <w:sz w:val="24"/>
                <w:szCs w:val="24"/>
              </w:rPr>
              <w:t xml:space="preserve"> days</w:t>
            </w:r>
          </w:p>
        </w:tc>
      </w:tr>
    </w:tbl>
    <w:p w14:paraId="6DDCF795" w14:textId="77777777" w:rsidR="00556381" w:rsidRDefault="00556381" w:rsidP="00657872">
      <w:pPr>
        <w:rPr>
          <w:rFonts w:ascii="Aptos" w:eastAsia="Aptos" w:hAnsi="Aptos" w:cs="Aptos"/>
          <w:spacing w:val="-1"/>
          <w:szCs w:val="20"/>
        </w:rPr>
      </w:pPr>
    </w:p>
    <w:p w14:paraId="085839FA" w14:textId="77777777" w:rsidR="00556381" w:rsidRDefault="00556381" w:rsidP="00657872">
      <w:pPr>
        <w:rPr>
          <w:rFonts w:ascii="Aptos" w:eastAsia="Aptos" w:hAnsi="Aptos" w:cs="Aptos"/>
          <w:spacing w:val="-1"/>
          <w:szCs w:val="20"/>
        </w:rPr>
      </w:pPr>
    </w:p>
    <w:p w14:paraId="1087EB79" w14:textId="7341FF79" w:rsidR="00657872" w:rsidRPr="00F7429D" w:rsidRDefault="00D03F39" w:rsidP="00657872">
      <w:pPr>
        <w:rPr>
          <w:rFonts w:eastAsia="Aptos" w:cstheme="minorHAnsi"/>
          <w:spacing w:val="-1"/>
          <w:szCs w:val="20"/>
        </w:rPr>
      </w:pPr>
      <w:r w:rsidRPr="00F7429D">
        <w:rPr>
          <w:rFonts w:eastAsia="Aptos" w:cstheme="minorHAnsi"/>
          <w:spacing w:val="-1"/>
          <w:szCs w:val="20"/>
        </w:rPr>
        <w:t xml:space="preserve">For ongoing support of the </w:t>
      </w:r>
      <w:r w:rsidR="00B01053">
        <w:rPr>
          <w:rFonts w:eastAsia="Aptos" w:cstheme="minorHAnsi"/>
          <w:spacing w:val="-1"/>
          <w:szCs w:val="20"/>
        </w:rPr>
        <w:t>LMS</w:t>
      </w:r>
      <w:r w:rsidRPr="00F7429D">
        <w:rPr>
          <w:rFonts w:eastAsia="Aptos" w:cstheme="minorHAnsi"/>
          <w:spacing w:val="-1"/>
          <w:szCs w:val="20"/>
        </w:rPr>
        <w:t>, we have the following r</w:t>
      </w:r>
      <w:r w:rsidR="00657872" w:rsidRPr="00F7429D">
        <w:rPr>
          <w:rFonts w:eastAsia="Aptos" w:cstheme="minorHAnsi"/>
          <w:spacing w:val="-1"/>
          <w:szCs w:val="20"/>
        </w:rPr>
        <w:t>equirements:</w:t>
      </w:r>
      <w:r w:rsidR="00657872" w:rsidRPr="00F7429D">
        <w:rPr>
          <w:rFonts w:eastAsia="Aptos" w:cstheme="minorHAnsi"/>
          <w:spacing w:val="-1"/>
          <w:szCs w:val="20"/>
        </w:rPr>
        <w:br/>
      </w:r>
    </w:p>
    <w:p w14:paraId="49612B97" w14:textId="1F87227A" w:rsidR="00657872" w:rsidRPr="00F7429D" w:rsidRDefault="00225824" w:rsidP="006B3108">
      <w:pPr>
        <w:numPr>
          <w:ilvl w:val="0"/>
          <w:numId w:val="26"/>
        </w:numPr>
        <w:rPr>
          <w:rFonts w:eastAsia="Aptos" w:cstheme="minorHAnsi"/>
          <w:spacing w:val="-1"/>
          <w:szCs w:val="20"/>
        </w:rPr>
      </w:pPr>
      <w:r>
        <w:rPr>
          <w:rFonts w:eastAsia="Aptos" w:cstheme="minorHAnsi"/>
          <w:spacing w:val="-1"/>
          <w:szCs w:val="20"/>
        </w:rPr>
        <w:t xml:space="preserve">0900-1700hrs </w:t>
      </w:r>
      <w:r w:rsidR="00BF386F">
        <w:rPr>
          <w:rFonts w:eastAsia="Aptos" w:cstheme="minorHAnsi"/>
          <w:spacing w:val="-1"/>
          <w:szCs w:val="20"/>
        </w:rPr>
        <w:t xml:space="preserve">Mon-Fri </w:t>
      </w:r>
      <w:r w:rsidR="00657872" w:rsidRPr="00F7429D">
        <w:rPr>
          <w:rFonts w:eastAsia="Aptos" w:cstheme="minorHAnsi"/>
          <w:spacing w:val="-1"/>
          <w:szCs w:val="20"/>
        </w:rPr>
        <w:t>Technical Support</w:t>
      </w:r>
      <w:r w:rsidR="009753E9">
        <w:rPr>
          <w:rFonts w:eastAsia="Aptos" w:cstheme="minorHAnsi"/>
          <w:spacing w:val="-1"/>
          <w:szCs w:val="20"/>
        </w:rPr>
        <w:t>/helpdesk</w:t>
      </w:r>
      <w:r w:rsidR="00657872" w:rsidRPr="00F7429D">
        <w:rPr>
          <w:rFonts w:eastAsia="Aptos" w:cstheme="minorHAnsi"/>
          <w:spacing w:val="-1"/>
          <w:szCs w:val="20"/>
        </w:rPr>
        <w:t xml:space="preserve">: </w:t>
      </w:r>
      <w:r w:rsidR="009753E9">
        <w:rPr>
          <w:rFonts w:eastAsia="Aptos" w:cstheme="minorHAnsi"/>
          <w:spacing w:val="-1"/>
          <w:szCs w:val="20"/>
        </w:rPr>
        <w:t>The supplier is</w:t>
      </w:r>
      <w:r>
        <w:rPr>
          <w:rFonts w:eastAsia="Aptos" w:cstheme="minorHAnsi"/>
          <w:spacing w:val="-1"/>
          <w:szCs w:val="20"/>
        </w:rPr>
        <w:t xml:space="preserve"> to provide </w:t>
      </w:r>
      <w:r w:rsidR="00657872" w:rsidRPr="00F7429D">
        <w:rPr>
          <w:rFonts w:eastAsia="Aptos" w:cstheme="minorHAnsi"/>
          <w:spacing w:val="-1"/>
          <w:szCs w:val="20"/>
        </w:rPr>
        <w:t xml:space="preserve">technical support to address any </w:t>
      </w:r>
      <w:r w:rsidR="00BF386F">
        <w:rPr>
          <w:rFonts w:eastAsia="Aptos" w:cstheme="minorHAnsi"/>
          <w:spacing w:val="-1"/>
          <w:szCs w:val="20"/>
        </w:rPr>
        <w:t>technical</w:t>
      </w:r>
      <w:r w:rsidR="009753E9">
        <w:rPr>
          <w:rFonts w:eastAsia="Aptos" w:cstheme="minorHAnsi"/>
          <w:spacing w:val="-1"/>
          <w:szCs w:val="20"/>
        </w:rPr>
        <w:t xml:space="preserve"> </w:t>
      </w:r>
      <w:r w:rsidR="00B53E7C">
        <w:rPr>
          <w:rFonts w:eastAsia="Aptos" w:cstheme="minorHAnsi"/>
          <w:spacing w:val="-1"/>
          <w:szCs w:val="20"/>
        </w:rPr>
        <w:t xml:space="preserve">maintenance </w:t>
      </w:r>
      <w:r w:rsidR="009753E9">
        <w:rPr>
          <w:rFonts w:eastAsia="Aptos" w:cstheme="minorHAnsi"/>
          <w:spacing w:val="-1"/>
          <w:szCs w:val="20"/>
        </w:rPr>
        <w:t>system</w:t>
      </w:r>
      <w:r w:rsidR="00BF386F">
        <w:rPr>
          <w:rFonts w:eastAsia="Aptos" w:cstheme="minorHAnsi"/>
          <w:spacing w:val="-1"/>
          <w:szCs w:val="20"/>
        </w:rPr>
        <w:t xml:space="preserve"> </w:t>
      </w:r>
      <w:r w:rsidR="00657872" w:rsidRPr="00F7429D">
        <w:rPr>
          <w:rFonts w:eastAsia="Aptos" w:cstheme="minorHAnsi"/>
          <w:spacing w:val="-1"/>
          <w:szCs w:val="20"/>
        </w:rPr>
        <w:t>issues that may arise.</w:t>
      </w:r>
    </w:p>
    <w:p w14:paraId="2FD22742" w14:textId="5BC6CF58" w:rsidR="00657872" w:rsidRPr="00F7429D" w:rsidRDefault="00657872" w:rsidP="006B3108">
      <w:pPr>
        <w:numPr>
          <w:ilvl w:val="0"/>
          <w:numId w:val="26"/>
        </w:numPr>
        <w:rPr>
          <w:rFonts w:eastAsia="Aptos" w:cstheme="minorHAnsi"/>
          <w:spacing w:val="-1"/>
          <w:szCs w:val="20"/>
        </w:rPr>
      </w:pPr>
      <w:r w:rsidRPr="00F7429D">
        <w:rPr>
          <w:rFonts w:eastAsia="Aptos" w:cstheme="minorHAnsi"/>
          <w:spacing w:val="-1"/>
          <w:szCs w:val="20"/>
        </w:rPr>
        <w:t xml:space="preserve">Dedicated Account Manager: Require a dedicated account manager to oversee the </w:t>
      </w:r>
      <w:r w:rsidR="00F0450C">
        <w:rPr>
          <w:rFonts w:eastAsia="Aptos" w:cstheme="minorHAnsi"/>
          <w:spacing w:val="-1"/>
          <w:szCs w:val="20"/>
        </w:rPr>
        <w:t xml:space="preserve">system </w:t>
      </w:r>
      <w:r w:rsidRPr="00F7429D">
        <w:rPr>
          <w:rFonts w:eastAsia="Aptos" w:cstheme="minorHAnsi"/>
          <w:spacing w:val="-1"/>
          <w:szCs w:val="20"/>
        </w:rPr>
        <w:t xml:space="preserve">implementation, </w:t>
      </w:r>
      <w:r w:rsidR="002C7140">
        <w:rPr>
          <w:rFonts w:eastAsia="Aptos" w:cstheme="minorHAnsi"/>
          <w:spacing w:val="-1"/>
          <w:szCs w:val="20"/>
        </w:rPr>
        <w:t xml:space="preserve">ongoing </w:t>
      </w:r>
      <w:r w:rsidRPr="00F7429D">
        <w:rPr>
          <w:rFonts w:eastAsia="Aptos" w:cstheme="minorHAnsi"/>
          <w:spacing w:val="-1"/>
          <w:szCs w:val="20"/>
        </w:rPr>
        <w:t xml:space="preserve">support, and </w:t>
      </w:r>
      <w:r w:rsidR="00E65C5D">
        <w:rPr>
          <w:rFonts w:eastAsia="Aptos" w:cstheme="minorHAnsi"/>
          <w:spacing w:val="-1"/>
          <w:szCs w:val="20"/>
        </w:rPr>
        <w:t xml:space="preserve">any </w:t>
      </w:r>
      <w:r w:rsidRPr="00F7429D">
        <w:rPr>
          <w:rFonts w:eastAsia="Aptos" w:cstheme="minorHAnsi"/>
          <w:spacing w:val="-1"/>
          <w:szCs w:val="20"/>
        </w:rPr>
        <w:t>optimi</w:t>
      </w:r>
      <w:r w:rsidR="00A80BE9">
        <w:rPr>
          <w:rFonts w:eastAsia="Aptos" w:cstheme="minorHAnsi"/>
          <w:spacing w:val="-1"/>
          <w:szCs w:val="20"/>
        </w:rPr>
        <w:t>s</w:t>
      </w:r>
      <w:r w:rsidRPr="00F7429D">
        <w:rPr>
          <w:rFonts w:eastAsia="Aptos" w:cstheme="minorHAnsi"/>
          <w:spacing w:val="-1"/>
          <w:szCs w:val="20"/>
        </w:rPr>
        <w:t>ation of the backup solution.</w:t>
      </w:r>
    </w:p>
    <w:p w14:paraId="2C38DBEE" w14:textId="407C69EC" w:rsidR="00657872" w:rsidRPr="00F7429D" w:rsidRDefault="000C0292" w:rsidP="00657872">
      <w:pPr>
        <w:rPr>
          <w:rFonts w:eastAsia="Aptos" w:cstheme="minorHAnsi"/>
          <w:spacing w:val="-1"/>
          <w:szCs w:val="20"/>
        </w:rPr>
      </w:pPr>
      <w:r w:rsidRPr="00F7429D">
        <w:rPr>
          <w:rFonts w:eastAsia="Aptos" w:cstheme="minorHAnsi"/>
          <w:spacing w:val="-1"/>
          <w:szCs w:val="20"/>
        </w:rPr>
        <w:br/>
      </w:r>
      <w:r w:rsidR="00657872" w:rsidRPr="00F7429D">
        <w:rPr>
          <w:rFonts w:eastAsia="Aptos" w:cstheme="minorHAnsi"/>
          <w:spacing w:val="-1"/>
          <w:szCs w:val="20"/>
        </w:rPr>
        <w:t>Service Level Agreements (SLAs):</w:t>
      </w:r>
      <w:r w:rsidRPr="00F7429D">
        <w:rPr>
          <w:rFonts w:eastAsia="Aptos" w:cstheme="minorHAnsi"/>
          <w:spacing w:val="-1"/>
          <w:szCs w:val="20"/>
        </w:rPr>
        <w:br/>
      </w:r>
    </w:p>
    <w:p w14:paraId="700E18AA" w14:textId="6E49486A" w:rsidR="00F0450C" w:rsidRPr="00F7429D" w:rsidRDefault="00F0450C" w:rsidP="00F0450C">
      <w:pPr>
        <w:numPr>
          <w:ilvl w:val="0"/>
          <w:numId w:val="27"/>
        </w:numPr>
        <w:rPr>
          <w:rFonts w:eastAsia="Aptos" w:cstheme="minorHAnsi"/>
          <w:spacing w:val="-1"/>
          <w:szCs w:val="20"/>
        </w:rPr>
      </w:pPr>
      <w:r w:rsidRPr="00F7429D">
        <w:rPr>
          <w:rFonts w:eastAsia="Aptos" w:cstheme="minorHAnsi"/>
          <w:spacing w:val="-1"/>
          <w:szCs w:val="20"/>
        </w:rPr>
        <w:t xml:space="preserve">Response Time: </w:t>
      </w:r>
      <w:r>
        <w:rPr>
          <w:rFonts w:eastAsia="Aptos" w:cstheme="minorHAnsi"/>
          <w:spacing w:val="-1"/>
          <w:szCs w:val="20"/>
        </w:rPr>
        <w:t xml:space="preserve">The supplier </w:t>
      </w:r>
      <w:r w:rsidRPr="00F7429D">
        <w:rPr>
          <w:rFonts w:eastAsia="Aptos" w:cstheme="minorHAnsi"/>
          <w:spacing w:val="-1"/>
          <w:szCs w:val="20"/>
        </w:rPr>
        <w:t xml:space="preserve">must commit to specific response times for </w:t>
      </w:r>
      <w:r w:rsidR="0096597A">
        <w:rPr>
          <w:rFonts w:eastAsia="Aptos" w:cstheme="minorHAnsi"/>
          <w:spacing w:val="-1"/>
          <w:szCs w:val="20"/>
        </w:rPr>
        <w:t xml:space="preserve">technical system </w:t>
      </w:r>
      <w:r w:rsidRPr="00F7429D">
        <w:rPr>
          <w:rFonts w:eastAsia="Aptos" w:cstheme="minorHAnsi"/>
          <w:spacing w:val="-1"/>
          <w:szCs w:val="20"/>
        </w:rPr>
        <w:t>support requests, such as:</w:t>
      </w:r>
    </w:p>
    <w:p w14:paraId="75444638" w14:textId="77777777" w:rsidR="00F0450C" w:rsidRPr="00F7429D" w:rsidRDefault="00F0450C" w:rsidP="00F0450C">
      <w:pPr>
        <w:numPr>
          <w:ilvl w:val="1"/>
          <w:numId w:val="27"/>
        </w:numPr>
        <w:rPr>
          <w:rFonts w:eastAsia="Aptos" w:cstheme="minorHAnsi"/>
          <w:spacing w:val="-1"/>
          <w:szCs w:val="20"/>
        </w:rPr>
      </w:pPr>
      <w:r w:rsidRPr="00F7429D">
        <w:rPr>
          <w:rFonts w:eastAsia="Aptos" w:cstheme="minorHAnsi"/>
          <w:spacing w:val="-1"/>
          <w:szCs w:val="20"/>
        </w:rPr>
        <w:t>High Priority Issues: Response within 4 hours.</w:t>
      </w:r>
    </w:p>
    <w:p w14:paraId="5746B64C" w14:textId="77777777" w:rsidR="00F0450C" w:rsidRPr="00F7429D" w:rsidRDefault="00F0450C" w:rsidP="00F0450C">
      <w:pPr>
        <w:numPr>
          <w:ilvl w:val="1"/>
          <w:numId w:val="27"/>
        </w:numPr>
        <w:rPr>
          <w:rFonts w:eastAsia="Aptos" w:cstheme="minorHAnsi"/>
          <w:spacing w:val="-1"/>
          <w:szCs w:val="20"/>
        </w:rPr>
      </w:pPr>
      <w:r w:rsidRPr="00F7429D">
        <w:rPr>
          <w:rFonts w:eastAsia="Aptos" w:cstheme="minorHAnsi"/>
          <w:spacing w:val="-1"/>
          <w:szCs w:val="20"/>
        </w:rPr>
        <w:t>Standard Issues: Response within 24 hours.</w:t>
      </w:r>
      <w:r w:rsidRPr="00F7429D">
        <w:rPr>
          <w:rFonts w:eastAsia="Aptos" w:cstheme="minorHAnsi"/>
          <w:spacing w:val="-1"/>
          <w:szCs w:val="20"/>
        </w:rPr>
        <w:br/>
      </w:r>
    </w:p>
    <w:p w14:paraId="1C5A01D8" w14:textId="22DF01C8" w:rsidR="00657872" w:rsidRDefault="00657872" w:rsidP="006B3108">
      <w:pPr>
        <w:numPr>
          <w:ilvl w:val="0"/>
          <w:numId w:val="27"/>
        </w:numPr>
        <w:rPr>
          <w:rFonts w:eastAsia="Aptos" w:cstheme="minorHAnsi"/>
          <w:spacing w:val="-1"/>
          <w:szCs w:val="20"/>
        </w:rPr>
      </w:pPr>
      <w:r w:rsidRPr="00F7429D">
        <w:rPr>
          <w:rFonts w:eastAsia="Aptos" w:cstheme="minorHAnsi"/>
          <w:spacing w:val="-1"/>
          <w:szCs w:val="20"/>
        </w:rPr>
        <w:t xml:space="preserve">The backup solution should </w:t>
      </w:r>
      <w:r w:rsidR="00A80BE9">
        <w:rPr>
          <w:rFonts w:eastAsia="Aptos" w:cstheme="minorHAnsi"/>
          <w:spacing w:val="-1"/>
          <w:szCs w:val="20"/>
        </w:rPr>
        <w:t xml:space="preserve">be available within </w:t>
      </w:r>
      <w:r w:rsidR="009753E9">
        <w:rPr>
          <w:rFonts w:eastAsia="Aptos" w:cstheme="minorHAnsi"/>
          <w:spacing w:val="-1"/>
          <w:szCs w:val="20"/>
        </w:rPr>
        <w:t xml:space="preserve">24hrs to provide </w:t>
      </w:r>
      <w:r w:rsidRPr="00F7429D">
        <w:rPr>
          <w:rFonts w:eastAsia="Aptos" w:cstheme="minorHAnsi"/>
          <w:spacing w:val="-1"/>
          <w:szCs w:val="20"/>
        </w:rPr>
        <w:t xml:space="preserve">availability and </w:t>
      </w:r>
      <w:r w:rsidR="009753E9">
        <w:rPr>
          <w:rFonts w:eastAsia="Aptos" w:cstheme="minorHAnsi"/>
          <w:spacing w:val="-1"/>
          <w:szCs w:val="20"/>
        </w:rPr>
        <w:t>continuity of learning</w:t>
      </w:r>
      <w:r w:rsidRPr="00F7429D">
        <w:rPr>
          <w:rFonts w:eastAsia="Aptos" w:cstheme="minorHAnsi"/>
          <w:spacing w:val="-1"/>
          <w:szCs w:val="20"/>
        </w:rPr>
        <w:t>.</w:t>
      </w:r>
    </w:p>
    <w:p w14:paraId="3F869DFA" w14:textId="7CF3007C" w:rsidR="00A1291F" w:rsidRDefault="00A1291F" w:rsidP="006B3108">
      <w:pPr>
        <w:numPr>
          <w:ilvl w:val="0"/>
          <w:numId w:val="27"/>
        </w:numPr>
        <w:rPr>
          <w:rFonts w:eastAsia="Aptos" w:cstheme="minorHAnsi"/>
          <w:spacing w:val="-1"/>
          <w:szCs w:val="20"/>
        </w:rPr>
      </w:pPr>
      <w:r>
        <w:rPr>
          <w:rFonts w:eastAsia="Aptos" w:cstheme="minorHAnsi"/>
          <w:spacing w:val="-1"/>
          <w:szCs w:val="20"/>
        </w:rPr>
        <w:t xml:space="preserve">System administrator training </w:t>
      </w:r>
      <w:r w:rsidR="005A55FC">
        <w:rPr>
          <w:rFonts w:eastAsia="Aptos" w:cstheme="minorHAnsi"/>
          <w:spacing w:val="-1"/>
          <w:szCs w:val="20"/>
        </w:rPr>
        <w:t xml:space="preserve">– to be available/delivered in line with </w:t>
      </w:r>
      <w:r w:rsidR="009D1120">
        <w:rPr>
          <w:rFonts w:eastAsia="Aptos" w:cstheme="minorHAnsi"/>
          <w:spacing w:val="-1"/>
          <w:szCs w:val="20"/>
        </w:rPr>
        <w:t>agreed milestones of project plan</w:t>
      </w:r>
      <w:r w:rsidR="005A55FC">
        <w:rPr>
          <w:rFonts w:eastAsia="Aptos" w:cstheme="minorHAnsi"/>
          <w:spacing w:val="-1"/>
          <w:szCs w:val="20"/>
        </w:rPr>
        <w:t xml:space="preserve"> </w:t>
      </w:r>
      <w:r>
        <w:rPr>
          <w:rFonts w:eastAsia="Aptos" w:cstheme="minorHAnsi"/>
          <w:spacing w:val="-1"/>
          <w:szCs w:val="20"/>
        </w:rPr>
        <w:t xml:space="preserve"> </w:t>
      </w:r>
    </w:p>
    <w:p w14:paraId="12A907C3" w14:textId="77777777" w:rsidR="00F0450C" w:rsidRPr="00F7429D" w:rsidRDefault="00F0450C" w:rsidP="00F0450C">
      <w:pPr>
        <w:ind w:left="720"/>
        <w:rPr>
          <w:rFonts w:eastAsia="Aptos" w:cstheme="minorHAnsi"/>
          <w:spacing w:val="-1"/>
          <w:szCs w:val="20"/>
        </w:rPr>
      </w:pPr>
    </w:p>
    <w:p w14:paraId="092F7A18" w14:textId="54F38F56" w:rsidR="00657872" w:rsidRPr="00F7429D" w:rsidRDefault="00657872" w:rsidP="00657872">
      <w:pPr>
        <w:rPr>
          <w:rFonts w:eastAsia="Aptos" w:cstheme="minorHAnsi"/>
          <w:spacing w:val="-1"/>
          <w:szCs w:val="20"/>
        </w:rPr>
      </w:pPr>
      <w:r w:rsidRPr="00F7429D">
        <w:rPr>
          <w:rFonts w:eastAsia="Aptos" w:cstheme="minorHAnsi"/>
          <w:spacing w:val="-1"/>
          <w:szCs w:val="20"/>
        </w:rPr>
        <w:t>Regular Reviews:</w:t>
      </w:r>
      <w:r w:rsidR="000C0292" w:rsidRPr="00F7429D">
        <w:rPr>
          <w:rFonts w:eastAsia="Aptos" w:cstheme="minorHAnsi"/>
          <w:spacing w:val="-1"/>
          <w:szCs w:val="20"/>
        </w:rPr>
        <w:br/>
      </w:r>
    </w:p>
    <w:p w14:paraId="7D6B96C6" w14:textId="05FE0FDE" w:rsidR="00657872" w:rsidRDefault="007D5F3D" w:rsidP="006B3108">
      <w:pPr>
        <w:numPr>
          <w:ilvl w:val="0"/>
          <w:numId w:val="28"/>
        </w:numPr>
        <w:rPr>
          <w:rFonts w:eastAsia="Aptos" w:cstheme="minorHAnsi"/>
          <w:spacing w:val="-1"/>
          <w:szCs w:val="20"/>
        </w:rPr>
      </w:pPr>
      <w:r>
        <w:rPr>
          <w:rFonts w:eastAsia="Aptos" w:cstheme="minorHAnsi"/>
          <w:spacing w:val="-1"/>
          <w:szCs w:val="20"/>
        </w:rPr>
        <w:t>Following “full roll out”</w:t>
      </w:r>
      <w:r w:rsidR="00994102">
        <w:rPr>
          <w:rFonts w:eastAsia="Aptos" w:cstheme="minorHAnsi"/>
          <w:spacing w:val="-1"/>
          <w:szCs w:val="20"/>
        </w:rPr>
        <w:t>,</w:t>
      </w:r>
      <w:r>
        <w:rPr>
          <w:rFonts w:eastAsia="Aptos" w:cstheme="minorHAnsi"/>
          <w:spacing w:val="-1"/>
          <w:szCs w:val="20"/>
        </w:rPr>
        <w:t xml:space="preserve"> </w:t>
      </w:r>
      <w:r w:rsidR="00994102">
        <w:rPr>
          <w:rFonts w:eastAsia="Aptos" w:cstheme="minorHAnsi"/>
          <w:spacing w:val="-1"/>
          <w:szCs w:val="20"/>
        </w:rPr>
        <w:t xml:space="preserve">thereafter </w:t>
      </w:r>
      <w:r>
        <w:rPr>
          <w:rFonts w:eastAsia="Aptos" w:cstheme="minorHAnsi"/>
          <w:spacing w:val="-1"/>
          <w:szCs w:val="20"/>
        </w:rPr>
        <w:t>in year 1 c</w:t>
      </w:r>
      <w:r w:rsidR="00657872" w:rsidRPr="00F7429D">
        <w:rPr>
          <w:rFonts w:eastAsia="Aptos" w:cstheme="minorHAnsi"/>
          <w:spacing w:val="-1"/>
          <w:szCs w:val="20"/>
        </w:rPr>
        <w:t xml:space="preserve">onduct </w:t>
      </w:r>
      <w:r>
        <w:rPr>
          <w:rFonts w:eastAsia="Aptos" w:cstheme="minorHAnsi"/>
          <w:spacing w:val="-1"/>
          <w:szCs w:val="20"/>
        </w:rPr>
        <w:t xml:space="preserve">quarterly </w:t>
      </w:r>
      <w:r w:rsidR="00F0450C">
        <w:rPr>
          <w:rFonts w:eastAsia="Aptos" w:cstheme="minorHAnsi"/>
          <w:spacing w:val="-1"/>
          <w:szCs w:val="20"/>
        </w:rPr>
        <w:t xml:space="preserve">reviews </w:t>
      </w:r>
      <w:r w:rsidR="00657872" w:rsidRPr="00F7429D">
        <w:rPr>
          <w:rFonts w:eastAsia="Aptos" w:cstheme="minorHAnsi"/>
          <w:spacing w:val="-1"/>
          <w:szCs w:val="20"/>
        </w:rPr>
        <w:t xml:space="preserve">with </w:t>
      </w:r>
      <w:r w:rsidR="00EE3F98">
        <w:rPr>
          <w:rFonts w:eastAsia="Aptos" w:cstheme="minorHAnsi"/>
          <w:spacing w:val="-1"/>
          <w:szCs w:val="20"/>
        </w:rPr>
        <w:t xml:space="preserve">supplier </w:t>
      </w:r>
      <w:r w:rsidR="00657872" w:rsidRPr="00F7429D">
        <w:rPr>
          <w:rFonts w:eastAsia="Aptos" w:cstheme="minorHAnsi"/>
          <w:spacing w:val="-1"/>
          <w:szCs w:val="20"/>
        </w:rPr>
        <w:t>to assess performance against SLAs</w:t>
      </w:r>
      <w:r w:rsidR="0084061A">
        <w:rPr>
          <w:rFonts w:eastAsia="Aptos" w:cstheme="minorHAnsi"/>
          <w:spacing w:val="-1"/>
          <w:szCs w:val="20"/>
        </w:rPr>
        <w:t xml:space="preserve">, address issues </w:t>
      </w:r>
      <w:r w:rsidR="00657872" w:rsidRPr="00F7429D">
        <w:rPr>
          <w:rFonts w:eastAsia="Aptos" w:cstheme="minorHAnsi"/>
          <w:spacing w:val="-1"/>
          <w:szCs w:val="20"/>
        </w:rPr>
        <w:t>and identify opportunities for improvement. Establish a feedback loop to ensure continuous improvement in service quality.</w:t>
      </w:r>
      <w:r>
        <w:rPr>
          <w:rFonts w:eastAsia="Aptos" w:cstheme="minorHAnsi"/>
          <w:spacing w:val="-1"/>
          <w:szCs w:val="20"/>
        </w:rPr>
        <w:t xml:space="preserve">  Years 2-3 conduct </w:t>
      </w:r>
      <w:proofErr w:type="spellStart"/>
      <w:proofErr w:type="gramStart"/>
      <w:r w:rsidR="00F0450C">
        <w:rPr>
          <w:rFonts w:eastAsia="Aptos" w:cstheme="minorHAnsi"/>
          <w:spacing w:val="-1"/>
          <w:szCs w:val="20"/>
        </w:rPr>
        <w:t>bi</w:t>
      </w:r>
      <w:proofErr w:type="spellEnd"/>
      <w:r w:rsidR="00F0450C">
        <w:rPr>
          <w:rFonts w:eastAsia="Aptos" w:cstheme="minorHAnsi"/>
          <w:spacing w:val="-1"/>
          <w:szCs w:val="20"/>
        </w:rPr>
        <w:t xml:space="preserve"> annual</w:t>
      </w:r>
      <w:proofErr w:type="gramEnd"/>
      <w:r w:rsidR="00F0450C">
        <w:rPr>
          <w:rFonts w:eastAsia="Aptos" w:cstheme="minorHAnsi"/>
          <w:spacing w:val="-1"/>
          <w:szCs w:val="20"/>
        </w:rPr>
        <w:t xml:space="preserve"> review. </w:t>
      </w:r>
    </w:p>
    <w:p w14:paraId="3CCF9F3E" w14:textId="77777777" w:rsidR="00F0450C" w:rsidRPr="00F7429D" w:rsidRDefault="00F0450C" w:rsidP="00F0450C">
      <w:pPr>
        <w:ind w:left="720"/>
        <w:rPr>
          <w:rFonts w:eastAsia="Aptos" w:cstheme="minorHAnsi"/>
          <w:spacing w:val="-1"/>
          <w:szCs w:val="20"/>
        </w:rPr>
      </w:pPr>
    </w:p>
    <w:p w14:paraId="0D053320" w14:textId="6F842F68" w:rsidR="00F73CC5" w:rsidRDefault="00C23C4D" w:rsidP="002840CF">
      <w:pPr>
        <w:pStyle w:val="BodyText1"/>
        <w:numPr>
          <w:ilvl w:val="0"/>
          <w:numId w:val="4"/>
        </w:numPr>
        <w:ind w:left="357" w:hanging="357"/>
        <w:rPr>
          <w:rFonts w:cstheme="minorHAnsi"/>
          <w:b/>
          <w:bCs/>
          <w:color w:val="auto"/>
        </w:rPr>
      </w:pPr>
      <w:r w:rsidRPr="00F7429D">
        <w:rPr>
          <w:rFonts w:cstheme="minorHAnsi"/>
          <w:b/>
          <w:bCs/>
          <w:color w:val="auto"/>
        </w:rPr>
        <w:t>Key Performance Indicators</w:t>
      </w:r>
      <w:r w:rsidR="005173E5">
        <w:rPr>
          <w:rFonts w:cstheme="minorHAnsi"/>
          <w:b/>
          <w:bCs/>
          <w:color w:val="auto"/>
        </w:rPr>
        <w:t xml:space="preserve"> (Internal/External) </w:t>
      </w:r>
    </w:p>
    <w:p w14:paraId="6169856D" w14:textId="42AE947F" w:rsidR="00E91124" w:rsidRPr="0068579E" w:rsidRDefault="001A6CBF" w:rsidP="001A6CBF">
      <w:pPr>
        <w:pStyle w:val="BodyText1"/>
        <w:ind w:left="717"/>
        <w:rPr>
          <w:rFonts w:cstheme="minorHAnsi"/>
          <w:color w:val="auto"/>
        </w:rPr>
      </w:pPr>
      <w:r w:rsidRPr="0068579E">
        <w:rPr>
          <w:rFonts w:cstheme="minorHAnsi"/>
          <w:color w:val="auto"/>
        </w:rPr>
        <w:t xml:space="preserve">As measures of success the agency will be looking to the following </w:t>
      </w:r>
      <w:r w:rsidR="0068579E">
        <w:rPr>
          <w:rFonts w:cstheme="minorHAnsi"/>
          <w:color w:val="auto"/>
        </w:rPr>
        <w:t xml:space="preserve">KPIs </w:t>
      </w:r>
      <w:r w:rsidRPr="0068579E">
        <w:rPr>
          <w:rFonts w:cstheme="minorHAnsi"/>
          <w:color w:val="auto"/>
        </w:rPr>
        <w:t xml:space="preserve">as both internal and external measures of success of the adoption, </w:t>
      </w:r>
      <w:r w:rsidR="0068579E" w:rsidRPr="0068579E">
        <w:rPr>
          <w:rFonts w:cstheme="minorHAnsi"/>
          <w:color w:val="auto"/>
        </w:rPr>
        <w:t>utilisation</w:t>
      </w:r>
      <w:r w:rsidRPr="0068579E">
        <w:rPr>
          <w:rFonts w:cstheme="minorHAnsi"/>
          <w:color w:val="auto"/>
        </w:rPr>
        <w:t xml:space="preserve"> and effectiveness of the </w:t>
      </w:r>
      <w:r w:rsidR="0068579E" w:rsidRPr="0068579E">
        <w:rPr>
          <w:rFonts w:cstheme="minorHAnsi"/>
          <w:color w:val="auto"/>
        </w:rPr>
        <w:t>LMS/LXP</w:t>
      </w:r>
      <w:r w:rsidR="009D688A">
        <w:rPr>
          <w:rFonts w:cstheme="minorHAnsi"/>
          <w:color w:val="auto"/>
        </w:rPr>
        <w:t xml:space="preserve">. </w:t>
      </w:r>
      <w:r w:rsidR="00FE4725">
        <w:rPr>
          <w:rFonts w:cstheme="minorHAnsi"/>
          <w:color w:val="auto"/>
        </w:rPr>
        <w:t xml:space="preserve"> </w:t>
      </w:r>
      <w:r w:rsidR="00F576C2">
        <w:rPr>
          <w:rFonts w:cstheme="minorHAnsi"/>
          <w:color w:val="auto"/>
        </w:rPr>
        <w:t xml:space="preserve"> </w:t>
      </w:r>
    </w:p>
    <w:p w14:paraId="323A8D43" w14:textId="5996699A" w:rsidR="00E54969" w:rsidRDefault="00E54969" w:rsidP="00D54422">
      <w:pPr>
        <w:pStyle w:val="BodyText1"/>
        <w:numPr>
          <w:ilvl w:val="0"/>
          <w:numId w:val="45"/>
        </w:numPr>
        <w:spacing w:after="0"/>
        <w:rPr>
          <w:rFonts w:cstheme="minorHAnsi"/>
          <w:color w:val="auto"/>
        </w:rPr>
      </w:pPr>
      <w:r>
        <w:rPr>
          <w:rFonts w:cstheme="minorHAnsi"/>
          <w:color w:val="auto"/>
        </w:rPr>
        <w:t>Availability of system to users</w:t>
      </w:r>
    </w:p>
    <w:p w14:paraId="05FDBAF4" w14:textId="4E6220AB" w:rsidR="00E54969" w:rsidRDefault="00E54969" w:rsidP="00D54422">
      <w:pPr>
        <w:pStyle w:val="BodyText1"/>
        <w:numPr>
          <w:ilvl w:val="0"/>
          <w:numId w:val="45"/>
        </w:numPr>
        <w:spacing w:after="0"/>
        <w:rPr>
          <w:rFonts w:cstheme="minorHAnsi"/>
          <w:color w:val="auto"/>
        </w:rPr>
      </w:pPr>
      <w:r>
        <w:rPr>
          <w:rFonts w:cstheme="minorHAnsi"/>
          <w:color w:val="auto"/>
        </w:rPr>
        <w:t>System user s</w:t>
      </w:r>
      <w:r w:rsidR="00C259DA">
        <w:rPr>
          <w:rFonts w:cstheme="minorHAnsi"/>
          <w:color w:val="auto"/>
        </w:rPr>
        <w:t>atisfaction rates</w:t>
      </w:r>
      <w:r>
        <w:rPr>
          <w:rFonts w:cstheme="minorHAnsi"/>
          <w:color w:val="auto"/>
        </w:rPr>
        <w:t xml:space="preserve"> </w:t>
      </w:r>
      <w:r w:rsidR="00CF7D3E">
        <w:rPr>
          <w:rFonts w:cstheme="minorHAnsi"/>
          <w:color w:val="auto"/>
        </w:rPr>
        <w:t>and feedback</w:t>
      </w:r>
      <w:r w:rsidR="00E44D9F">
        <w:rPr>
          <w:rFonts w:cstheme="minorHAnsi"/>
          <w:color w:val="auto"/>
        </w:rPr>
        <w:t xml:space="preserve"> (ease of use, navigation etc)</w:t>
      </w:r>
    </w:p>
    <w:p w14:paraId="1F17CFE5" w14:textId="7BB6E34A" w:rsidR="00A24095" w:rsidRDefault="00A24095" w:rsidP="00D54422">
      <w:pPr>
        <w:pStyle w:val="BodyText1"/>
        <w:numPr>
          <w:ilvl w:val="0"/>
          <w:numId w:val="45"/>
        </w:numPr>
        <w:spacing w:after="0"/>
        <w:rPr>
          <w:rFonts w:cstheme="minorHAnsi"/>
          <w:color w:val="auto"/>
        </w:rPr>
      </w:pPr>
      <w:r w:rsidRPr="00A24095">
        <w:rPr>
          <w:rFonts w:cstheme="minorHAnsi"/>
          <w:color w:val="auto"/>
        </w:rPr>
        <w:t>User login frequency</w:t>
      </w:r>
      <w:r w:rsidR="000D2B6C">
        <w:rPr>
          <w:rFonts w:cstheme="minorHAnsi"/>
          <w:color w:val="auto"/>
        </w:rPr>
        <w:t xml:space="preserve"> / content usage</w:t>
      </w:r>
      <w:r w:rsidR="00C06A4E">
        <w:rPr>
          <w:rFonts w:cstheme="minorHAnsi"/>
          <w:color w:val="auto"/>
        </w:rPr>
        <w:t xml:space="preserve"> / learner engagement</w:t>
      </w:r>
    </w:p>
    <w:p w14:paraId="0751C106" w14:textId="05BC1290" w:rsidR="00AD732C" w:rsidRDefault="00AD732C" w:rsidP="00D54422">
      <w:pPr>
        <w:pStyle w:val="BodyText1"/>
        <w:numPr>
          <w:ilvl w:val="0"/>
          <w:numId w:val="45"/>
        </w:numPr>
        <w:spacing w:after="0"/>
        <w:rPr>
          <w:rFonts w:cstheme="minorHAnsi"/>
          <w:color w:val="auto"/>
        </w:rPr>
      </w:pPr>
      <w:r>
        <w:rPr>
          <w:rFonts w:cstheme="minorHAnsi"/>
          <w:color w:val="auto"/>
        </w:rPr>
        <w:t>Course completions rates</w:t>
      </w:r>
      <w:r w:rsidR="007946B7">
        <w:rPr>
          <w:rFonts w:cstheme="minorHAnsi"/>
          <w:color w:val="auto"/>
        </w:rPr>
        <w:t>/</w:t>
      </w:r>
      <w:r w:rsidR="00ED1964">
        <w:rPr>
          <w:rFonts w:cstheme="minorHAnsi"/>
          <w:color w:val="auto"/>
        </w:rPr>
        <w:t xml:space="preserve">average </w:t>
      </w:r>
      <w:r w:rsidR="007946B7">
        <w:rPr>
          <w:rFonts w:cstheme="minorHAnsi"/>
          <w:color w:val="auto"/>
        </w:rPr>
        <w:t>time to completion</w:t>
      </w:r>
    </w:p>
    <w:p w14:paraId="1B20BEE9" w14:textId="77777777" w:rsidR="00ED1964" w:rsidRDefault="00ED1964" w:rsidP="00ED1964">
      <w:pPr>
        <w:pStyle w:val="BodyText1"/>
        <w:numPr>
          <w:ilvl w:val="0"/>
          <w:numId w:val="45"/>
        </w:numPr>
        <w:spacing w:after="0"/>
        <w:rPr>
          <w:rFonts w:cstheme="minorHAnsi"/>
          <w:color w:val="auto"/>
        </w:rPr>
      </w:pPr>
      <w:r>
        <w:rPr>
          <w:rFonts w:cstheme="minorHAnsi"/>
          <w:color w:val="auto"/>
        </w:rPr>
        <w:t>Compliance rates (Mand training or Cyber training)</w:t>
      </w:r>
    </w:p>
    <w:p w14:paraId="28A0C3B8" w14:textId="77777777" w:rsidR="007946B7" w:rsidRDefault="00F576C2" w:rsidP="007946B7">
      <w:pPr>
        <w:pStyle w:val="BodyText1"/>
        <w:numPr>
          <w:ilvl w:val="0"/>
          <w:numId w:val="45"/>
        </w:numPr>
        <w:spacing w:after="0"/>
        <w:rPr>
          <w:rFonts w:cstheme="minorHAnsi"/>
          <w:color w:val="auto"/>
        </w:rPr>
      </w:pPr>
      <w:r>
        <w:rPr>
          <w:rFonts w:cstheme="minorHAnsi"/>
          <w:color w:val="auto"/>
        </w:rPr>
        <w:t>Range of l</w:t>
      </w:r>
      <w:r w:rsidR="00AD732C">
        <w:rPr>
          <w:rFonts w:cstheme="minorHAnsi"/>
          <w:color w:val="auto"/>
        </w:rPr>
        <w:t>earning undertaken</w:t>
      </w:r>
      <w:r w:rsidR="007946B7">
        <w:rPr>
          <w:rFonts w:cstheme="minorHAnsi"/>
          <w:color w:val="auto"/>
        </w:rPr>
        <w:t xml:space="preserve"> and how it is accessed</w:t>
      </w:r>
      <w:r w:rsidR="007946B7" w:rsidRPr="007946B7">
        <w:rPr>
          <w:rFonts w:cstheme="minorHAnsi"/>
          <w:color w:val="auto"/>
        </w:rPr>
        <w:t xml:space="preserve"> </w:t>
      </w:r>
    </w:p>
    <w:p w14:paraId="42FBD406" w14:textId="0E3BD681" w:rsidR="007946B7" w:rsidRDefault="007946B7" w:rsidP="007946B7">
      <w:pPr>
        <w:pStyle w:val="BodyText1"/>
        <w:numPr>
          <w:ilvl w:val="0"/>
          <w:numId w:val="45"/>
        </w:numPr>
        <w:spacing w:after="0"/>
        <w:rPr>
          <w:rFonts w:cstheme="minorHAnsi"/>
          <w:color w:val="auto"/>
        </w:rPr>
      </w:pPr>
      <w:r>
        <w:rPr>
          <w:rFonts w:cstheme="minorHAnsi"/>
          <w:color w:val="auto"/>
        </w:rPr>
        <w:t>Groups with highest/lowest engagement</w:t>
      </w:r>
    </w:p>
    <w:p w14:paraId="0251DC56" w14:textId="344FBE5A" w:rsidR="00D54422" w:rsidRDefault="00D54422" w:rsidP="00D54422">
      <w:pPr>
        <w:pStyle w:val="BodyText1"/>
        <w:numPr>
          <w:ilvl w:val="0"/>
          <w:numId w:val="45"/>
        </w:numPr>
        <w:spacing w:after="0"/>
        <w:rPr>
          <w:rFonts w:cstheme="minorHAnsi"/>
          <w:color w:val="auto"/>
        </w:rPr>
      </w:pPr>
      <w:r>
        <w:rPr>
          <w:rFonts w:cstheme="minorHAnsi"/>
          <w:color w:val="auto"/>
        </w:rPr>
        <w:t>Assessment/Evaluation scores</w:t>
      </w:r>
    </w:p>
    <w:p w14:paraId="3A66FE14" w14:textId="48FAF3A2" w:rsidR="00F80EAC" w:rsidRDefault="00CF7D3E" w:rsidP="00F80EAC">
      <w:pPr>
        <w:pStyle w:val="BodyText1"/>
        <w:numPr>
          <w:ilvl w:val="0"/>
          <w:numId w:val="45"/>
        </w:numPr>
        <w:spacing w:after="0"/>
        <w:rPr>
          <w:rFonts w:cstheme="minorHAnsi"/>
          <w:color w:val="auto"/>
        </w:rPr>
      </w:pPr>
      <w:r>
        <w:rPr>
          <w:rFonts w:cstheme="minorHAnsi"/>
          <w:color w:val="auto"/>
        </w:rPr>
        <w:t>I</w:t>
      </w:r>
      <w:r w:rsidR="00F80EAC">
        <w:rPr>
          <w:rFonts w:cstheme="minorHAnsi"/>
          <w:color w:val="auto"/>
        </w:rPr>
        <w:t>mpact o</w:t>
      </w:r>
      <w:r>
        <w:rPr>
          <w:rFonts w:cstheme="minorHAnsi"/>
          <w:color w:val="auto"/>
        </w:rPr>
        <w:t xml:space="preserve">f </w:t>
      </w:r>
      <w:r w:rsidR="00E44D9F">
        <w:rPr>
          <w:rFonts w:cstheme="minorHAnsi"/>
          <w:color w:val="auto"/>
        </w:rPr>
        <w:t>available learning on</w:t>
      </w:r>
      <w:r w:rsidR="00F80EAC">
        <w:rPr>
          <w:rFonts w:cstheme="minorHAnsi"/>
          <w:color w:val="auto"/>
        </w:rPr>
        <w:t xml:space="preserve"> career progression or job performance</w:t>
      </w:r>
    </w:p>
    <w:p w14:paraId="32274335" w14:textId="77777777" w:rsidR="00784582" w:rsidRDefault="00784582" w:rsidP="008C29F1">
      <w:pPr>
        <w:pStyle w:val="BodyText1"/>
        <w:ind w:left="357"/>
        <w:rPr>
          <w:rFonts w:cstheme="minorHAnsi"/>
          <w:color w:val="auto"/>
        </w:rPr>
      </w:pPr>
    </w:p>
    <w:p w14:paraId="4F5267C7" w14:textId="358A5B65" w:rsidR="008C29F1" w:rsidRDefault="00835C62" w:rsidP="008C29F1">
      <w:pPr>
        <w:pStyle w:val="BodyText1"/>
        <w:ind w:left="357"/>
        <w:rPr>
          <w:rFonts w:cstheme="minorHAnsi"/>
          <w:b/>
          <w:bCs/>
          <w:color w:val="auto"/>
        </w:rPr>
      </w:pPr>
      <w:r>
        <w:rPr>
          <w:rFonts w:cstheme="minorHAnsi"/>
          <w:color w:val="auto"/>
        </w:rPr>
        <w:t xml:space="preserve">We would anticipate that, whilst not </w:t>
      </w:r>
      <w:r w:rsidR="00ED1964">
        <w:rPr>
          <w:rFonts w:cstheme="minorHAnsi"/>
          <w:color w:val="auto"/>
        </w:rPr>
        <w:t xml:space="preserve">indicators </w:t>
      </w:r>
      <w:r w:rsidR="00E54969">
        <w:rPr>
          <w:rFonts w:cstheme="minorHAnsi"/>
          <w:color w:val="auto"/>
        </w:rPr>
        <w:t xml:space="preserve">all are </w:t>
      </w:r>
      <w:r>
        <w:rPr>
          <w:rFonts w:cstheme="minorHAnsi"/>
          <w:color w:val="auto"/>
        </w:rPr>
        <w:t xml:space="preserve">in the domain and control of the Supplier, the Supplier would want to ensure that the system </w:t>
      </w:r>
      <w:proofErr w:type="gramStart"/>
      <w:r>
        <w:rPr>
          <w:rFonts w:cstheme="minorHAnsi"/>
          <w:color w:val="auto"/>
        </w:rPr>
        <w:t>is capable of supporting</w:t>
      </w:r>
      <w:r w:rsidR="005173E5">
        <w:rPr>
          <w:rFonts w:cstheme="minorHAnsi"/>
          <w:color w:val="auto"/>
        </w:rPr>
        <w:t>/providing</w:t>
      </w:r>
      <w:proofErr w:type="gramEnd"/>
      <w:r>
        <w:rPr>
          <w:rFonts w:cstheme="minorHAnsi"/>
          <w:color w:val="auto"/>
        </w:rPr>
        <w:t xml:space="preserve"> relevant </w:t>
      </w:r>
      <w:r w:rsidR="005173E5">
        <w:rPr>
          <w:rFonts w:cstheme="minorHAnsi"/>
          <w:color w:val="auto"/>
        </w:rPr>
        <w:t>data</w:t>
      </w:r>
      <w:r>
        <w:rPr>
          <w:rFonts w:cstheme="minorHAnsi"/>
          <w:color w:val="auto"/>
        </w:rPr>
        <w:t xml:space="preserve"> </w:t>
      </w:r>
      <w:proofErr w:type="gramStart"/>
      <w:r>
        <w:rPr>
          <w:rFonts w:cstheme="minorHAnsi"/>
          <w:color w:val="auto"/>
        </w:rPr>
        <w:t>and,</w:t>
      </w:r>
      <w:proofErr w:type="gramEnd"/>
      <w:r>
        <w:rPr>
          <w:rFonts w:cstheme="minorHAnsi"/>
          <w:color w:val="auto"/>
        </w:rPr>
        <w:t xml:space="preserve"> </w:t>
      </w:r>
      <w:r w:rsidR="008627A4">
        <w:rPr>
          <w:rFonts w:cstheme="minorHAnsi"/>
          <w:color w:val="auto"/>
        </w:rPr>
        <w:t>be interested in the performance against them</w:t>
      </w:r>
      <w:r w:rsidR="00DD1629">
        <w:rPr>
          <w:rFonts w:cstheme="minorHAnsi"/>
          <w:color w:val="auto"/>
        </w:rPr>
        <w:t>. Du</w:t>
      </w:r>
      <w:r>
        <w:rPr>
          <w:rFonts w:cstheme="minorHAnsi"/>
          <w:color w:val="auto"/>
        </w:rPr>
        <w:t xml:space="preserve">ring </w:t>
      </w:r>
      <w:r w:rsidR="008627A4">
        <w:rPr>
          <w:rFonts w:cstheme="minorHAnsi"/>
          <w:color w:val="auto"/>
        </w:rPr>
        <w:t xml:space="preserve">our </w:t>
      </w:r>
      <w:r>
        <w:rPr>
          <w:rFonts w:cstheme="minorHAnsi"/>
          <w:color w:val="auto"/>
        </w:rPr>
        <w:t>regular review discussions,</w:t>
      </w:r>
      <w:r w:rsidR="008627A4">
        <w:rPr>
          <w:rFonts w:cstheme="minorHAnsi"/>
          <w:color w:val="auto"/>
        </w:rPr>
        <w:t xml:space="preserve"> </w:t>
      </w:r>
      <w:r w:rsidR="00DD1629">
        <w:rPr>
          <w:rFonts w:cstheme="minorHAnsi"/>
          <w:color w:val="auto"/>
        </w:rPr>
        <w:t xml:space="preserve">we would also </w:t>
      </w:r>
      <w:r w:rsidR="005C5043">
        <w:rPr>
          <w:rFonts w:cstheme="minorHAnsi"/>
          <w:color w:val="auto"/>
        </w:rPr>
        <w:t xml:space="preserve">anticipate the Supplier </w:t>
      </w:r>
      <w:r>
        <w:rPr>
          <w:rFonts w:cstheme="minorHAnsi"/>
          <w:color w:val="auto"/>
        </w:rPr>
        <w:t>may provide, based on their experience</w:t>
      </w:r>
      <w:r w:rsidR="005173E5">
        <w:rPr>
          <w:rFonts w:cstheme="minorHAnsi"/>
          <w:color w:val="auto"/>
        </w:rPr>
        <w:t>,</w:t>
      </w:r>
      <w:r>
        <w:rPr>
          <w:rFonts w:cstheme="minorHAnsi"/>
          <w:color w:val="auto"/>
        </w:rPr>
        <w:t xml:space="preserve"> suggestions by way of improving performance on these indicators.</w:t>
      </w:r>
    </w:p>
    <w:p w14:paraId="5C724229" w14:textId="2A1A2CD4" w:rsidR="009A0559" w:rsidRPr="00C17698" w:rsidRDefault="002147DD" w:rsidP="00C17698">
      <w:pPr>
        <w:pStyle w:val="Heading1"/>
        <w:numPr>
          <w:ilvl w:val="0"/>
          <w:numId w:val="0"/>
        </w:numPr>
      </w:pPr>
      <w:bookmarkStart w:id="15" w:name="_Toc214868668"/>
      <w:r>
        <w:lastRenderedPageBreak/>
        <w:t>Key dependencies</w:t>
      </w:r>
      <w:bookmarkEnd w:id="15"/>
    </w:p>
    <w:p w14:paraId="3AE50463" w14:textId="3B01E477" w:rsidR="002147DD" w:rsidRPr="000F0382" w:rsidRDefault="00A03C2A" w:rsidP="002840CF">
      <w:pPr>
        <w:pStyle w:val="BodyText1"/>
        <w:numPr>
          <w:ilvl w:val="0"/>
          <w:numId w:val="4"/>
        </w:numPr>
        <w:ind w:left="357" w:hanging="357"/>
        <w:rPr>
          <w:b/>
          <w:bCs/>
          <w:color w:val="auto"/>
        </w:rPr>
      </w:pPr>
      <w:r w:rsidRPr="000F0382">
        <w:rPr>
          <w:b/>
          <w:bCs/>
          <w:color w:val="auto"/>
        </w:rPr>
        <w:t>Technical dependencies</w:t>
      </w:r>
    </w:p>
    <w:p w14:paraId="335F6084" w14:textId="77777777" w:rsidR="00A56A42" w:rsidRDefault="00A56A42" w:rsidP="000C7AAD">
      <w:pPr>
        <w:pStyle w:val="BodyText1"/>
        <w:numPr>
          <w:ilvl w:val="0"/>
          <w:numId w:val="33"/>
        </w:numPr>
        <w:spacing w:after="0"/>
        <w:rPr>
          <w:color w:val="auto"/>
        </w:rPr>
      </w:pPr>
      <w:r>
        <w:rPr>
          <w:color w:val="auto"/>
        </w:rPr>
        <w:t xml:space="preserve">WCAG 2.2AA </w:t>
      </w:r>
    </w:p>
    <w:p w14:paraId="49F1F2FD" w14:textId="35C7D8ED" w:rsidR="00F3249A" w:rsidRDefault="00F3249A" w:rsidP="000C7AAD">
      <w:pPr>
        <w:pStyle w:val="BodyText1"/>
        <w:numPr>
          <w:ilvl w:val="0"/>
          <w:numId w:val="33"/>
        </w:numPr>
        <w:spacing w:after="0"/>
        <w:rPr>
          <w:color w:val="auto"/>
        </w:rPr>
      </w:pPr>
      <w:r>
        <w:rPr>
          <w:color w:val="auto"/>
        </w:rPr>
        <w:t xml:space="preserve">Integration capabilities (Oracle HCM, </w:t>
      </w:r>
      <w:r w:rsidR="00482DD6">
        <w:rPr>
          <w:color w:val="auto"/>
        </w:rPr>
        <w:t>C</w:t>
      </w:r>
      <w:r w:rsidR="0095692C">
        <w:rPr>
          <w:color w:val="auto"/>
        </w:rPr>
        <w:t>ivil Service Learning/</w:t>
      </w:r>
      <w:r w:rsidR="00B404A5">
        <w:rPr>
          <w:color w:val="auto"/>
        </w:rPr>
        <w:t>Government</w:t>
      </w:r>
      <w:r w:rsidR="0095692C">
        <w:rPr>
          <w:color w:val="auto"/>
        </w:rPr>
        <w:t xml:space="preserve"> Skills Campus</w:t>
      </w:r>
      <w:r>
        <w:rPr>
          <w:color w:val="auto"/>
        </w:rPr>
        <w:t xml:space="preserve">, Power </w:t>
      </w:r>
      <w:r w:rsidR="003B0E32">
        <w:rPr>
          <w:color w:val="auto"/>
        </w:rPr>
        <w:t>B</w:t>
      </w:r>
      <w:r>
        <w:rPr>
          <w:color w:val="auto"/>
        </w:rPr>
        <w:t>I, excel</w:t>
      </w:r>
      <w:r w:rsidR="00B22A63">
        <w:rPr>
          <w:color w:val="auto"/>
        </w:rPr>
        <w:t>, MS 365</w:t>
      </w:r>
      <w:r>
        <w:rPr>
          <w:color w:val="auto"/>
        </w:rPr>
        <w:t>)</w:t>
      </w:r>
    </w:p>
    <w:p w14:paraId="6203A79A" w14:textId="77777777" w:rsidR="00F3249A" w:rsidRDefault="00F3249A" w:rsidP="000C7AAD">
      <w:pPr>
        <w:pStyle w:val="BodyText1"/>
        <w:numPr>
          <w:ilvl w:val="0"/>
          <w:numId w:val="33"/>
        </w:numPr>
        <w:spacing w:after="0"/>
        <w:rPr>
          <w:color w:val="auto"/>
        </w:rPr>
      </w:pPr>
      <w:r>
        <w:rPr>
          <w:color w:val="auto"/>
        </w:rPr>
        <w:t>Single Sign On</w:t>
      </w:r>
    </w:p>
    <w:p w14:paraId="4470E9E5" w14:textId="3721AFF8" w:rsidR="003E67E1" w:rsidRDefault="00F3249A" w:rsidP="000C7AAD">
      <w:pPr>
        <w:pStyle w:val="BodyText1"/>
        <w:numPr>
          <w:ilvl w:val="0"/>
          <w:numId w:val="31"/>
        </w:numPr>
        <w:spacing w:after="0"/>
        <w:rPr>
          <w:color w:val="auto"/>
        </w:rPr>
      </w:pPr>
      <w:r>
        <w:rPr>
          <w:color w:val="auto"/>
        </w:rPr>
        <w:t>Data Migration (for reporting)</w:t>
      </w:r>
    </w:p>
    <w:p w14:paraId="563380AF" w14:textId="2915B8A8" w:rsidR="00943E7E" w:rsidRDefault="00943E7E" w:rsidP="000C7AAD">
      <w:pPr>
        <w:pStyle w:val="BodyText1"/>
        <w:numPr>
          <w:ilvl w:val="0"/>
          <w:numId w:val="31"/>
        </w:numPr>
        <w:spacing w:after="0"/>
        <w:rPr>
          <w:color w:val="auto"/>
        </w:rPr>
      </w:pPr>
      <w:r>
        <w:rPr>
          <w:color w:val="auto"/>
        </w:rPr>
        <w:t>Security and Compliance (must adhere to industry standard and MHRA internal security measures)</w:t>
      </w:r>
    </w:p>
    <w:p w14:paraId="2AA07E0C" w14:textId="229001EF" w:rsidR="00411C31" w:rsidRDefault="00411C31" w:rsidP="000C7AAD">
      <w:pPr>
        <w:pStyle w:val="BodyText1"/>
        <w:numPr>
          <w:ilvl w:val="0"/>
          <w:numId w:val="31"/>
        </w:numPr>
        <w:spacing w:after="0"/>
        <w:rPr>
          <w:color w:val="auto"/>
        </w:rPr>
      </w:pPr>
      <w:r>
        <w:rPr>
          <w:color w:val="auto"/>
        </w:rPr>
        <w:t>GDPR compliant</w:t>
      </w:r>
    </w:p>
    <w:p w14:paraId="1EC1620E" w14:textId="74A4E58F" w:rsidR="00030032" w:rsidRDefault="00030032" w:rsidP="000C7AAD">
      <w:pPr>
        <w:pStyle w:val="BodyText1"/>
        <w:numPr>
          <w:ilvl w:val="0"/>
          <w:numId w:val="31"/>
        </w:numPr>
        <w:spacing w:after="0"/>
        <w:rPr>
          <w:color w:val="auto"/>
        </w:rPr>
      </w:pPr>
      <w:r>
        <w:rPr>
          <w:color w:val="auto"/>
        </w:rPr>
        <w:t>Content capabilities (SCORM etc.)</w:t>
      </w:r>
    </w:p>
    <w:p w14:paraId="27842C50" w14:textId="460316B0" w:rsidR="008446EF" w:rsidRDefault="008446EF" w:rsidP="000C7AAD">
      <w:pPr>
        <w:pStyle w:val="BodyText1"/>
        <w:numPr>
          <w:ilvl w:val="0"/>
          <w:numId w:val="31"/>
        </w:numPr>
        <w:spacing w:after="0"/>
        <w:rPr>
          <w:color w:val="auto"/>
        </w:rPr>
      </w:pPr>
      <w:r>
        <w:rPr>
          <w:color w:val="auto"/>
        </w:rPr>
        <w:t>Hosting environment sta</w:t>
      </w:r>
      <w:r w:rsidR="003138C1">
        <w:rPr>
          <w:color w:val="auto"/>
        </w:rPr>
        <w:t>bility</w:t>
      </w:r>
    </w:p>
    <w:p w14:paraId="7257384F" w14:textId="4EE3D54A" w:rsidR="003138C1" w:rsidRDefault="003138C1" w:rsidP="000C7AAD">
      <w:pPr>
        <w:pStyle w:val="BodyText1"/>
        <w:numPr>
          <w:ilvl w:val="0"/>
          <w:numId w:val="31"/>
        </w:numPr>
        <w:spacing w:after="0"/>
        <w:rPr>
          <w:color w:val="auto"/>
        </w:rPr>
      </w:pPr>
      <w:r>
        <w:rPr>
          <w:color w:val="auto"/>
        </w:rPr>
        <w:t>Accessible via various devices (e.g. mobile phone)</w:t>
      </w:r>
    </w:p>
    <w:p w14:paraId="35A1FF7A" w14:textId="1E5472C7" w:rsidR="001F71D7" w:rsidRDefault="001F71D7" w:rsidP="000C7AAD">
      <w:pPr>
        <w:pStyle w:val="BodyText1"/>
        <w:numPr>
          <w:ilvl w:val="0"/>
          <w:numId w:val="31"/>
        </w:numPr>
        <w:spacing w:after="0"/>
        <w:rPr>
          <w:color w:val="auto"/>
        </w:rPr>
      </w:pPr>
      <w:r>
        <w:rPr>
          <w:color w:val="auto"/>
        </w:rPr>
        <w:t>Browser compatibility (various browsers supported – within limits)</w:t>
      </w:r>
    </w:p>
    <w:p w14:paraId="2F302A84" w14:textId="1FF2B10F" w:rsidR="000C7AAD" w:rsidRDefault="000C7AAD" w:rsidP="000C7AAD">
      <w:pPr>
        <w:pStyle w:val="BodyText1"/>
        <w:numPr>
          <w:ilvl w:val="0"/>
          <w:numId w:val="31"/>
        </w:numPr>
        <w:spacing w:after="0"/>
        <w:rPr>
          <w:color w:val="auto"/>
        </w:rPr>
      </w:pPr>
      <w:r>
        <w:rPr>
          <w:color w:val="auto"/>
        </w:rPr>
        <w:t>BCP plans or backup database</w:t>
      </w:r>
    </w:p>
    <w:p w14:paraId="7C344591" w14:textId="13DA4069" w:rsidR="003B0E32" w:rsidRDefault="003B0E32" w:rsidP="000C7AAD">
      <w:pPr>
        <w:pStyle w:val="BodyText1"/>
        <w:numPr>
          <w:ilvl w:val="0"/>
          <w:numId w:val="31"/>
        </w:numPr>
        <w:spacing w:after="0"/>
        <w:rPr>
          <w:color w:val="auto"/>
        </w:rPr>
      </w:pPr>
      <w:r>
        <w:rPr>
          <w:color w:val="auto"/>
        </w:rPr>
        <w:t>Analytical reporting tools</w:t>
      </w:r>
      <w:r w:rsidR="00091C0E">
        <w:rPr>
          <w:color w:val="auto"/>
        </w:rPr>
        <w:t xml:space="preserve"> / data driven learning</w:t>
      </w:r>
    </w:p>
    <w:p w14:paraId="699ED987" w14:textId="6F6E5418" w:rsidR="00814111" w:rsidRDefault="00814111" w:rsidP="000C7AAD">
      <w:pPr>
        <w:pStyle w:val="BodyText1"/>
        <w:numPr>
          <w:ilvl w:val="0"/>
          <w:numId w:val="31"/>
        </w:numPr>
        <w:spacing w:after="0"/>
        <w:rPr>
          <w:color w:val="auto"/>
        </w:rPr>
      </w:pPr>
      <w:r>
        <w:rPr>
          <w:color w:val="auto"/>
        </w:rPr>
        <w:t>Track learning records, progress</w:t>
      </w:r>
    </w:p>
    <w:p w14:paraId="011B6190" w14:textId="67CE6EB2" w:rsidR="00814111" w:rsidRDefault="00814111" w:rsidP="000C7AAD">
      <w:pPr>
        <w:pStyle w:val="BodyText1"/>
        <w:numPr>
          <w:ilvl w:val="0"/>
          <w:numId w:val="31"/>
        </w:numPr>
        <w:spacing w:after="0"/>
        <w:rPr>
          <w:color w:val="auto"/>
        </w:rPr>
      </w:pPr>
      <w:r>
        <w:rPr>
          <w:color w:val="auto"/>
        </w:rPr>
        <w:t xml:space="preserve">Option for </w:t>
      </w:r>
      <w:r w:rsidR="002A0995">
        <w:rPr>
          <w:color w:val="auto"/>
        </w:rPr>
        <w:t>growth</w:t>
      </w:r>
      <w:r w:rsidR="006626E6">
        <w:rPr>
          <w:color w:val="auto"/>
        </w:rPr>
        <w:t xml:space="preserve"> (AI, deliver external training)</w:t>
      </w:r>
    </w:p>
    <w:p w14:paraId="19DBEEA9" w14:textId="47E2AB6D" w:rsidR="00523AB6" w:rsidRDefault="00523AB6" w:rsidP="000C7AAD">
      <w:pPr>
        <w:pStyle w:val="BodyText1"/>
        <w:numPr>
          <w:ilvl w:val="0"/>
          <w:numId w:val="31"/>
        </w:numPr>
        <w:spacing w:after="0"/>
        <w:rPr>
          <w:color w:val="auto"/>
        </w:rPr>
      </w:pPr>
      <w:r>
        <w:rPr>
          <w:color w:val="auto"/>
        </w:rPr>
        <w:t>Customised branding (MHRA colours)</w:t>
      </w:r>
    </w:p>
    <w:p w14:paraId="7B37C1E1" w14:textId="6011368C" w:rsidR="00F9361F" w:rsidRDefault="00F9361F" w:rsidP="000C7AAD">
      <w:pPr>
        <w:pStyle w:val="BodyText1"/>
        <w:numPr>
          <w:ilvl w:val="0"/>
          <w:numId w:val="31"/>
        </w:numPr>
        <w:spacing w:after="0"/>
        <w:rPr>
          <w:color w:val="auto"/>
        </w:rPr>
      </w:pPr>
      <w:r>
        <w:rPr>
          <w:color w:val="auto"/>
        </w:rPr>
        <w:t>Replicate organisational structure of HCM</w:t>
      </w:r>
    </w:p>
    <w:p w14:paraId="18FCA431" w14:textId="22621935" w:rsidR="00780BE5" w:rsidRDefault="00780BE5" w:rsidP="00523AB6">
      <w:pPr>
        <w:pStyle w:val="BodyText1"/>
        <w:spacing w:after="0"/>
        <w:ind w:left="720"/>
        <w:rPr>
          <w:color w:val="auto"/>
        </w:rPr>
      </w:pPr>
    </w:p>
    <w:p w14:paraId="37136A37" w14:textId="77777777" w:rsidR="00E61E7C" w:rsidRDefault="00E61E7C" w:rsidP="00E61E7C">
      <w:pPr>
        <w:pStyle w:val="BodyText1"/>
        <w:spacing w:after="0"/>
        <w:ind w:left="720"/>
        <w:rPr>
          <w:color w:val="auto"/>
        </w:rPr>
      </w:pPr>
    </w:p>
    <w:p w14:paraId="52FCE525" w14:textId="2B4E29D0" w:rsidR="00E8523E" w:rsidRPr="003B1611" w:rsidRDefault="003B1611" w:rsidP="002840CF">
      <w:pPr>
        <w:pStyle w:val="BodyText1"/>
        <w:numPr>
          <w:ilvl w:val="0"/>
          <w:numId w:val="4"/>
        </w:numPr>
        <w:ind w:left="357" w:hanging="357"/>
        <w:rPr>
          <w:b/>
          <w:bCs/>
          <w:color w:val="auto"/>
        </w:rPr>
      </w:pPr>
      <w:r w:rsidRPr="003B1611">
        <w:rPr>
          <w:b/>
          <w:bCs/>
          <w:color w:val="auto"/>
        </w:rPr>
        <w:t>Operational dependencies</w:t>
      </w:r>
    </w:p>
    <w:p w14:paraId="014A9AD5" w14:textId="7D154C64" w:rsidR="00F3249A" w:rsidRDefault="00030032" w:rsidP="00E61E7C">
      <w:pPr>
        <w:pStyle w:val="BodyText1"/>
        <w:numPr>
          <w:ilvl w:val="0"/>
          <w:numId w:val="33"/>
        </w:numPr>
        <w:spacing w:after="0"/>
        <w:rPr>
          <w:color w:val="auto"/>
        </w:rPr>
      </w:pPr>
      <w:r>
        <w:rPr>
          <w:color w:val="auto"/>
        </w:rPr>
        <w:t>User training</w:t>
      </w:r>
      <w:r w:rsidR="00C12380">
        <w:rPr>
          <w:color w:val="auto"/>
        </w:rPr>
        <w:t xml:space="preserve"> and support</w:t>
      </w:r>
      <w:r w:rsidR="00A542E1">
        <w:rPr>
          <w:color w:val="auto"/>
        </w:rPr>
        <w:t xml:space="preserve"> available </w:t>
      </w:r>
    </w:p>
    <w:p w14:paraId="32FDF264" w14:textId="4A453176" w:rsidR="00A311F1" w:rsidRDefault="00A311F1" w:rsidP="00E61E7C">
      <w:pPr>
        <w:pStyle w:val="BodyText1"/>
        <w:numPr>
          <w:ilvl w:val="0"/>
          <w:numId w:val="33"/>
        </w:numPr>
        <w:spacing w:after="0"/>
        <w:rPr>
          <w:color w:val="auto"/>
        </w:rPr>
      </w:pPr>
      <w:r>
        <w:rPr>
          <w:color w:val="auto"/>
        </w:rPr>
        <w:t>User friendly and easy to navigate</w:t>
      </w:r>
    </w:p>
    <w:p w14:paraId="71ECF28D" w14:textId="2E015CD9" w:rsidR="00A311F1" w:rsidRDefault="00A311F1" w:rsidP="00E61E7C">
      <w:pPr>
        <w:pStyle w:val="BodyText1"/>
        <w:numPr>
          <w:ilvl w:val="0"/>
          <w:numId w:val="33"/>
        </w:numPr>
        <w:spacing w:after="0"/>
        <w:rPr>
          <w:color w:val="auto"/>
        </w:rPr>
      </w:pPr>
      <w:r>
        <w:rPr>
          <w:color w:val="auto"/>
        </w:rPr>
        <w:t>24/7 content availability</w:t>
      </w:r>
    </w:p>
    <w:p w14:paraId="2A3D60C6" w14:textId="6CD97C0F" w:rsidR="009408DC" w:rsidRDefault="009408DC" w:rsidP="00E61E7C">
      <w:pPr>
        <w:pStyle w:val="BodyText1"/>
        <w:numPr>
          <w:ilvl w:val="0"/>
          <w:numId w:val="33"/>
        </w:numPr>
        <w:spacing w:after="0"/>
        <w:rPr>
          <w:color w:val="auto"/>
        </w:rPr>
      </w:pPr>
      <w:r>
        <w:rPr>
          <w:color w:val="auto"/>
        </w:rPr>
        <w:t>Bespoke content creation</w:t>
      </w:r>
      <w:r w:rsidR="00A542E1">
        <w:rPr>
          <w:color w:val="auto"/>
        </w:rPr>
        <w:t xml:space="preserve"> functionality </w:t>
      </w:r>
    </w:p>
    <w:p w14:paraId="1E410234" w14:textId="4C5C1E3C" w:rsidR="00C12380" w:rsidRDefault="005E37A0" w:rsidP="006B3108">
      <w:pPr>
        <w:pStyle w:val="BodyText1"/>
        <w:numPr>
          <w:ilvl w:val="0"/>
          <w:numId w:val="33"/>
        </w:numPr>
        <w:rPr>
          <w:color w:val="auto"/>
        </w:rPr>
      </w:pPr>
      <w:r>
        <w:rPr>
          <w:color w:val="auto"/>
        </w:rPr>
        <w:t>Role specific access</w:t>
      </w:r>
    </w:p>
    <w:p w14:paraId="7B38627C" w14:textId="77777777" w:rsidR="00F3249A" w:rsidRPr="003B1611" w:rsidRDefault="00F3249A" w:rsidP="000F699D">
      <w:pPr>
        <w:pStyle w:val="BodyText1"/>
        <w:ind w:left="360"/>
        <w:rPr>
          <w:color w:val="auto"/>
        </w:rPr>
      </w:pPr>
    </w:p>
    <w:p w14:paraId="4300FA2E" w14:textId="373FD651" w:rsidR="008913DA" w:rsidRPr="00C17698" w:rsidRDefault="002147DD" w:rsidP="00C17698">
      <w:pPr>
        <w:pStyle w:val="Heading1"/>
        <w:numPr>
          <w:ilvl w:val="0"/>
          <w:numId w:val="0"/>
        </w:numPr>
      </w:pPr>
      <w:bookmarkStart w:id="16" w:name="_Toc214868669"/>
      <w:r>
        <w:lastRenderedPageBreak/>
        <w:t>Contract risks</w:t>
      </w:r>
      <w:bookmarkEnd w:id="16"/>
    </w:p>
    <w:p w14:paraId="5DD02951" w14:textId="18311841" w:rsidR="002147DD" w:rsidRPr="009E1F2A" w:rsidRDefault="008C0102" w:rsidP="002840CF">
      <w:pPr>
        <w:pStyle w:val="BodyText1"/>
        <w:numPr>
          <w:ilvl w:val="0"/>
          <w:numId w:val="4"/>
        </w:numPr>
        <w:ind w:left="357" w:hanging="357"/>
        <w:rPr>
          <w:b/>
          <w:bCs/>
          <w:color w:val="auto"/>
        </w:rPr>
      </w:pPr>
      <w:r w:rsidRPr="009E1F2A">
        <w:rPr>
          <w:b/>
          <w:bCs/>
          <w:color w:val="auto"/>
        </w:rPr>
        <w:t>Risk Assessment requirement</w:t>
      </w:r>
    </w:p>
    <w:p w14:paraId="235D8920" w14:textId="77777777" w:rsidR="00DE1F9D" w:rsidRPr="00DE1F9D" w:rsidRDefault="00DE1F9D" w:rsidP="00DE1F9D">
      <w:pPr>
        <w:pStyle w:val="BodyText1"/>
      </w:pPr>
      <w:r w:rsidRPr="00DE1F9D">
        <w:t xml:space="preserve">MHRA performs supplier risk assessment and risk analysis on </w:t>
      </w:r>
      <w:proofErr w:type="gramStart"/>
      <w:r w:rsidRPr="00DE1F9D">
        <w:t>all of</w:t>
      </w:r>
      <w:proofErr w:type="gramEnd"/>
      <w:r w:rsidRPr="00DE1F9D">
        <w:t xml:space="preserve"> its potential suppliers. As an HMG </w:t>
      </w:r>
      <w:proofErr w:type="spellStart"/>
      <w:r w:rsidRPr="00DE1F9D">
        <w:t>Arms Length</w:t>
      </w:r>
      <w:proofErr w:type="spellEnd"/>
      <w:r w:rsidRPr="00DE1F9D">
        <w:t xml:space="preserve"> Agency, MHRA complies with UK central government security mandates and all relevant regulatory requirements.</w:t>
      </w:r>
    </w:p>
    <w:p w14:paraId="5662612C" w14:textId="74044E15" w:rsidR="00DE1F9D" w:rsidRPr="00DE1F9D" w:rsidRDefault="00DE1F9D" w:rsidP="00DE1F9D">
      <w:pPr>
        <w:pStyle w:val="BodyText1"/>
      </w:pPr>
      <w:r w:rsidRPr="00DE1F9D">
        <w:t>As a requirement of this tender</w:t>
      </w:r>
      <w:r w:rsidR="00231310">
        <w:t xml:space="preserve">, </w:t>
      </w:r>
      <w:r w:rsidRPr="00DE1F9D">
        <w:t>any bid MUST include the following commitments</w:t>
      </w:r>
      <w:r w:rsidR="00231310">
        <w:t>:</w:t>
      </w:r>
    </w:p>
    <w:p w14:paraId="1736B8F1" w14:textId="77777777" w:rsidR="00DE1F9D" w:rsidRPr="00DE1F9D" w:rsidRDefault="00DE1F9D" w:rsidP="006B3108">
      <w:pPr>
        <w:pStyle w:val="BodyText1"/>
        <w:numPr>
          <w:ilvl w:val="0"/>
          <w:numId w:val="32"/>
        </w:numPr>
      </w:pPr>
      <w:r w:rsidRPr="00DE1F9D">
        <w:t>The supplier will comply with relevant MHRA security policies (can be supplied)</w:t>
      </w:r>
    </w:p>
    <w:p w14:paraId="2961B4DE" w14:textId="63F156FB" w:rsidR="00DE1F9D" w:rsidRPr="00DE1F9D" w:rsidRDefault="00DE1F9D" w:rsidP="006B3108">
      <w:pPr>
        <w:pStyle w:val="BodyText1"/>
        <w:numPr>
          <w:ilvl w:val="0"/>
          <w:numId w:val="32"/>
        </w:numPr>
      </w:pPr>
      <w:r w:rsidRPr="00DE1F9D">
        <w:t xml:space="preserve">The supplier will commit to completing a Risk Ledger assessment, if they are not already a user of risk ledger (Free) </w:t>
      </w:r>
      <w:hyperlink r:id="rId24" w:tgtFrame="_blank" w:tooltip="https://riskledger.com/" w:history="1">
        <w:r w:rsidRPr="00DE1F9D">
          <w:rPr>
            <w:rStyle w:val="Hyperlink"/>
          </w:rPr>
          <w:t>Third Party Risk Management Solutions | Risk Ledger</w:t>
        </w:r>
      </w:hyperlink>
    </w:p>
    <w:p w14:paraId="24646EC9" w14:textId="77777777" w:rsidR="00DE1F9D" w:rsidRPr="00DE1F9D" w:rsidRDefault="00DE1F9D" w:rsidP="006B3108">
      <w:pPr>
        <w:pStyle w:val="BodyText1"/>
        <w:numPr>
          <w:ilvl w:val="0"/>
          <w:numId w:val="32"/>
        </w:numPr>
      </w:pPr>
      <w:r w:rsidRPr="00DE1F9D">
        <w:t>The supplier will commit to any ongoing or future assessment requirements.</w:t>
      </w:r>
    </w:p>
    <w:p w14:paraId="3BFAC918" w14:textId="77777777" w:rsidR="00DE1F9D" w:rsidRPr="00DE1F9D" w:rsidRDefault="00DE1F9D" w:rsidP="006B3108">
      <w:pPr>
        <w:pStyle w:val="BodyText1"/>
        <w:numPr>
          <w:ilvl w:val="0"/>
          <w:numId w:val="32"/>
        </w:numPr>
      </w:pPr>
      <w:r w:rsidRPr="00DE1F9D">
        <w:t>The supplier will provide a named contact for MHRA security engagement</w:t>
      </w:r>
    </w:p>
    <w:p w14:paraId="707D9315" w14:textId="4192C1D4" w:rsidR="00DE1F9D" w:rsidRPr="00231310" w:rsidRDefault="00DE1F9D" w:rsidP="006B3108">
      <w:pPr>
        <w:pStyle w:val="BodyText1"/>
        <w:numPr>
          <w:ilvl w:val="0"/>
          <w:numId w:val="32"/>
        </w:numPr>
      </w:pPr>
      <w:r w:rsidRPr="00DE1F9D">
        <w:t xml:space="preserve">Any contract value &gt;£100k assurance that the supplier adheres to the 10 Secure </w:t>
      </w:r>
      <w:proofErr w:type="gramStart"/>
      <w:r w:rsidRPr="00DE1F9D">
        <w:t>By</w:t>
      </w:r>
      <w:proofErr w:type="gramEnd"/>
      <w:r w:rsidRPr="00DE1F9D">
        <w:t xml:space="preserve"> Design principles.</w:t>
      </w:r>
    </w:p>
    <w:p w14:paraId="15CDF526" w14:textId="77777777" w:rsidR="002147DD" w:rsidRPr="002147DD" w:rsidRDefault="002147DD" w:rsidP="00DF644D">
      <w:pPr>
        <w:pStyle w:val="Heading1"/>
        <w:numPr>
          <w:ilvl w:val="0"/>
          <w:numId w:val="0"/>
        </w:numPr>
      </w:pPr>
      <w:bookmarkStart w:id="17" w:name="_Toc214868670"/>
      <w:r>
        <w:lastRenderedPageBreak/>
        <w:t>Contract terms</w:t>
      </w:r>
      <w:bookmarkEnd w:id="17"/>
    </w:p>
    <w:p w14:paraId="74D97B59" w14:textId="77777777" w:rsidR="00F06ECE" w:rsidRPr="00F06ECE" w:rsidRDefault="00F06ECE" w:rsidP="00D07B88">
      <w:pPr>
        <w:pStyle w:val="BodyText1"/>
        <w:rPr>
          <w:i/>
          <w:iCs/>
          <w:color w:val="FF0000"/>
        </w:rPr>
      </w:pPr>
    </w:p>
    <w:p w14:paraId="5FD91378" w14:textId="1E68A93B" w:rsidR="00D07B88" w:rsidRPr="00D14B4A" w:rsidRDefault="00D14B4A" w:rsidP="002840CF">
      <w:pPr>
        <w:pStyle w:val="BodyText1"/>
        <w:numPr>
          <w:ilvl w:val="0"/>
          <w:numId w:val="4"/>
        </w:numPr>
        <w:ind w:left="357" w:hanging="357"/>
        <w:rPr>
          <w:color w:val="auto"/>
        </w:rPr>
      </w:pPr>
      <w:r w:rsidRPr="00D14B4A">
        <w:rPr>
          <w:color w:val="auto"/>
        </w:rPr>
        <w:t xml:space="preserve">The Central Government </w:t>
      </w:r>
      <w:r w:rsidR="00190B89">
        <w:rPr>
          <w:color w:val="auto"/>
        </w:rPr>
        <w:t>Mid-Tier</w:t>
      </w:r>
      <w:r w:rsidRPr="00D14B4A">
        <w:rPr>
          <w:color w:val="auto"/>
        </w:rPr>
        <w:t xml:space="preserve"> Contract Terms and Conditions will govern any agreement arising out of this procurement opportunity.</w:t>
      </w:r>
    </w:p>
    <w:p w14:paraId="19427BCA" w14:textId="5D9AB488" w:rsidR="002147DD" w:rsidRDefault="00D14B4A" w:rsidP="002840CF">
      <w:pPr>
        <w:pStyle w:val="BodyText1"/>
        <w:numPr>
          <w:ilvl w:val="0"/>
          <w:numId w:val="4"/>
        </w:numPr>
        <w:ind w:left="357" w:hanging="357"/>
        <w:rPr>
          <w:color w:val="auto"/>
        </w:rPr>
      </w:pPr>
      <w:r w:rsidRPr="00D14B4A">
        <w:rPr>
          <w:color w:val="auto"/>
        </w:rPr>
        <w:t xml:space="preserve"> A draft copy of the contract is available as part of Appendix D of this Invitation to Tender Document. </w:t>
      </w:r>
    </w:p>
    <w:p w14:paraId="67D59395" w14:textId="22C546CB" w:rsidR="007A2AAF" w:rsidRPr="007A2AAF" w:rsidRDefault="007A2AAF" w:rsidP="002840CF">
      <w:pPr>
        <w:pStyle w:val="BodyText1"/>
        <w:numPr>
          <w:ilvl w:val="0"/>
          <w:numId w:val="4"/>
        </w:numPr>
        <w:ind w:left="357" w:hanging="357"/>
        <w:rPr>
          <w:color w:val="auto"/>
        </w:rPr>
      </w:pPr>
      <w:r>
        <w:rPr>
          <w:color w:val="auto"/>
        </w:rPr>
        <w:t>A draft copy of the contract Terms will also be available via Atamis.</w:t>
      </w:r>
    </w:p>
    <w:p w14:paraId="2693A4B7" w14:textId="77777777" w:rsidR="002147DD" w:rsidRPr="002147DD" w:rsidRDefault="002147DD" w:rsidP="00DF644D">
      <w:pPr>
        <w:pStyle w:val="Heading1"/>
        <w:numPr>
          <w:ilvl w:val="0"/>
          <w:numId w:val="0"/>
        </w:numPr>
      </w:pPr>
      <w:bookmarkStart w:id="18" w:name="_Toc214868671"/>
      <w:r>
        <w:lastRenderedPageBreak/>
        <w:t>Data room</w:t>
      </w:r>
      <w:bookmarkEnd w:id="18"/>
    </w:p>
    <w:p w14:paraId="40297B09" w14:textId="77777777" w:rsidR="009D2794" w:rsidRPr="00205136" w:rsidRDefault="009D2794" w:rsidP="009D2794">
      <w:pPr>
        <w:pStyle w:val="BodyText1"/>
        <w:rPr>
          <w:i/>
          <w:iCs/>
          <w:color w:val="auto"/>
        </w:rPr>
      </w:pPr>
    </w:p>
    <w:p w14:paraId="07F7D0BB" w14:textId="58162D43" w:rsidR="009D2794" w:rsidRPr="00BC24A7" w:rsidRDefault="00BC24A7" w:rsidP="002840CF">
      <w:pPr>
        <w:pStyle w:val="BodyText1"/>
        <w:numPr>
          <w:ilvl w:val="0"/>
          <w:numId w:val="4"/>
        </w:numPr>
        <w:ind w:left="357" w:hanging="357"/>
        <w:rPr>
          <w:color w:val="auto"/>
        </w:rPr>
      </w:pPr>
      <w:r w:rsidRPr="00BC24A7">
        <w:rPr>
          <w:color w:val="auto"/>
        </w:rPr>
        <w:t>NOT USED</w:t>
      </w:r>
    </w:p>
    <w:p w14:paraId="12023A62" w14:textId="77777777" w:rsidR="002147DD" w:rsidRPr="002147DD" w:rsidRDefault="002147DD" w:rsidP="00DF644D">
      <w:pPr>
        <w:pStyle w:val="Heading1"/>
        <w:numPr>
          <w:ilvl w:val="0"/>
          <w:numId w:val="0"/>
        </w:numPr>
      </w:pPr>
      <w:bookmarkStart w:id="19" w:name="_How_to_respond"/>
      <w:bookmarkStart w:id="20" w:name="_Toc214868672"/>
      <w:bookmarkEnd w:id="19"/>
      <w:r>
        <w:lastRenderedPageBreak/>
        <w:t>How to respond to this opportunity</w:t>
      </w:r>
      <w:bookmarkEnd w:id="20"/>
    </w:p>
    <w:p w14:paraId="6FBA63F9" w14:textId="0413E153" w:rsidR="00ED4012" w:rsidRDefault="00295D63" w:rsidP="002840CF">
      <w:pPr>
        <w:pStyle w:val="BodyText1"/>
        <w:numPr>
          <w:ilvl w:val="0"/>
          <w:numId w:val="4"/>
        </w:numPr>
        <w:ind w:left="357" w:hanging="357"/>
      </w:pPr>
      <w:r>
        <w:t xml:space="preserve">This section of the document sets out how </w:t>
      </w:r>
      <w:r w:rsidR="001E179D">
        <w:t xml:space="preserve">Suppliers can </w:t>
      </w:r>
      <w:r>
        <w:t>respon</w:t>
      </w:r>
      <w:r w:rsidR="0090535A">
        <w:t>d</w:t>
      </w:r>
      <w:r w:rsidR="009732C0">
        <w:t xml:space="preserve"> to this procuremen</w:t>
      </w:r>
      <w:r w:rsidR="00E02C1B">
        <w:t>t</w:t>
      </w:r>
      <w:r w:rsidR="00F91B7F">
        <w:t xml:space="preserve"> opportunity</w:t>
      </w:r>
      <w:r w:rsidR="00E02C1B">
        <w:t xml:space="preserve"> using</w:t>
      </w:r>
      <w:r w:rsidR="00EE1D25">
        <w:t xml:space="preserve"> the</w:t>
      </w:r>
      <w:r w:rsidR="00E02C1B">
        <w:t xml:space="preserve"> </w:t>
      </w:r>
      <w:r w:rsidR="001C7293">
        <w:t xml:space="preserve">Central Digital Platform and </w:t>
      </w:r>
      <w:r w:rsidR="00E02C1B">
        <w:t>the</w:t>
      </w:r>
      <w:r w:rsidR="00381274">
        <w:t xml:space="preserve"> </w:t>
      </w:r>
      <w:r w:rsidR="00540DBE">
        <w:t>P</w:t>
      </w:r>
      <w:r w:rsidR="00381274">
        <w:t>ortal</w:t>
      </w:r>
      <w:r w:rsidR="00540DBE">
        <w:t xml:space="preserve"> (</w:t>
      </w:r>
      <w:r w:rsidR="00336764">
        <w:t>Atamis eProcurement system</w:t>
      </w:r>
      <w:r w:rsidR="00540DBE">
        <w:t>)</w:t>
      </w:r>
      <w:r w:rsidR="001C7293">
        <w:t xml:space="preserve">. </w:t>
      </w:r>
    </w:p>
    <w:p w14:paraId="22E1D0FE" w14:textId="6F8762C5" w:rsidR="00ED4012" w:rsidRDefault="002A3695" w:rsidP="002840CF">
      <w:pPr>
        <w:pStyle w:val="BodyText1"/>
        <w:numPr>
          <w:ilvl w:val="1"/>
          <w:numId w:val="4"/>
        </w:numPr>
      </w:pPr>
      <w:r>
        <w:t>The Central Digital Platform</w:t>
      </w:r>
      <w:r w:rsidR="00C40068">
        <w:t xml:space="preserve"> is the place where </w:t>
      </w:r>
      <w:r w:rsidR="001E179D">
        <w:t>S</w:t>
      </w:r>
      <w:r w:rsidR="00C40068">
        <w:t>uppliers will register</w:t>
      </w:r>
      <w:r w:rsidR="00FE2F93">
        <w:t xml:space="preserve">, input their </w:t>
      </w:r>
      <w:r w:rsidR="001E179D">
        <w:t xml:space="preserve">core </w:t>
      </w:r>
      <w:r w:rsidR="00FE2F93">
        <w:t>supplier information</w:t>
      </w:r>
      <w:r w:rsidR="00EE1D25">
        <w:t xml:space="preserve"> and generate a share code</w:t>
      </w:r>
      <w:r w:rsidR="00F25AEB">
        <w:t xml:space="preserve">.  </w:t>
      </w:r>
    </w:p>
    <w:p w14:paraId="12CD44BC" w14:textId="1B843FED" w:rsidR="001D72BB" w:rsidRDefault="00F25AEB" w:rsidP="002840CF">
      <w:pPr>
        <w:pStyle w:val="BodyText1"/>
        <w:numPr>
          <w:ilvl w:val="1"/>
          <w:numId w:val="4"/>
        </w:numPr>
      </w:pPr>
      <w:r>
        <w:t xml:space="preserve">The Portal is where </w:t>
      </w:r>
      <w:r w:rsidR="001E179D">
        <w:t xml:space="preserve">Suppliers </w:t>
      </w:r>
      <w:r>
        <w:t xml:space="preserve">will </w:t>
      </w:r>
      <w:r w:rsidR="00D23312">
        <w:t>input th</w:t>
      </w:r>
      <w:r w:rsidR="00A262E0">
        <w:t>eir</w:t>
      </w:r>
      <w:r w:rsidR="00D23312">
        <w:t xml:space="preserve"> share code </w:t>
      </w:r>
      <w:r w:rsidR="00DE5D5E">
        <w:t>to</w:t>
      </w:r>
      <w:r w:rsidR="00D23312">
        <w:t xml:space="preserve"> share their </w:t>
      </w:r>
      <w:r w:rsidR="001E179D">
        <w:t xml:space="preserve">core </w:t>
      </w:r>
      <w:r w:rsidR="00D23312">
        <w:t>supplier information with the Authority, and where they will com</w:t>
      </w:r>
      <w:r w:rsidR="00A262E0">
        <w:t xml:space="preserve">plete </w:t>
      </w:r>
      <w:r w:rsidR="00AB385C">
        <w:t xml:space="preserve">their </w:t>
      </w:r>
      <w:r w:rsidR="00AF652F">
        <w:t>Tender and their PSQ Response</w:t>
      </w:r>
      <w:r w:rsidR="00A262E0">
        <w:t>.</w:t>
      </w:r>
    </w:p>
    <w:p w14:paraId="7C32FEC2" w14:textId="0FA0BA61" w:rsidR="002245CF" w:rsidRDefault="00DB3023" w:rsidP="002840CF">
      <w:pPr>
        <w:pStyle w:val="BodyText1"/>
        <w:numPr>
          <w:ilvl w:val="0"/>
          <w:numId w:val="4"/>
        </w:numPr>
        <w:ind w:left="357" w:hanging="357"/>
      </w:pPr>
      <w:r>
        <w:t xml:space="preserve">The </w:t>
      </w:r>
      <w:r w:rsidR="00AC186C">
        <w:t xml:space="preserve">Central Digital Platform and the Portal </w:t>
      </w:r>
      <w:r w:rsidR="00B650E0">
        <w:t>are</w:t>
      </w:r>
      <w:r w:rsidR="00AC186C">
        <w:t xml:space="preserve"> free to </w:t>
      </w:r>
      <w:r w:rsidR="009C2C43">
        <w:t>use</w:t>
      </w:r>
      <w:r w:rsidR="0074575B">
        <w:t xml:space="preserve">. </w:t>
      </w:r>
      <w:r w:rsidR="0074575B" w:rsidRPr="0074575B">
        <w:t>Use of th</w:t>
      </w:r>
      <w:r w:rsidR="0074575B">
        <w:t>ese</w:t>
      </w:r>
      <w:r w:rsidR="0074575B" w:rsidRPr="0074575B">
        <w:t xml:space="preserve"> system</w:t>
      </w:r>
      <w:r w:rsidR="003F6747">
        <w:t>s</w:t>
      </w:r>
      <w:r w:rsidR="0074575B" w:rsidRPr="0074575B">
        <w:t xml:space="preserve"> does not require the purchase of high specification IT equipment or connections, or </w:t>
      </w:r>
      <w:r w:rsidR="003F6747" w:rsidRPr="0074575B">
        <w:t>high-level</w:t>
      </w:r>
      <w:r w:rsidR="0074575B" w:rsidRPr="0074575B">
        <w:t xml:space="preserve"> personal IT skills/capabilities.  </w:t>
      </w:r>
      <w:r w:rsidR="003F6747">
        <w:t>Suppliers</w:t>
      </w:r>
      <w:r w:rsidR="0074575B" w:rsidRPr="0074575B">
        <w:t xml:space="preserve"> are advised to complete their </w:t>
      </w:r>
      <w:r w:rsidR="00385974">
        <w:t>core supplier information</w:t>
      </w:r>
      <w:r w:rsidR="00AF652F">
        <w:t>,</w:t>
      </w:r>
      <w:r w:rsidR="00385974">
        <w:t xml:space="preserve"> </w:t>
      </w:r>
      <w:r w:rsidR="000E2006">
        <w:t>Tender</w:t>
      </w:r>
      <w:r w:rsidR="00AF652F">
        <w:t>s and PSQ</w:t>
      </w:r>
      <w:r w:rsidR="000E2006">
        <w:t xml:space="preserve"> </w:t>
      </w:r>
      <w:r w:rsidR="00AF652F">
        <w:t>R</w:t>
      </w:r>
      <w:r w:rsidR="000E2006">
        <w:t>esponses</w:t>
      </w:r>
      <w:r w:rsidR="0074575B" w:rsidRPr="0074575B">
        <w:t xml:space="preserve"> in advance of the </w:t>
      </w:r>
      <w:r w:rsidR="000E2006">
        <w:t>submission d</w:t>
      </w:r>
      <w:r w:rsidR="0074575B" w:rsidRPr="0074575B">
        <w:t xml:space="preserve">eadline to allow time to request </w:t>
      </w:r>
      <w:r w:rsidR="00385974">
        <w:t xml:space="preserve">technical </w:t>
      </w:r>
      <w:r w:rsidR="0074575B" w:rsidRPr="0074575B">
        <w:t xml:space="preserve">guidance </w:t>
      </w:r>
      <w:r w:rsidR="00385974">
        <w:t xml:space="preserve">on the use of these systems </w:t>
      </w:r>
      <w:r w:rsidR="0074575B" w:rsidRPr="0074575B">
        <w:t xml:space="preserve">where it is required.  </w:t>
      </w:r>
    </w:p>
    <w:p w14:paraId="2D4EA5D9" w14:textId="5368F2AF" w:rsidR="001D72BB" w:rsidRPr="00C50FB7" w:rsidRDefault="00F368A3" w:rsidP="002245CF">
      <w:pPr>
        <w:pStyle w:val="BodyText1"/>
        <w:rPr>
          <w:b/>
          <w:bCs/>
        </w:rPr>
      </w:pPr>
      <w:r w:rsidRPr="1987F26E">
        <w:rPr>
          <w:b/>
          <w:bCs/>
        </w:rPr>
        <w:t>Central Digital Platform</w:t>
      </w:r>
    </w:p>
    <w:p w14:paraId="61DAF3B0" w14:textId="241AD024" w:rsidR="001004FD" w:rsidRDefault="001004FD" w:rsidP="002840CF">
      <w:pPr>
        <w:pStyle w:val="BodyText1"/>
        <w:numPr>
          <w:ilvl w:val="0"/>
          <w:numId w:val="4"/>
        </w:numPr>
        <w:ind w:left="357" w:hanging="357"/>
      </w:pPr>
      <w:r>
        <w:t>Detailed guidance and support on how to register and use the Central Digital Platform can be found here</w:t>
      </w:r>
      <w:r w:rsidR="007A49AB">
        <w:t>;</w:t>
      </w:r>
      <w:r>
        <w:t xml:space="preserve"> </w:t>
      </w:r>
      <w:hyperlink r:id="rId25" w:history="1">
        <w:r w:rsidRPr="00E81662">
          <w:rPr>
            <w:rStyle w:val="Hyperlink"/>
          </w:rPr>
          <w:t>Information and guidance for suppliers - GOV.UK</w:t>
        </w:r>
      </w:hyperlink>
      <w:r>
        <w:t xml:space="preserve">.  The Authority recommends that </w:t>
      </w:r>
      <w:r w:rsidR="00385974">
        <w:t xml:space="preserve">Suppliers </w:t>
      </w:r>
      <w:r>
        <w:t xml:space="preserve">review this </w:t>
      </w:r>
      <w:r w:rsidR="000D33F9">
        <w:t xml:space="preserve">information in detail and </w:t>
      </w:r>
      <w:r w:rsidR="003D49A5">
        <w:t>complete their registration details</w:t>
      </w:r>
      <w:r w:rsidR="000D33F9">
        <w:t xml:space="preserve"> well in advance of the tender submission </w:t>
      </w:r>
      <w:r w:rsidR="003D49A5">
        <w:t xml:space="preserve">deadline </w:t>
      </w:r>
      <w:r w:rsidR="003479CB">
        <w:t>specified in the Procurement Timetable</w:t>
      </w:r>
      <w:r w:rsidR="004560BF">
        <w:t>.</w:t>
      </w:r>
    </w:p>
    <w:p w14:paraId="7CF6C65D" w14:textId="7640D17A" w:rsidR="000C7250" w:rsidRDefault="007635C7" w:rsidP="002840CF">
      <w:pPr>
        <w:pStyle w:val="BodyText1"/>
        <w:numPr>
          <w:ilvl w:val="0"/>
          <w:numId w:val="4"/>
        </w:numPr>
        <w:ind w:left="357" w:hanging="357"/>
      </w:pPr>
      <w:r>
        <w:t>Suppliers</w:t>
      </w:r>
      <w:r w:rsidR="00F368A3">
        <w:t xml:space="preserve"> will need</w:t>
      </w:r>
      <w:r w:rsidR="003B3D70">
        <w:t xml:space="preserve"> to sign</w:t>
      </w:r>
      <w:r w:rsidR="00AF652F">
        <w:t xml:space="preserve"> </w:t>
      </w:r>
      <w:r w:rsidR="00C12848">
        <w:t xml:space="preserve">in and </w:t>
      </w:r>
      <w:r w:rsidR="00E21D2E">
        <w:t xml:space="preserve">register on </w:t>
      </w:r>
      <w:r w:rsidR="00B90B87">
        <w:t xml:space="preserve">the </w:t>
      </w:r>
      <w:r w:rsidR="00A459F7">
        <w:t>Central Digital Platform</w:t>
      </w:r>
      <w:r w:rsidR="00CD09AD">
        <w:t>. To complete registration, suppliers will need to</w:t>
      </w:r>
      <w:r w:rsidR="005005C9">
        <w:t xml:space="preserve"> </w:t>
      </w:r>
      <w:r w:rsidR="009A6816">
        <w:t>submit</w:t>
      </w:r>
      <w:r w:rsidR="005005C9">
        <w:t xml:space="preserve"> their</w:t>
      </w:r>
      <w:r w:rsidR="009A6816">
        <w:t xml:space="preserve"> </w:t>
      </w:r>
      <w:r w:rsidR="005005C9">
        <w:t>‘</w:t>
      </w:r>
      <w:r w:rsidR="00385974">
        <w:t xml:space="preserve">core </w:t>
      </w:r>
      <w:r w:rsidR="009A6816">
        <w:t>supplier information</w:t>
      </w:r>
      <w:r w:rsidR="005005C9">
        <w:t>’</w:t>
      </w:r>
      <w:r w:rsidR="00E02808">
        <w:t xml:space="preserve"> (basic information, economic and financial standing information</w:t>
      </w:r>
      <w:r w:rsidR="000E25B4">
        <w:t>, connected person information and exclusion ground information)</w:t>
      </w:r>
      <w:r w:rsidR="00E4742E">
        <w:t xml:space="preserve">. </w:t>
      </w:r>
    </w:p>
    <w:p w14:paraId="1EBE81A3" w14:textId="77777777" w:rsidR="00512AC0" w:rsidRDefault="000153CC" w:rsidP="002840CF">
      <w:pPr>
        <w:pStyle w:val="BodyText1"/>
        <w:numPr>
          <w:ilvl w:val="0"/>
          <w:numId w:val="4"/>
        </w:numPr>
        <w:ind w:left="357" w:hanging="357"/>
      </w:pPr>
      <w:r>
        <w:t xml:space="preserve">Where a </w:t>
      </w:r>
      <w:r w:rsidR="00BE399E">
        <w:t>Supplier intend</w:t>
      </w:r>
      <w:r>
        <w:t>s</w:t>
      </w:r>
      <w:r w:rsidR="00BE399E">
        <w:t xml:space="preserve"> to rely on other </w:t>
      </w:r>
      <w:r w:rsidR="00385974">
        <w:t xml:space="preserve">suppliers </w:t>
      </w:r>
      <w:r w:rsidR="00C93A3F">
        <w:t xml:space="preserve">to meet </w:t>
      </w:r>
      <w:r w:rsidR="00385974">
        <w:t xml:space="preserve">some or </w:t>
      </w:r>
      <w:proofErr w:type="gramStart"/>
      <w:r w:rsidR="00385974">
        <w:t>all of</w:t>
      </w:r>
      <w:proofErr w:type="gramEnd"/>
      <w:r w:rsidR="00385974">
        <w:t xml:space="preserve"> the </w:t>
      </w:r>
      <w:r w:rsidR="00C93A3F">
        <w:t>condition</w:t>
      </w:r>
      <w:r w:rsidR="00385974">
        <w:t>s</w:t>
      </w:r>
      <w:r w:rsidR="00C93A3F">
        <w:t xml:space="preserve"> of participation, </w:t>
      </w:r>
      <w:r w:rsidR="00AF652F">
        <w:t xml:space="preserve">it is recommended that </w:t>
      </w:r>
      <w:r w:rsidR="00D12E3A">
        <w:t xml:space="preserve">they ensure that these other suppliers </w:t>
      </w:r>
      <w:r w:rsidR="0039110C">
        <w:t xml:space="preserve">register on the Central Digital Platform and submit their </w:t>
      </w:r>
      <w:r w:rsidR="00385974">
        <w:t xml:space="preserve">core </w:t>
      </w:r>
      <w:r w:rsidR="0039110C">
        <w:t>supplier information</w:t>
      </w:r>
      <w:r w:rsidR="001813F3">
        <w:t xml:space="preserve"> prior to the tender submission deadline. This is because</w:t>
      </w:r>
      <w:r w:rsidR="00F6100E">
        <w:t xml:space="preserve"> </w:t>
      </w:r>
    </w:p>
    <w:p w14:paraId="37A7D088" w14:textId="77777777" w:rsidR="00C0521E" w:rsidRDefault="00F6100E" w:rsidP="002840CF">
      <w:pPr>
        <w:pStyle w:val="BodyText1"/>
        <w:numPr>
          <w:ilvl w:val="1"/>
          <w:numId w:val="4"/>
        </w:numPr>
      </w:pPr>
      <w:r>
        <w:t>these Suppliers (who may be consortium members or intended sub-contractors)</w:t>
      </w:r>
      <w:r w:rsidR="02F3D551">
        <w:t xml:space="preserve"> </w:t>
      </w:r>
      <w:r w:rsidR="00AF652F">
        <w:t>will be the Supplier’s ‘</w:t>
      </w:r>
      <w:r w:rsidR="00385974">
        <w:t xml:space="preserve">associated </w:t>
      </w:r>
      <w:r w:rsidR="02F3D551">
        <w:t>persons</w:t>
      </w:r>
      <w:r w:rsidR="00AF652F">
        <w:t>’</w:t>
      </w:r>
      <w:r>
        <w:t xml:space="preserve"> (unless they are being relied upon merely as guarantors)</w:t>
      </w:r>
      <w:r w:rsidR="02F3D551">
        <w:t>. The Authority will need to determine if the Supplier is an e</w:t>
      </w:r>
      <w:r w:rsidR="390413E5">
        <w:t>xcluded</w:t>
      </w:r>
      <w:r w:rsidR="00385974">
        <w:t xml:space="preserve"> supplier</w:t>
      </w:r>
      <w:r w:rsidR="390413E5">
        <w:t xml:space="preserve"> or excludable supplier by virtue of an associated person being an excluded </w:t>
      </w:r>
      <w:r w:rsidR="00385974">
        <w:t xml:space="preserve">supplier </w:t>
      </w:r>
      <w:r w:rsidR="390413E5">
        <w:t xml:space="preserve">or </w:t>
      </w:r>
      <w:r w:rsidR="7F51B462">
        <w:t>excludable</w:t>
      </w:r>
      <w:r w:rsidR="390413E5">
        <w:t xml:space="preserve"> supplier</w:t>
      </w:r>
      <w:r w:rsidR="7F51B462">
        <w:t xml:space="preserve"> (as</w:t>
      </w:r>
      <w:r w:rsidR="1DA26199">
        <w:t xml:space="preserve"> </w:t>
      </w:r>
      <w:r w:rsidR="1CDB4CB8">
        <w:t xml:space="preserve">set out in section 57 of the Act). </w:t>
      </w:r>
    </w:p>
    <w:p w14:paraId="51E6F15F" w14:textId="3BF7C374" w:rsidR="006B0F9F" w:rsidRDefault="00AF652F" w:rsidP="002840CF">
      <w:pPr>
        <w:pStyle w:val="BodyText1"/>
        <w:numPr>
          <w:ilvl w:val="1"/>
          <w:numId w:val="4"/>
        </w:numPr>
      </w:pPr>
      <w:r>
        <w:t xml:space="preserve">Sharing </w:t>
      </w:r>
      <w:r w:rsidR="00385974">
        <w:t xml:space="preserve">each associated </w:t>
      </w:r>
      <w:r w:rsidR="7C144C27">
        <w:t>person’s</w:t>
      </w:r>
      <w:r w:rsidR="7F51B462">
        <w:t xml:space="preserve"> </w:t>
      </w:r>
      <w:r w:rsidR="7C144C27">
        <w:t>relevant information</w:t>
      </w:r>
      <w:r w:rsidR="4F4DF75E">
        <w:t xml:space="preserve"> via the CDP will support the Authority in determining this.</w:t>
      </w:r>
      <w:r>
        <w:t xml:space="preserve">  If an associated person has not registered and shared its core supplier information via the CDP, t</w:t>
      </w:r>
      <w:r w:rsidR="006B0F9F">
        <w:t xml:space="preserve">he lead Supplier will </w:t>
      </w:r>
      <w:r w:rsidR="00F6100E">
        <w:t xml:space="preserve">instead </w:t>
      </w:r>
      <w:r w:rsidR="006B0F9F">
        <w:t xml:space="preserve">be </w:t>
      </w:r>
      <w:r>
        <w:t>required to</w:t>
      </w:r>
      <w:r w:rsidR="006B0F9F">
        <w:t xml:space="preserve"> collect</w:t>
      </w:r>
      <w:r w:rsidR="002C220A">
        <w:t xml:space="preserve"> PDF copies of </w:t>
      </w:r>
      <w:r>
        <w:t xml:space="preserve">the </w:t>
      </w:r>
      <w:r w:rsidR="00385974">
        <w:t xml:space="preserve">associated </w:t>
      </w:r>
      <w:r w:rsidR="006B0F9F">
        <w:lastRenderedPageBreak/>
        <w:t>person’s</w:t>
      </w:r>
      <w:r w:rsidR="002C220A">
        <w:t xml:space="preserve"> core</w:t>
      </w:r>
      <w:r w:rsidR="00D27BA3">
        <w:t xml:space="preserve"> supplier</w:t>
      </w:r>
      <w:r w:rsidR="002C220A">
        <w:t xml:space="preserve"> information </w:t>
      </w:r>
      <w:r w:rsidR="00D27BA3">
        <w:t>and provid</w:t>
      </w:r>
      <w:r>
        <w:t>e</w:t>
      </w:r>
      <w:r w:rsidR="00D27BA3">
        <w:t xml:space="preserve"> this information </w:t>
      </w:r>
      <w:r w:rsidR="00385974">
        <w:t xml:space="preserve">to </w:t>
      </w:r>
      <w:r w:rsidR="00D27BA3">
        <w:t xml:space="preserve">the Authority as part of </w:t>
      </w:r>
      <w:r>
        <w:t>its PSQ Response</w:t>
      </w:r>
      <w:r w:rsidR="00D27BA3">
        <w:t>.</w:t>
      </w:r>
    </w:p>
    <w:p w14:paraId="17682FB6" w14:textId="28758F0D" w:rsidR="00F12505" w:rsidRDefault="00F12505" w:rsidP="002840CF">
      <w:pPr>
        <w:pStyle w:val="BodyText1"/>
        <w:numPr>
          <w:ilvl w:val="0"/>
          <w:numId w:val="4"/>
        </w:numPr>
        <w:ind w:left="357" w:hanging="357"/>
      </w:pPr>
      <w:r>
        <w:t xml:space="preserve">Suppliers must note that </w:t>
      </w:r>
      <w:r w:rsidR="00E10C9B">
        <w:t xml:space="preserve">the CDP </w:t>
      </w:r>
      <w:r w:rsidR="002105F0">
        <w:t>does not asses</w:t>
      </w:r>
      <w:r w:rsidR="00F07916">
        <w:t>s</w:t>
      </w:r>
      <w:r w:rsidR="002105F0">
        <w:t xml:space="preserve"> or validate any of their core supplier information and </w:t>
      </w:r>
      <w:r>
        <w:t>no assurance is undertaken</w:t>
      </w:r>
      <w:r w:rsidR="002105F0">
        <w:t xml:space="preserve"> </w:t>
      </w:r>
      <w:r w:rsidR="001004FD">
        <w:t>by Cabinet Office</w:t>
      </w:r>
      <w:r w:rsidR="004313BC">
        <w:t xml:space="preserve">. </w:t>
      </w:r>
      <w:r w:rsidR="00481AA4">
        <w:t xml:space="preserve">Suppliers are responsible for ensuring </w:t>
      </w:r>
      <w:r w:rsidR="00F07916">
        <w:t>their</w:t>
      </w:r>
      <w:r w:rsidR="00240C00">
        <w:t xml:space="preserve"> information is </w:t>
      </w:r>
      <w:r w:rsidR="001177D0">
        <w:t>up to date</w:t>
      </w:r>
      <w:r w:rsidR="0001613C">
        <w:t>, declare that it is correct</w:t>
      </w:r>
      <w:r w:rsidR="00320E85">
        <w:t xml:space="preserve">, </w:t>
      </w:r>
      <w:r w:rsidR="007A49AB">
        <w:t>and</w:t>
      </w:r>
      <w:r w:rsidR="0001613C">
        <w:t xml:space="preserve"> generate a share</w:t>
      </w:r>
      <w:r w:rsidR="00320E85">
        <w:t xml:space="preserve"> </w:t>
      </w:r>
      <w:r w:rsidR="0001613C">
        <w:t>code</w:t>
      </w:r>
      <w:r w:rsidR="00F27E16">
        <w:t xml:space="preserve"> </w:t>
      </w:r>
      <w:r w:rsidR="00320E85">
        <w:t>to</w:t>
      </w:r>
      <w:r w:rsidR="00F27E16">
        <w:t xml:space="preserve"> provide that information to the Autho</w:t>
      </w:r>
      <w:r w:rsidR="00B70339">
        <w:t xml:space="preserve">rity as part of this procurement process. </w:t>
      </w:r>
    </w:p>
    <w:p w14:paraId="148D2A52" w14:textId="4D75BC46" w:rsidR="000C76B5" w:rsidRDefault="002C2B5B" w:rsidP="002840CF">
      <w:pPr>
        <w:pStyle w:val="BodyText1"/>
        <w:numPr>
          <w:ilvl w:val="0"/>
          <w:numId w:val="4"/>
        </w:numPr>
        <w:ind w:left="357" w:hanging="357"/>
      </w:pPr>
      <w:r>
        <w:t>R</w:t>
      </w:r>
      <w:r w:rsidR="000C76B5" w:rsidRPr="00EF0B56">
        <w:t>egulation 6 of the Procurement Regulations 2024</w:t>
      </w:r>
      <w:r w:rsidR="000C76B5">
        <w:t xml:space="preserve"> requires the Authority to obtain confirmation </w:t>
      </w:r>
      <w:r w:rsidR="00355CF2">
        <w:t>from Suppliers that the</w:t>
      </w:r>
      <w:r w:rsidR="00F6100E">
        <w:t>y</w:t>
      </w:r>
      <w:r w:rsidR="00355CF2">
        <w:t xml:space="preserve"> </w:t>
      </w:r>
      <w:r w:rsidR="008871A1">
        <w:t>ha</w:t>
      </w:r>
      <w:r w:rsidR="00F6100E">
        <w:t>ve</w:t>
      </w:r>
      <w:r w:rsidR="008871A1">
        <w:t xml:space="preserve"> completed this activity</w:t>
      </w:r>
      <w:r w:rsidR="00DA3801">
        <w:t xml:space="preserve"> before the end of the tendering period.</w:t>
      </w:r>
    </w:p>
    <w:p w14:paraId="2D7783FC" w14:textId="38C4A152" w:rsidR="00BA6773" w:rsidRDefault="22C55658" w:rsidP="002840CF">
      <w:pPr>
        <w:pStyle w:val="BodyText1"/>
        <w:numPr>
          <w:ilvl w:val="0"/>
          <w:numId w:val="4"/>
        </w:numPr>
        <w:ind w:left="357" w:hanging="357"/>
      </w:pPr>
      <w:r>
        <w:t xml:space="preserve">Any queries regarding the Central Digital </w:t>
      </w:r>
      <w:r w:rsidR="00CE1259">
        <w:t xml:space="preserve">Platform </w:t>
      </w:r>
      <w:r>
        <w:t xml:space="preserve">should be sent to the Find a Tender Service helpdesk by completing the </w:t>
      </w:r>
      <w:r w:rsidR="1F2846A3">
        <w:t>request for help form</w:t>
      </w:r>
      <w:r w:rsidR="1F44D6E7">
        <w:t xml:space="preserve"> </w:t>
      </w:r>
      <w:hyperlink r:id="rId26" w:history="1">
        <w:r w:rsidR="1F44D6E7" w:rsidRPr="71F252AA">
          <w:rPr>
            <w:rStyle w:val="Hyperlink"/>
          </w:rPr>
          <w:t>Contact us - Find a Tender</w:t>
        </w:r>
      </w:hyperlink>
      <w:r w:rsidR="00CE1259">
        <w:rPr>
          <w:rStyle w:val="Hyperlink"/>
        </w:rPr>
        <w:t>.</w:t>
      </w:r>
    </w:p>
    <w:p w14:paraId="1DA53F2F" w14:textId="610962B2" w:rsidR="00A06B66" w:rsidRPr="006325A8" w:rsidRDefault="00A06B66" w:rsidP="004C1956">
      <w:pPr>
        <w:pStyle w:val="BodyText1"/>
        <w:rPr>
          <w:b/>
          <w:bCs/>
          <w:color w:val="auto"/>
        </w:rPr>
      </w:pPr>
      <w:r w:rsidRPr="006325A8">
        <w:rPr>
          <w:b/>
          <w:bCs/>
          <w:color w:val="auto"/>
        </w:rPr>
        <w:t>Portal (</w:t>
      </w:r>
      <w:r w:rsidR="00832E83" w:rsidRPr="006325A8">
        <w:rPr>
          <w:b/>
          <w:bCs/>
          <w:color w:val="auto"/>
        </w:rPr>
        <w:t>Atamis</w:t>
      </w:r>
      <w:r w:rsidRPr="006325A8">
        <w:rPr>
          <w:b/>
          <w:bCs/>
          <w:color w:val="auto"/>
        </w:rPr>
        <w:t xml:space="preserve"> </w:t>
      </w:r>
      <w:proofErr w:type="spellStart"/>
      <w:r w:rsidRPr="006325A8">
        <w:rPr>
          <w:b/>
          <w:bCs/>
          <w:color w:val="auto"/>
        </w:rPr>
        <w:t>e</w:t>
      </w:r>
      <w:r w:rsidR="00231310">
        <w:rPr>
          <w:b/>
          <w:bCs/>
          <w:color w:val="auto"/>
        </w:rPr>
        <w:t>S</w:t>
      </w:r>
      <w:r w:rsidRPr="006325A8">
        <w:rPr>
          <w:b/>
          <w:bCs/>
          <w:color w:val="auto"/>
        </w:rPr>
        <w:t>ourcing</w:t>
      </w:r>
      <w:proofErr w:type="spellEnd"/>
      <w:r w:rsidRPr="006325A8">
        <w:rPr>
          <w:b/>
          <w:bCs/>
          <w:color w:val="auto"/>
        </w:rPr>
        <w:t xml:space="preserve"> portal)</w:t>
      </w:r>
    </w:p>
    <w:p w14:paraId="5AB43FC5" w14:textId="7CF95D49" w:rsidR="00A14383" w:rsidRPr="006325A8" w:rsidRDefault="00A263A4" w:rsidP="002840CF">
      <w:pPr>
        <w:pStyle w:val="BodyText1"/>
        <w:numPr>
          <w:ilvl w:val="0"/>
          <w:numId w:val="4"/>
        </w:numPr>
        <w:ind w:left="357" w:hanging="357"/>
        <w:rPr>
          <w:color w:val="auto"/>
        </w:rPr>
      </w:pPr>
      <w:r w:rsidRPr="006325A8">
        <w:rPr>
          <w:color w:val="auto"/>
        </w:rPr>
        <w:t xml:space="preserve">Suppliers </w:t>
      </w:r>
      <w:r w:rsidR="00F10B7E" w:rsidRPr="006325A8">
        <w:rPr>
          <w:color w:val="auto"/>
        </w:rPr>
        <w:t>will need to</w:t>
      </w:r>
      <w:r w:rsidR="000D61E6" w:rsidRPr="006325A8">
        <w:rPr>
          <w:color w:val="auto"/>
        </w:rPr>
        <w:t xml:space="preserve"> </w:t>
      </w:r>
      <w:r w:rsidR="007240A8" w:rsidRPr="006325A8">
        <w:rPr>
          <w:color w:val="auto"/>
        </w:rPr>
        <w:t xml:space="preserve">register on the </w:t>
      </w:r>
      <w:hyperlink r:id="rId27" w:history="1">
        <w:r w:rsidR="007240A8" w:rsidRPr="006325A8">
          <w:rPr>
            <w:rStyle w:val="Hyperlink"/>
          </w:rPr>
          <w:t>Portal</w:t>
        </w:r>
      </w:hyperlink>
      <w:r w:rsidR="00F10B7E" w:rsidRPr="00B02707">
        <w:rPr>
          <w:color w:val="FF0000"/>
        </w:rPr>
        <w:t xml:space="preserve"> </w:t>
      </w:r>
      <w:r w:rsidR="00D43C62" w:rsidRPr="006325A8">
        <w:rPr>
          <w:color w:val="auto"/>
        </w:rPr>
        <w:t xml:space="preserve">and ensure that their </w:t>
      </w:r>
      <w:r w:rsidR="00832E83" w:rsidRPr="006325A8">
        <w:rPr>
          <w:color w:val="auto"/>
        </w:rPr>
        <w:t>Atamis</w:t>
      </w:r>
      <w:r w:rsidR="00D43C62" w:rsidRPr="006325A8">
        <w:rPr>
          <w:color w:val="auto"/>
        </w:rPr>
        <w:t xml:space="preserve"> registration directly relate</w:t>
      </w:r>
      <w:r w:rsidR="00A8500D" w:rsidRPr="006325A8">
        <w:rPr>
          <w:color w:val="auto"/>
        </w:rPr>
        <w:t>s</w:t>
      </w:r>
      <w:r w:rsidR="00D43C62" w:rsidRPr="006325A8">
        <w:rPr>
          <w:color w:val="auto"/>
        </w:rPr>
        <w:t xml:space="preserve"> to the part of their organisation</w:t>
      </w:r>
      <w:r w:rsidR="00A24640" w:rsidRPr="006325A8">
        <w:rPr>
          <w:color w:val="auto"/>
        </w:rPr>
        <w:t xml:space="preserve"> that submits the Tender</w:t>
      </w:r>
      <w:r w:rsidR="00C8680C" w:rsidRPr="006325A8">
        <w:rPr>
          <w:color w:val="auto"/>
        </w:rPr>
        <w:t>.</w:t>
      </w:r>
    </w:p>
    <w:p w14:paraId="2FC2D0FD" w14:textId="41CFC48D" w:rsidR="007E2BF6" w:rsidRPr="006325A8" w:rsidRDefault="007E2BF6" w:rsidP="002840CF">
      <w:pPr>
        <w:pStyle w:val="BodyText1"/>
        <w:numPr>
          <w:ilvl w:val="0"/>
          <w:numId w:val="4"/>
        </w:numPr>
        <w:ind w:left="357" w:hanging="357"/>
        <w:rPr>
          <w:color w:val="auto"/>
        </w:rPr>
      </w:pPr>
      <w:r w:rsidRPr="006325A8">
        <w:rPr>
          <w:color w:val="auto"/>
        </w:rPr>
        <w:t>Suppliers must:</w:t>
      </w:r>
    </w:p>
    <w:p w14:paraId="2D2EAE32" w14:textId="10985F79" w:rsidR="001C31C1" w:rsidRPr="00A32C78" w:rsidRDefault="00CE1259" w:rsidP="002840CF">
      <w:pPr>
        <w:pStyle w:val="BodyText1"/>
        <w:numPr>
          <w:ilvl w:val="1"/>
          <w:numId w:val="4"/>
        </w:numPr>
        <w:rPr>
          <w:color w:val="auto"/>
        </w:rPr>
      </w:pPr>
      <w:r>
        <w:rPr>
          <w:color w:val="auto"/>
        </w:rPr>
        <w:t>when beginning their submission</w:t>
      </w:r>
      <w:r w:rsidR="075E071D" w:rsidRPr="006325A8">
        <w:rPr>
          <w:color w:val="auto"/>
        </w:rPr>
        <w:t xml:space="preserve">, </w:t>
      </w:r>
      <w:r w:rsidR="31F9C923" w:rsidRPr="006325A8">
        <w:rPr>
          <w:color w:val="auto"/>
        </w:rPr>
        <w:t>input their share</w:t>
      </w:r>
      <w:r w:rsidR="72B14AA0" w:rsidRPr="006325A8">
        <w:rPr>
          <w:color w:val="auto"/>
        </w:rPr>
        <w:t xml:space="preserve"> code</w:t>
      </w:r>
      <w:r w:rsidR="00F6100E">
        <w:rPr>
          <w:color w:val="auto"/>
        </w:rPr>
        <w:t xml:space="preserve"> from the CDP</w:t>
      </w:r>
      <w:r w:rsidR="286AAA8D" w:rsidRPr="006325A8">
        <w:rPr>
          <w:color w:val="auto"/>
        </w:rPr>
        <w:t xml:space="preserve"> </w:t>
      </w:r>
      <w:r w:rsidR="2C667211" w:rsidRPr="006325A8">
        <w:rPr>
          <w:color w:val="auto"/>
        </w:rPr>
        <w:t xml:space="preserve">into the </w:t>
      </w:r>
      <w:r w:rsidR="286AAA8D" w:rsidRPr="006325A8">
        <w:rPr>
          <w:color w:val="auto"/>
        </w:rPr>
        <w:t>Portal</w:t>
      </w:r>
      <w:r w:rsidR="32AA6172" w:rsidRPr="006325A8">
        <w:rPr>
          <w:color w:val="auto"/>
        </w:rPr>
        <w:t xml:space="preserve"> as part of the procurement process</w:t>
      </w:r>
      <w:r w:rsidR="662CAC5C" w:rsidRPr="006325A8">
        <w:rPr>
          <w:color w:val="auto"/>
        </w:rPr>
        <w:t xml:space="preserve">. Suppliers will be able to </w:t>
      </w:r>
      <w:r w:rsidR="2D946E41" w:rsidRPr="006325A8">
        <w:rPr>
          <w:color w:val="auto"/>
        </w:rPr>
        <w:t>re-submit a different share code before t</w:t>
      </w:r>
      <w:r w:rsidR="1DDF757B" w:rsidRPr="006325A8">
        <w:rPr>
          <w:color w:val="auto"/>
        </w:rPr>
        <w:t xml:space="preserve">he submission deadline, if they need to update any of their </w:t>
      </w:r>
      <w:r>
        <w:rPr>
          <w:color w:val="auto"/>
        </w:rPr>
        <w:t>c</w:t>
      </w:r>
      <w:r w:rsidRPr="006325A8">
        <w:rPr>
          <w:color w:val="auto"/>
        </w:rPr>
        <w:t xml:space="preserve">ore </w:t>
      </w:r>
      <w:r w:rsidR="1DDF757B" w:rsidRPr="006325A8">
        <w:rPr>
          <w:color w:val="auto"/>
        </w:rPr>
        <w:t xml:space="preserve">supplier information on the Central Digital </w:t>
      </w:r>
      <w:r>
        <w:rPr>
          <w:color w:val="auto"/>
        </w:rPr>
        <w:t>P</w:t>
      </w:r>
      <w:r w:rsidRPr="006325A8">
        <w:rPr>
          <w:color w:val="auto"/>
        </w:rPr>
        <w:t>latform</w:t>
      </w:r>
      <w:r w:rsidR="1DDF757B" w:rsidRPr="006325A8">
        <w:rPr>
          <w:color w:val="auto"/>
        </w:rPr>
        <w:t>.</w:t>
      </w:r>
      <w:r w:rsidR="19881A57" w:rsidRPr="006325A8">
        <w:rPr>
          <w:color w:val="auto"/>
        </w:rPr>
        <w:t xml:space="preserve"> The </w:t>
      </w:r>
      <w:r w:rsidR="19881A57" w:rsidRPr="00A32C78">
        <w:rPr>
          <w:color w:val="auto"/>
        </w:rPr>
        <w:t>Authority will only be able to acce</w:t>
      </w:r>
      <w:r w:rsidR="36EF8458" w:rsidRPr="00A32C78">
        <w:rPr>
          <w:color w:val="auto"/>
        </w:rPr>
        <w:t xml:space="preserve">ss </w:t>
      </w:r>
      <w:r w:rsidR="189CE916" w:rsidRPr="00A32C78">
        <w:rPr>
          <w:color w:val="auto"/>
        </w:rPr>
        <w:t xml:space="preserve">the </w:t>
      </w:r>
      <w:r>
        <w:rPr>
          <w:color w:val="auto"/>
        </w:rPr>
        <w:t>c</w:t>
      </w:r>
      <w:r w:rsidRPr="00A32C78">
        <w:rPr>
          <w:color w:val="auto"/>
        </w:rPr>
        <w:t xml:space="preserve">ore </w:t>
      </w:r>
      <w:r w:rsidR="189CE916" w:rsidRPr="00A32C78">
        <w:rPr>
          <w:color w:val="auto"/>
        </w:rPr>
        <w:t xml:space="preserve">supplier information </w:t>
      </w:r>
      <w:r w:rsidR="0C627ECA" w:rsidRPr="00A32C78">
        <w:rPr>
          <w:color w:val="auto"/>
        </w:rPr>
        <w:t>after the submission deadline.</w:t>
      </w:r>
    </w:p>
    <w:p w14:paraId="70CB6709" w14:textId="4A6C85F8" w:rsidR="007E2BF6" w:rsidRPr="00A32C78" w:rsidRDefault="00D77EEE" w:rsidP="002840CF">
      <w:pPr>
        <w:pStyle w:val="BodyText1"/>
        <w:numPr>
          <w:ilvl w:val="1"/>
          <w:numId w:val="4"/>
        </w:numPr>
        <w:rPr>
          <w:color w:val="auto"/>
        </w:rPr>
      </w:pPr>
      <w:r w:rsidRPr="00A32C78">
        <w:rPr>
          <w:color w:val="auto"/>
        </w:rPr>
        <w:t>read these instructions carefully before submitting their Tender</w:t>
      </w:r>
      <w:r w:rsidR="00F6100E">
        <w:rPr>
          <w:color w:val="auto"/>
        </w:rPr>
        <w:t xml:space="preserve"> and PSQ Response</w:t>
      </w:r>
      <w:r w:rsidRPr="00A32C78">
        <w:rPr>
          <w:color w:val="auto"/>
        </w:rPr>
        <w:t>. Suppliers are responsible for ensuring the</w:t>
      </w:r>
      <w:r w:rsidR="000035A8" w:rsidRPr="00A32C78">
        <w:rPr>
          <w:color w:val="auto"/>
        </w:rPr>
        <w:t>y</w:t>
      </w:r>
      <w:r w:rsidRPr="00A32C78">
        <w:rPr>
          <w:color w:val="auto"/>
        </w:rPr>
        <w:t xml:space="preserve"> have submitted a complete and accurate Tender</w:t>
      </w:r>
      <w:r w:rsidR="000035A8" w:rsidRPr="00A32C78">
        <w:rPr>
          <w:color w:val="auto"/>
        </w:rPr>
        <w:t xml:space="preserve"> </w:t>
      </w:r>
      <w:r w:rsidR="00F6100E">
        <w:rPr>
          <w:color w:val="auto"/>
        </w:rPr>
        <w:t>and PSQ R</w:t>
      </w:r>
      <w:r w:rsidR="000035A8" w:rsidRPr="00A32C78">
        <w:rPr>
          <w:color w:val="auto"/>
        </w:rPr>
        <w:t>esponse</w:t>
      </w:r>
      <w:r w:rsidRPr="00A32C78">
        <w:rPr>
          <w:color w:val="auto"/>
        </w:rPr>
        <w:t xml:space="preserve"> and that </w:t>
      </w:r>
      <w:r w:rsidR="00652E06" w:rsidRPr="00A32C78">
        <w:rPr>
          <w:color w:val="auto"/>
        </w:rPr>
        <w:t xml:space="preserve">numbers quoted are arithmetically </w:t>
      </w:r>
      <w:r w:rsidR="00821F9E" w:rsidRPr="00A32C78">
        <w:rPr>
          <w:color w:val="auto"/>
        </w:rPr>
        <w:t>correct</w:t>
      </w:r>
    </w:p>
    <w:p w14:paraId="28F30451" w14:textId="48EBC56B" w:rsidR="00652E06" w:rsidRPr="00A32C78" w:rsidRDefault="00652E06" w:rsidP="002840CF">
      <w:pPr>
        <w:pStyle w:val="BodyText1"/>
        <w:numPr>
          <w:ilvl w:val="1"/>
          <w:numId w:val="4"/>
        </w:numPr>
        <w:rPr>
          <w:color w:val="auto"/>
        </w:rPr>
      </w:pPr>
      <w:r w:rsidRPr="00A32C78">
        <w:rPr>
          <w:color w:val="auto"/>
        </w:rPr>
        <w:t xml:space="preserve">provide all the information asked for in the format and in the order </w:t>
      </w:r>
      <w:r w:rsidR="00821F9E" w:rsidRPr="00A32C78">
        <w:rPr>
          <w:color w:val="auto"/>
        </w:rPr>
        <w:t>specified</w:t>
      </w:r>
    </w:p>
    <w:p w14:paraId="1EBC2776" w14:textId="405C4D24" w:rsidR="00652E06" w:rsidRPr="00A32C78" w:rsidRDefault="00037697" w:rsidP="002840CF">
      <w:pPr>
        <w:pStyle w:val="BodyText1"/>
        <w:numPr>
          <w:ilvl w:val="1"/>
          <w:numId w:val="4"/>
        </w:numPr>
        <w:rPr>
          <w:color w:val="auto"/>
        </w:rPr>
      </w:pPr>
      <w:r w:rsidRPr="00A32C78">
        <w:rPr>
          <w:color w:val="auto"/>
        </w:rPr>
        <w:t>c</w:t>
      </w:r>
      <w:r w:rsidR="00821F9E" w:rsidRPr="00A32C78">
        <w:rPr>
          <w:color w:val="auto"/>
        </w:rPr>
        <w:t>omplete their Tender</w:t>
      </w:r>
      <w:r w:rsidR="00F6100E">
        <w:rPr>
          <w:color w:val="auto"/>
        </w:rPr>
        <w:t xml:space="preserve"> and PSQ Response</w:t>
      </w:r>
      <w:r w:rsidR="00821F9E" w:rsidRPr="00A32C78">
        <w:rPr>
          <w:color w:val="auto"/>
        </w:rPr>
        <w:t xml:space="preserve"> in </w:t>
      </w:r>
      <w:r w:rsidR="0095609A" w:rsidRPr="00A32C78">
        <w:rPr>
          <w:color w:val="auto"/>
        </w:rPr>
        <w:t>E</w:t>
      </w:r>
      <w:r w:rsidR="00821F9E" w:rsidRPr="00A32C78">
        <w:rPr>
          <w:color w:val="auto"/>
        </w:rPr>
        <w:t>nglish</w:t>
      </w:r>
    </w:p>
    <w:p w14:paraId="189517DE" w14:textId="300833F2" w:rsidR="00821F9E" w:rsidRPr="00A32C78" w:rsidRDefault="0095609A" w:rsidP="002840CF">
      <w:pPr>
        <w:pStyle w:val="BodyText1"/>
        <w:numPr>
          <w:ilvl w:val="1"/>
          <w:numId w:val="4"/>
        </w:numPr>
        <w:rPr>
          <w:color w:val="auto"/>
        </w:rPr>
      </w:pPr>
      <w:r w:rsidRPr="00A32C78">
        <w:rPr>
          <w:color w:val="auto"/>
        </w:rPr>
        <w:t>avoid submitting</w:t>
      </w:r>
      <w:r w:rsidR="007A63BD" w:rsidRPr="00A32C78">
        <w:rPr>
          <w:color w:val="auto"/>
        </w:rPr>
        <w:t xml:space="preserve"> their Tender in the last minutes before the deadline in case there are connection problems which may mean the deadline is missed</w:t>
      </w:r>
    </w:p>
    <w:p w14:paraId="1CDA56EC" w14:textId="45BDAAE6" w:rsidR="00A977E3" w:rsidRPr="00A32C78" w:rsidRDefault="00A977E3" w:rsidP="002840CF">
      <w:pPr>
        <w:pStyle w:val="BodyText1"/>
        <w:numPr>
          <w:ilvl w:val="1"/>
          <w:numId w:val="4"/>
        </w:numPr>
        <w:rPr>
          <w:color w:val="auto"/>
        </w:rPr>
      </w:pPr>
      <w:r w:rsidRPr="00A32C78">
        <w:rPr>
          <w:color w:val="auto"/>
        </w:rPr>
        <w:t xml:space="preserve">ensure </w:t>
      </w:r>
      <w:r w:rsidR="00F6100E">
        <w:rPr>
          <w:color w:val="auto"/>
        </w:rPr>
        <w:t xml:space="preserve">their </w:t>
      </w:r>
      <w:r w:rsidRPr="00A32C78">
        <w:rPr>
          <w:color w:val="auto"/>
        </w:rPr>
        <w:t xml:space="preserve">Tender </w:t>
      </w:r>
      <w:r w:rsidR="00F6100E">
        <w:rPr>
          <w:color w:val="auto"/>
        </w:rPr>
        <w:t xml:space="preserve">and PSQ Response </w:t>
      </w:r>
      <w:r w:rsidRPr="00A32C78">
        <w:rPr>
          <w:color w:val="auto"/>
        </w:rPr>
        <w:t>are ‘submitted’</w:t>
      </w:r>
      <w:r w:rsidR="00F6100E">
        <w:rPr>
          <w:color w:val="auto"/>
        </w:rPr>
        <w:t xml:space="preserve"> on the Portal</w:t>
      </w:r>
      <w:r w:rsidRPr="00A32C78">
        <w:rPr>
          <w:color w:val="auto"/>
        </w:rPr>
        <w:t xml:space="preserve"> when complete because they will not be visible to the Authority if not</w:t>
      </w:r>
    </w:p>
    <w:p w14:paraId="249B252D" w14:textId="1852072F" w:rsidR="00786D8E" w:rsidRPr="00A32C78" w:rsidRDefault="00786D8E" w:rsidP="002840CF">
      <w:pPr>
        <w:pStyle w:val="BodyText1"/>
        <w:numPr>
          <w:ilvl w:val="1"/>
          <w:numId w:val="4"/>
        </w:numPr>
        <w:rPr>
          <w:color w:val="auto"/>
        </w:rPr>
      </w:pPr>
      <w:r w:rsidRPr="00A32C78">
        <w:rPr>
          <w:color w:val="auto"/>
          <w:u w:val="single"/>
        </w:rPr>
        <w:t>allow sufficient time to submit their Tender</w:t>
      </w:r>
      <w:r w:rsidR="00F6100E">
        <w:rPr>
          <w:color w:val="auto"/>
          <w:u w:val="single"/>
        </w:rPr>
        <w:t xml:space="preserve"> and PSQ Response</w:t>
      </w:r>
      <w:r w:rsidRPr="00A32C78">
        <w:rPr>
          <w:color w:val="auto"/>
          <w:u w:val="single"/>
        </w:rPr>
        <w:t>, allowing time for a final check to be undertaken prior to the submission deadlin</w:t>
      </w:r>
      <w:r w:rsidR="00114A07" w:rsidRPr="00A32C78">
        <w:rPr>
          <w:color w:val="auto"/>
          <w:u w:val="single"/>
        </w:rPr>
        <w:t xml:space="preserve">e because it will not be possible to upload further information afterwards. IT problems with </w:t>
      </w:r>
      <w:r w:rsidR="00CE1259">
        <w:rPr>
          <w:color w:val="auto"/>
          <w:u w:val="single"/>
        </w:rPr>
        <w:t>a</w:t>
      </w:r>
      <w:r w:rsidR="00CE1259" w:rsidRPr="00A32C78">
        <w:rPr>
          <w:color w:val="auto"/>
          <w:u w:val="single"/>
        </w:rPr>
        <w:t xml:space="preserve"> </w:t>
      </w:r>
      <w:r w:rsidR="00114A07" w:rsidRPr="00A32C78">
        <w:rPr>
          <w:color w:val="auto"/>
          <w:u w:val="single"/>
        </w:rPr>
        <w:t>Supplier</w:t>
      </w:r>
      <w:r w:rsidR="00CE1259">
        <w:rPr>
          <w:color w:val="auto"/>
          <w:u w:val="single"/>
        </w:rPr>
        <w:t>’</w:t>
      </w:r>
      <w:r w:rsidR="00114A07" w:rsidRPr="00A32C78">
        <w:rPr>
          <w:color w:val="auto"/>
          <w:u w:val="single"/>
        </w:rPr>
        <w:t>s systems will not be considered reasonable grounds for late submission</w:t>
      </w:r>
    </w:p>
    <w:p w14:paraId="4A2AE456" w14:textId="0D967386" w:rsidR="00114A07" w:rsidRPr="005A5795" w:rsidRDefault="00745B5D" w:rsidP="002840CF">
      <w:pPr>
        <w:pStyle w:val="BodyText1"/>
        <w:numPr>
          <w:ilvl w:val="1"/>
          <w:numId w:val="4"/>
        </w:numPr>
        <w:rPr>
          <w:color w:val="auto"/>
        </w:rPr>
      </w:pPr>
      <w:r w:rsidRPr="005A5795">
        <w:rPr>
          <w:color w:val="auto"/>
        </w:rPr>
        <w:lastRenderedPageBreak/>
        <w:t xml:space="preserve">note that they may submit, modify and resubmit </w:t>
      </w:r>
      <w:r w:rsidR="00CE1259" w:rsidRPr="005A5795">
        <w:rPr>
          <w:color w:val="auto"/>
        </w:rPr>
        <w:t xml:space="preserve">a </w:t>
      </w:r>
      <w:r w:rsidRPr="005A5795">
        <w:rPr>
          <w:color w:val="auto"/>
        </w:rPr>
        <w:t>Tender</w:t>
      </w:r>
      <w:r w:rsidR="00F6100E" w:rsidRPr="005A5795">
        <w:rPr>
          <w:color w:val="auto"/>
        </w:rPr>
        <w:t xml:space="preserve"> and/or PSQ Response</w:t>
      </w:r>
      <w:r w:rsidRPr="005A5795">
        <w:rPr>
          <w:color w:val="auto"/>
        </w:rPr>
        <w:t xml:space="preserve"> </w:t>
      </w:r>
      <w:r w:rsidR="00CE1259" w:rsidRPr="005A5795">
        <w:rPr>
          <w:color w:val="auto"/>
        </w:rPr>
        <w:t xml:space="preserve">through </w:t>
      </w:r>
      <w:r w:rsidRPr="005A5795">
        <w:rPr>
          <w:color w:val="auto"/>
        </w:rPr>
        <w:t xml:space="preserve">the Portal at any time prior to the submission deadline but </w:t>
      </w:r>
      <w:r w:rsidR="00CE1259" w:rsidRPr="005A5795">
        <w:rPr>
          <w:color w:val="auto"/>
        </w:rPr>
        <w:t xml:space="preserve">the </w:t>
      </w:r>
      <w:r w:rsidR="00F6100E" w:rsidRPr="005A5795">
        <w:rPr>
          <w:color w:val="auto"/>
        </w:rPr>
        <w:t xml:space="preserve">Supplier’s </w:t>
      </w:r>
      <w:r w:rsidRPr="005A5795">
        <w:rPr>
          <w:color w:val="auto"/>
        </w:rPr>
        <w:t>Tender</w:t>
      </w:r>
      <w:r w:rsidR="00F6100E" w:rsidRPr="005A5795">
        <w:rPr>
          <w:color w:val="auto"/>
        </w:rPr>
        <w:t xml:space="preserve"> and PSQ Response</w:t>
      </w:r>
      <w:r w:rsidRPr="005A5795">
        <w:rPr>
          <w:color w:val="auto"/>
        </w:rPr>
        <w:t xml:space="preserve"> cannot be modified after the submission deadline.</w:t>
      </w:r>
    </w:p>
    <w:p w14:paraId="3482423F" w14:textId="1422BB39" w:rsidR="004C1956" w:rsidRDefault="004C1956" w:rsidP="002840CF">
      <w:pPr>
        <w:pStyle w:val="BodyText1"/>
        <w:numPr>
          <w:ilvl w:val="0"/>
          <w:numId w:val="4"/>
        </w:numPr>
      </w:pPr>
      <w:r>
        <w:t>Unless otherwise stated in this document</w:t>
      </w:r>
      <w:r w:rsidR="002C64AD">
        <w:t xml:space="preserve"> or in writing by the Authority, all communications between the Authority and Suppliers (including </w:t>
      </w:r>
      <w:r w:rsidR="00865B88">
        <w:t xml:space="preserve">their sub-contractors, consultants and advisers) during the </w:t>
      </w:r>
      <w:r w:rsidR="00CE1259">
        <w:t xml:space="preserve">Procurement </w:t>
      </w:r>
      <w:r w:rsidR="00865B88">
        <w:t xml:space="preserve">must be made </w:t>
      </w:r>
      <w:r w:rsidR="007E00DB">
        <w:t>via the Portal. The Authority will not respond to communications by other means and Suppliers should not rely on communications from the Authority unless they are made through the Portal.</w:t>
      </w:r>
    </w:p>
    <w:p w14:paraId="6164B69F" w14:textId="13753A60" w:rsidR="007E00DB" w:rsidRDefault="007E00DB" w:rsidP="002840CF">
      <w:pPr>
        <w:pStyle w:val="BodyText1"/>
        <w:numPr>
          <w:ilvl w:val="0"/>
          <w:numId w:val="4"/>
        </w:numPr>
      </w:pPr>
      <w:r>
        <w:t>Suppliers must provide full contact details of a person whom the Authority may contact</w:t>
      </w:r>
      <w:r w:rsidR="004F50FC">
        <w:t xml:space="preserve"> in relation to this Procurement. This person should be able to answer questions regarding the Tender</w:t>
      </w:r>
      <w:r w:rsidR="00F6100E">
        <w:t xml:space="preserve"> and PSQ Response</w:t>
      </w:r>
      <w:r w:rsidR="004F50FC">
        <w:t xml:space="preserve"> and act on behalf of the Supplier.</w:t>
      </w:r>
    </w:p>
    <w:p w14:paraId="26301A1C" w14:textId="10AA8689" w:rsidR="00643922" w:rsidRPr="00DC4286" w:rsidRDefault="00643922" w:rsidP="002840CF">
      <w:pPr>
        <w:pStyle w:val="BodyText1"/>
        <w:numPr>
          <w:ilvl w:val="0"/>
          <w:numId w:val="4"/>
        </w:numPr>
      </w:pPr>
      <w:r w:rsidRPr="00DC4286">
        <w:t>Where a Consortium</w:t>
      </w:r>
      <w:r w:rsidR="00902DCD" w:rsidRPr="00DC4286">
        <w:t xml:space="preserve"> is submitting a Tender</w:t>
      </w:r>
      <w:r w:rsidR="00B04D09" w:rsidRPr="00DC4286">
        <w:t>, one of the organisations must be nominated as the lead supplier (the ‘lead supplier’) responsible for coordinating submission of the Consortium</w:t>
      </w:r>
      <w:r w:rsidR="00A3444F" w:rsidRPr="00DC4286">
        <w:t xml:space="preserve">’s Tender </w:t>
      </w:r>
      <w:r w:rsidR="00F6100E">
        <w:t>and PSQ R</w:t>
      </w:r>
      <w:r w:rsidR="00A3444F" w:rsidRPr="00DC4286">
        <w:t>esponse and corresponding with the Authority.</w:t>
      </w:r>
      <w:r w:rsidR="001E3C67" w:rsidRPr="00DC4286">
        <w:t xml:space="preserve"> </w:t>
      </w:r>
    </w:p>
    <w:p w14:paraId="161787F1" w14:textId="3D4FE9F9" w:rsidR="00A3444F" w:rsidRDefault="00A3444F" w:rsidP="002840CF">
      <w:pPr>
        <w:pStyle w:val="BodyText1"/>
        <w:numPr>
          <w:ilvl w:val="0"/>
          <w:numId w:val="4"/>
        </w:numPr>
      </w:pPr>
      <w:r>
        <w:t>All Tenders</w:t>
      </w:r>
      <w:r w:rsidR="00F6100E">
        <w:t xml:space="preserve"> and PSQ Responses</w:t>
      </w:r>
      <w:r>
        <w:t xml:space="preserve"> must be received by the Authority by the submission deadline shown in the Procurement Timetable</w:t>
      </w:r>
      <w:r w:rsidR="00FE06B5">
        <w:t>.</w:t>
      </w:r>
    </w:p>
    <w:p w14:paraId="61C8DCCD" w14:textId="5C202C03" w:rsidR="00FE06B5" w:rsidRDefault="00FE06B5" w:rsidP="002840CF">
      <w:pPr>
        <w:pStyle w:val="BodyText1"/>
        <w:numPr>
          <w:ilvl w:val="0"/>
          <w:numId w:val="4"/>
        </w:numPr>
      </w:pPr>
      <w:r>
        <w:t>Tender</w:t>
      </w:r>
      <w:r w:rsidR="00F6100E">
        <w:t>s and PSQ</w:t>
      </w:r>
      <w:r>
        <w:t xml:space="preserve"> </w:t>
      </w:r>
      <w:r w:rsidR="00F6100E">
        <w:t>R</w:t>
      </w:r>
      <w:r>
        <w:t xml:space="preserve">esponses received after the submission deadline will usually be rejected by the Authority. The decision whether to reject a Tender </w:t>
      </w:r>
      <w:r w:rsidR="00F6100E">
        <w:t>or PSQ R</w:t>
      </w:r>
      <w:r>
        <w:t>esponse received after the deadline</w:t>
      </w:r>
      <w:r w:rsidR="00FE2974">
        <w:t xml:space="preserve"> is entirely at the Authority’s discretion.</w:t>
      </w:r>
    </w:p>
    <w:p w14:paraId="6ACF7F4B" w14:textId="00D7A854" w:rsidR="00FE2974" w:rsidRPr="00DC4286" w:rsidRDefault="524E3046" w:rsidP="002840CF">
      <w:pPr>
        <w:pStyle w:val="BodyText1"/>
        <w:numPr>
          <w:ilvl w:val="0"/>
          <w:numId w:val="4"/>
        </w:numPr>
        <w:rPr>
          <w:rStyle w:val="Hyperlink"/>
          <w:color w:val="FF0000"/>
        </w:rPr>
      </w:pPr>
      <w:r w:rsidRPr="00C202A2">
        <w:rPr>
          <w:color w:val="auto"/>
        </w:rPr>
        <w:t xml:space="preserve">Any queries regarding the Portal should be sent to the </w:t>
      </w:r>
      <w:proofErr w:type="spellStart"/>
      <w:r w:rsidR="00D53C0C">
        <w:rPr>
          <w:color w:val="auto"/>
        </w:rPr>
        <w:t>eSenders</w:t>
      </w:r>
      <w:proofErr w:type="spellEnd"/>
      <w:r w:rsidR="00D53C0C">
        <w:rPr>
          <w:color w:val="auto"/>
        </w:rPr>
        <w:t xml:space="preserve"> </w:t>
      </w:r>
      <w:r w:rsidRPr="00C202A2">
        <w:rPr>
          <w:color w:val="auto"/>
        </w:rPr>
        <w:t>Central Support Team (Mon – Fri 08:30 -1</w:t>
      </w:r>
      <w:r w:rsidR="002F059D" w:rsidRPr="00C202A2">
        <w:rPr>
          <w:color w:val="auto"/>
        </w:rPr>
        <w:t>8</w:t>
      </w:r>
      <w:r w:rsidRPr="00C202A2">
        <w:rPr>
          <w:color w:val="auto"/>
        </w:rPr>
        <w:t xml:space="preserve">:00) by calling </w:t>
      </w:r>
      <w:r w:rsidR="002F059D" w:rsidRPr="00C202A2">
        <w:rPr>
          <w:color w:val="auto"/>
        </w:rPr>
        <w:t>08000 988 201</w:t>
      </w:r>
      <w:r w:rsidRPr="00C202A2">
        <w:rPr>
          <w:color w:val="auto"/>
        </w:rPr>
        <w:t>or by emailing</w:t>
      </w:r>
      <w:r w:rsidR="22C55658" w:rsidRPr="00C202A2">
        <w:rPr>
          <w:color w:val="auto"/>
        </w:rPr>
        <w:t xml:space="preserve">: </w:t>
      </w:r>
      <w:r w:rsidR="00C202A2" w:rsidRPr="00C202A2">
        <w:rPr>
          <w:color w:val="auto"/>
        </w:rPr>
        <w:t> </w:t>
      </w:r>
      <w:hyperlink r:id="rId28" w:tooltip="Send an e-mail to eTendering Helpdesk info" w:history="1">
        <w:r w:rsidR="00C202A2" w:rsidRPr="00C202A2">
          <w:rPr>
            <w:rStyle w:val="Hyperlink"/>
          </w:rPr>
          <w:t>support-health@atamis.co.uk</w:t>
        </w:r>
      </w:hyperlink>
    </w:p>
    <w:p w14:paraId="011E6FC6" w14:textId="26AC7E98" w:rsidR="001E4C66" w:rsidRPr="00565CA0" w:rsidRDefault="001E4C66" w:rsidP="001E4C66">
      <w:pPr>
        <w:pStyle w:val="BodyText1"/>
        <w:ind w:left="360"/>
        <w:rPr>
          <w:b/>
          <w:bCs/>
          <w:color w:val="auto"/>
        </w:rPr>
      </w:pPr>
      <w:r w:rsidRPr="00565CA0">
        <w:rPr>
          <w:b/>
          <w:bCs/>
          <w:color w:val="auto"/>
        </w:rPr>
        <w:t>Inputting Information into the Portal</w:t>
      </w:r>
    </w:p>
    <w:p w14:paraId="2AD3BD51" w14:textId="31B5EDE7" w:rsidR="005A36B3" w:rsidRPr="00565CA0" w:rsidRDefault="004C691F" w:rsidP="002840CF">
      <w:pPr>
        <w:pStyle w:val="BodyText1"/>
        <w:numPr>
          <w:ilvl w:val="0"/>
          <w:numId w:val="4"/>
        </w:numPr>
        <w:rPr>
          <w:color w:val="auto"/>
        </w:rPr>
      </w:pPr>
      <w:r w:rsidRPr="00565CA0">
        <w:rPr>
          <w:color w:val="auto"/>
        </w:rPr>
        <w:t>Suppliers are required to complete</w:t>
      </w:r>
      <w:r w:rsidR="005A36B3" w:rsidRPr="00565CA0">
        <w:rPr>
          <w:color w:val="auto"/>
        </w:rPr>
        <w:t xml:space="preserve"> 3 “envelopes” </w:t>
      </w:r>
      <w:r w:rsidR="00565CA0" w:rsidRPr="007A2AAF">
        <w:rPr>
          <w:color w:val="auto"/>
        </w:rPr>
        <w:t>as well as the Procurement Specific Questionnaire (PSQ)</w:t>
      </w:r>
      <w:r w:rsidR="00565CA0" w:rsidRPr="00565CA0">
        <w:rPr>
          <w:color w:val="auto"/>
        </w:rPr>
        <w:t xml:space="preserve"> </w:t>
      </w:r>
      <w:r w:rsidR="005A36B3" w:rsidRPr="00565CA0">
        <w:rPr>
          <w:color w:val="auto"/>
        </w:rPr>
        <w:t xml:space="preserve">which will contain all the information the Authority requires to </w:t>
      </w:r>
      <w:r w:rsidRPr="00565CA0">
        <w:rPr>
          <w:color w:val="auto"/>
        </w:rPr>
        <w:t xml:space="preserve">assess whether Suppliers will be permitted to participate in this Procurement and to </w:t>
      </w:r>
      <w:r w:rsidR="005A36B3" w:rsidRPr="00565CA0">
        <w:rPr>
          <w:color w:val="auto"/>
        </w:rPr>
        <w:t xml:space="preserve">evaluate the Tenders. All information </w:t>
      </w:r>
      <w:r w:rsidRPr="00565CA0">
        <w:rPr>
          <w:color w:val="auto"/>
        </w:rPr>
        <w:t xml:space="preserve">must </w:t>
      </w:r>
      <w:r w:rsidR="005A36B3" w:rsidRPr="00565CA0">
        <w:rPr>
          <w:color w:val="auto"/>
        </w:rPr>
        <w:t>be uploaded in accordance with the instructions in the relevant envelopes on</w:t>
      </w:r>
      <w:r w:rsidRPr="00565CA0">
        <w:rPr>
          <w:color w:val="auto"/>
        </w:rPr>
        <w:t xml:space="preserve"> the Portal</w:t>
      </w:r>
      <w:r w:rsidR="005A36B3" w:rsidRPr="00565CA0">
        <w:rPr>
          <w:color w:val="auto"/>
        </w:rPr>
        <w:t>.</w:t>
      </w:r>
    </w:p>
    <w:p w14:paraId="1642AAA0" w14:textId="77777777" w:rsidR="008D32C8" w:rsidRPr="00565CA0" w:rsidRDefault="005A36B3" w:rsidP="002840CF">
      <w:pPr>
        <w:pStyle w:val="BodyText1"/>
        <w:numPr>
          <w:ilvl w:val="0"/>
          <w:numId w:val="4"/>
        </w:numPr>
        <w:rPr>
          <w:color w:val="auto"/>
        </w:rPr>
      </w:pPr>
      <w:r w:rsidRPr="00565CA0">
        <w:rPr>
          <w:color w:val="auto"/>
        </w:rPr>
        <w:t>The envelopes are:</w:t>
      </w:r>
    </w:p>
    <w:p w14:paraId="301ECE97" w14:textId="147EAF5C" w:rsidR="008D32C8" w:rsidRPr="00565CA0" w:rsidRDefault="005A36B3" w:rsidP="002840CF">
      <w:pPr>
        <w:pStyle w:val="BodyText1"/>
        <w:numPr>
          <w:ilvl w:val="1"/>
          <w:numId w:val="4"/>
        </w:numPr>
        <w:rPr>
          <w:color w:val="auto"/>
        </w:rPr>
      </w:pPr>
      <w:r w:rsidRPr="00565CA0">
        <w:rPr>
          <w:color w:val="auto"/>
        </w:rPr>
        <w:t xml:space="preserve">the Qualification Envelope – </w:t>
      </w:r>
      <w:r w:rsidR="004C691F" w:rsidRPr="00565CA0">
        <w:rPr>
          <w:color w:val="auto"/>
        </w:rPr>
        <w:t xml:space="preserve">this </w:t>
      </w:r>
      <w:r w:rsidR="007B322F" w:rsidRPr="00565CA0">
        <w:rPr>
          <w:color w:val="auto"/>
        </w:rPr>
        <w:t>contains</w:t>
      </w:r>
      <w:r w:rsidR="004C691F" w:rsidRPr="00565CA0">
        <w:rPr>
          <w:color w:val="auto"/>
        </w:rPr>
        <w:t xml:space="preserve"> the </w:t>
      </w:r>
      <w:r w:rsidR="00886247" w:rsidRPr="00565CA0">
        <w:rPr>
          <w:color w:val="auto"/>
        </w:rPr>
        <w:t>p</w:t>
      </w:r>
      <w:r w:rsidR="004C691F" w:rsidRPr="00565CA0">
        <w:rPr>
          <w:color w:val="auto"/>
        </w:rPr>
        <w:t xml:space="preserve">rocurement </w:t>
      </w:r>
      <w:r w:rsidR="00886247" w:rsidRPr="00565CA0">
        <w:rPr>
          <w:color w:val="auto"/>
        </w:rPr>
        <w:t>s</w:t>
      </w:r>
      <w:r w:rsidR="004C691F" w:rsidRPr="00565CA0">
        <w:rPr>
          <w:color w:val="auto"/>
        </w:rPr>
        <w:t xml:space="preserve">pecific </w:t>
      </w:r>
      <w:r w:rsidR="00886247" w:rsidRPr="00565CA0">
        <w:rPr>
          <w:color w:val="auto"/>
        </w:rPr>
        <w:t>q</w:t>
      </w:r>
      <w:r w:rsidR="004C691F" w:rsidRPr="00565CA0">
        <w:rPr>
          <w:color w:val="auto"/>
        </w:rPr>
        <w:t xml:space="preserve">uestionnaire </w:t>
      </w:r>
      <w:r w:rsidRPr="00565CA0">
        <w:rPr>
          <w:color w:val="auto"/>
        </w:rPr>
        <w:t xml:space="preserve">used for gathering information to qualify </w:t>
      </w:r>
      <w:r w:rsidR="008D32C8" w:rsidRPr="00565CA0">
        <w:rPr>
          <w:color w:val="auto"/>
        </w:rPr>
        <w:t>Suppliers</w:t>
      </w:r>
      <w:r w:rsidRPr="00565CA0">
        <w:rPr>
          <w:color w:val="auto"/>
        </w:rPr>
        <w:t xml:space="preserve"> for further evaluation</w:t>
      </w:r>
    </w:p>
    <w:p w14:paraId="452CFD6A" w14:textId="77777777" w:rsidR="008D32C8" w:rsidRPr="00565CA0" w:rsidRDefault="005A36B3" w:rsidP="002840CF">
      <w:pPr>
        <w:pStyle w:val="BodyText1"/>
        <w:numPr>
          <w:ilvl w:val="1"/>
          <w:numId w:val="4"/>
        </w:numPr>
        <w:rPr>
          <w:color w:val="auto"/>
        </w:rPr>
      </w:pPr>
      <w:r w:rsidRPr="00565CA0">
        <w:rPr>
          <w:color w:val="auto"/>
        </w:rPr>
        <w:t>the Technical Envelope – used for evaluation of the technical aspects of the Tender; and</w:t>
      </w:r>
    </w:p>
    <w:p w14:paraId="5DE546EE" w14:textId="04CCF057" w:rsidR="00DD62D6" w:rsidRPr="00565CA0" w:rsidRDefault="005A36B3" w:rsidP="002840CF">
      <w:pPr>
        <w:pStyle w:val="BodyText1"/>
        <w:numPr>
          <w:ilvl w:val="1"/>
          <w:numId w:val="4"/>
        </w:numPr>
        <w:rPr>
          <w:color w:val="auto"/>
        </w:rPr>
      </w:pPr>
      <w:r w:rsidRPr="00565CA0">
        <w:rPr>
          <w:color w:val="auto"/>
        </w:rPr>
        <w:t>the Commercial Envelope – used for evaluation of the financial aspects of the Tender.</w:t>
      </w:r>
    </w:p>
    <w:p w14:paraId="27FAE62D" w14:textId="512FF9E1" w:rsidR="001E5299" w:rsidRPr="000B700D" w:rsidRDefault="001E5299" w:rsidP="00565CA0">
      <w:pPr>
        <w:pStyle w:val="BodyText1"/>
        <w:ind w:left="1080"/>
        <w:rPr>
          <w:color w:val="FF0000"/>
          <w:highlight w:val="yellow"/>
        </w:rPr>
      </w:pPr>
    </w:p>
    <w:p w14:paraId="147DE752" w14:textId="7DFD404F" w:rsidR="006736E8" w:rsidRPr="001C3B79" w:rsidRDefault="006736E8" w:rsidP="002840CF">
      <w:pPr>
        <w:pStyle w:val="BodyText1"/>
        <w:numPr>
          <w:ilvl w:val="0"/>
          <w:numId w:val="4"/>
        </w:numPr>
        <w:rPr>
          <w:color w:val="auto"/>
        </w:rPr>
      </w:pPr>
      <w:r w:rsidRPr="001C3B79">
        <w:rPr>
          <w:color w:val="auto"/>
        </w:rPr>
        <w:lastRenderedPageBreak/>
        <w:t>Suppliers should answer questions in the same order as they appear on-screen. If supporting information is required, Supplier</w:t>
      </w:r>
      <w:r w:rsidR="00F161BD" w:rsidRPr="001C3B79">
        <w:rPr>
          <w:color w:val="auto"/>
        </w:rPr>
        <w:t>s</w:t>
      </w:r>
      <w:r w:rsidRPr="001C3B79">
        <w:rPr>
          <w:color w:val="auto"/>
        </w:rPr>
        <w:t xml:space="preserve"> should use the following naming convention and refer to the attachment in their response (where possible):</w:t>
      </w:r>
      <w:r w:rsidR="00F161BD" w:rsidRPr="001C3B79">
        <w:rPr>
          <w:color w:val="auto"/>
        </w:rPr>
        <w:t xml:space="preserve"> [Supplier</w:t>
      </w:r>
      <w:r w:rsidR="004C691F" w:rsidRPr="001C3B79">
        <w:rPr>
          <w:color w:val="auto"/>
        </w:rPr>
        <w:t>’s</w:t>
      </w:r>
      <w:r w:rsidR="00F161BD" w:rsidRPr="001C3B79">
        <w:rPr>
          <w:color w:val="auto"/>
        </w:rPr>
        <w:t xml:space="preserve"> Name] – [ITT Question Number]</w:t>
      </w:r>
    </w:p>
    <w:p w14:paraId="2CE88A0E" w14:textId="77777777" w:rsidR="00456642" w:rsidRPr="00C21309" w:rsidRDefault="003D187C" w:rsidP="002840CF">
      <w:pPr>
        <w:pStyle w:val="ListParagraph"/>
        <w:numPr>
          <w:ilvl w:val="0"/>
          <w:numId w:val="4"/>
        </w:numPr>
        <w:spacing w:after="120"/>
        <w:jc w:val="both"/>
        <w:rPr>
          <w:rFonts w:cs="Arial"/>
          <w:szCs w:val="22"/>
        </w:rPr>
      </w:pPr>
      <w:r w:rsidRPr="00C21309">
        <w:rPr>
          <w:rFonts w:cs="Arial"/>
          <w:szCs w:val="22"/>
        </w:rPr>
        <w:t>Suppliers must comply with the word and/or page count limits specified in the evaluation questions. If a response exceeds the specified limit only the information within the limit will be evaluated.</w:t>
      </w:r>
    </w:p>
    <w:p w14:paraId="53C354C6" w14:textId="77777777" w:rsidR="00456642" w:rsidRPr="00C21309" w:rsidRDefault="00456642" w:rsidP="00456642">
      <w:pPr>
        <w:pStyle w:val="ListParagraph"/>
        <w:spacing w:after="120"/>
        <w:jc w:val="both"/>
        <w:rPr>
          <w:rFonts w:cs="Arial"/>
          <w:szCs w:val="22"/>
        </w:rPr>
      </w:pPr>
    </w:p>
    <w:p w14:paraId="4116D7E3" w14:textId="77777777" w:rsidR="000A2840" w:rsidRPr="00C21309" w:rsidRDefault="00AB5588" w:rsidP="002840CF">
      <w:pPr>
        <w:pStyle w:val="ListParagraph"/>
        <w:numPr>
          <w:ilvl w:val="0"/>
          <w:numId w:val="4"/>
        </w:numPr>
        <w:spacing w:after="120"/>
        <w:jc w:val="both"/>
        <w:rPr>
          <w:rFonts w:cs="Arial"/>
          <w:szCs w:val="22"/>
        </w:rPr>
      </w:pPr>
      <w:r w:rsidRPr="00C21309">
        <w:rPr>
          <w:szCs w:val="22"/>
        </w:rPr>
        <w:t>Supplier</w:t>
      </w:r>
      <w:r w:rsidR="003D187C" w:rsidRPr="00C21309">
        <w:rPr>
          <w:szCs w:val="22"/>
        </w:rPr>
        <w:t>s must:</w:t>
      </w:r>
    </w:p>
    <w:p w14:paraId="2464F051" w14:textId="77777777" w:rsidR="000A2840" w:rsidRPr="00C21309" w:rsidRDefault="000A2840" w:rsidP="000A2840">
      <w:pPr>
        <w:pStyle w:val="ListParagraph"/>
        <w:rPr>
          <w:rFonts w:cs="Arial"/>
          <w:szCs w:val="22"/>
        </w:rPr>
      </w:pPr>
    </w:p>
    <w:p w14:paraId="09EDCB7F" w14:textId="42B9B478" w:rsidR="00BE5CDE" w:rsidRPr="00C21309" w:rsidRDefault="00AB5588" w:rsidP="002840CF">
      <w:pPr>
        <w:pStyle w:val="ListParagraph"/>
        <w:numPr>
          <w:ilvl w:val="1"/>
          <w:numId w:val="4"/>
        </w:numPr>
        <w:spacing w:after="120"/>
        <w:jc w:val="both"/>
        <w:rPr>
          <w:rFonts w:cs="Arial"/>
          <w:szCs w:val="22"/>
        </w:rPr>
      </w:pPr>
      <w:r w:rsidRPr="00C21309">
        <w:rPr>
          <w:rFonts w:cs="Arial"/>
          <w:szCs w:val="22"/>
        </w:rPr>
        <w:t xml:space="preserve">Ensure that any attachments submitted to support responses are created </w:t>
      </w:r>
      <w:r w:rsidR="004C691F" w:rsidRPr="00C21309">
        <w:rPr>
          <w:rFonts w:cs="Arial"/>
          <w:szCs w:val="22"/>
        </w:rPr>
        <w:t xml:space="preserve">using </w:t>
      </w:r>
      <w:r w:rsidR="000A2840" w:rsidRPr="00C21309">
        <w:rPr>
          <w:szCs w:val="22"/>
          <w:lang w:val="en-US"/>
        </w:rPr>
        <w:t>Microsoft (MS) applications that can be read on MS Office Standard Edition 2003 for MS Word, MS Project, MS PowerPoint and VISIO or are in Adobe Reader 9.0</w:t>
      </w:r>
    </w:p>
    <w:p w14:paraId="50745350" w14:textId="19116ECC" w:rsidR="00BA4766" w:rsidRPr="00C21309" w:rsidRDefault="00BA4766" w:rsidP="002840CF">
      <w:pPr>
        <w:pStyle w:val="ListParagraph"/>
        <w:numPr>
          <w:ilvl w:val="1"/>
          <w:numId w:val="4"/>
        </w:numPr>
        <w:spacing w:after="120"/>
        <w:jc w:val="both"/>
        <w:rPr>
          <w:rFonts w:cs="Arial"/>
          <w:szCs w:val="22"/>
        </w:rPr>
      </w:pPr>
      <w:r w:rsidRPr="00C21309">
        <w:rPr>
          <w:rFonts w:cs="Arial"/>
          <w:szCs w:val="22"/>
        </w:rPr>
        <w:t>ensure that any attachments created in MS Excel to support their Tender are submitted in MS Excel Version 2003 format only</w:t>
      </w:r>
    </w:p>
    <w:p w14:paraId="0A742537" w14:textId="77991327" w:rsidR="00BA4766" w:rsidRPr="00C21309" w:rsidRDefault="00BA4766" w:rsidP="002840CF">
      <w:pPr>
        <w:pStyle w:val="ListParagraph"/>
        <w:numPr>
          <w:ilvl w:val="1"/>
          <w:numId w:val="4"/>
        </w:numPr>
        <w:spacing w:after="120"/>
        <w:jc w:val="both"/>
        <w:rPr>
          <w:rFonts w:cs="Arial"/>
          <w:szCs w:val="22"/>
        </w:rPr>
      </w:pPr>
      <w:r w:rsidRPr="00C21309">
        <w:rPr>
          <w:rFonts w:cs="Arial"/>
          <w:szCs w:val="22"/>
        </w:rPr>
        <w:t xml:space="preserve">ensure that each attachment has an appropriate heading that follows the naming convention set out in paragraph </w:t>
      </w:r>
      <w:r w:rsidR="00F6100E" w:rsidRPr="00C21309">
        <w:rPr>
          <w:rFonts w:cs="Arial"/>
          <w:szCs w:val="22"/>
        </w:rPr>
        <w:t>81</w:t>
      </w:r>
      <w:r w:rsidRPr="00C21309">
        <w:rPr>
          <w:rFonts w:cs="Arial"/>
          <w:szCs w:val="22"/>
        </w:rPr>
        <w:t xml:space="preserve"> and clearly identifies the question to which it relates </w:t>
      </w:r>
    </w:p>
    <w:p w14:paraId="3F6A1522" w14:textId="4680B422" w:rsidR="00AE1B20" w:rsidRPr="00C21309" w:rsidRDefault="006C10EB" w:rsidP="002840CF">
      <w:pPr>
        <w:pStyle w:val="ListParagraph"/>
        <w:numPr>
          <w:ilvl w:val="1"/>
          <w:numId w:val="4"/>
        </w:numPr>
        <w:spacing w:after="120"/>
        <w:jc w:val="both"/>
        <w:rPr>
          <w:rFonts w:cs="Arial"/>
          <w:szCs w:val="22"/>
        </w:rPr>
      </w:pPr>
      <w:r w:rsidRPr="00C21309">
        <w:rPr>
          <w:rFonts w:cs="Arial"/>
          <w:szCs w:val="22"/>
        </w:rPr>
        <w:t xml:space="preserve">use Arial font size 12, in black typeface including where information is tabulated, </w:t>
      </w:r>
      <w:r w:rsidR="0009585E" w:rsidRPr="00C21309">
        <w:rPr>
          <w:rFonts w:cs="Arial"/>
          <w:szCs w:val="22"/>
        </w:rPr>
        <w:t xml:space="preserve">except in illustrative screen shots, graphs and charts. Any text must still be legible when the document is </w:t>
      </w:r>
      <w:r w:rsidR="004C691F" w:rsidRPr="00C21309">
        <w:rPr>
          <w:rFonts w:cs="Arial"/>
          <w:szCs w:val="22"/>
        </w:rPr>
        <w:t xml:space="preserve">viewed </w:t>
      </w:r>
      <w:r w:rsidR="0009585E" w:rsidRPr="00C21309">
        <w:rPr>
          <w:rFonts w:cs="Arial"/>
          <w:szCs w:val="22"/>
        </w:rPr>
        <w:t>at 100%</w:t>
      </w:r>
    </w:p>
    <w:p w14:paraId="183B0AE2" w14:textId="43D5C5BC" w:rsidR="00BA4766" w:rsidRPr="00C21309" w:rsidRDefault="00BA4766" w:rsidP="002840CF">
      <w:pPr>
        <w:pStyle w:val="ListParagraph"/>
        <w:numPr>
          <w:ilvl w:val="1"/>
          <w:numId w:val="4"/>
        </w:numPr>
        <w:spacing w:after="120"/>
        <w:jc w:val="both"/>
        <w:rPr>
          <w:rFonts w:cs="Arial"/>
          <w:szCs w:val="22"/>
        </w:rPr>
      </w:pPr>
      <w:r w:rsidRPr="00C21309">
        <w:rPr>
          <w:rFonts w:cs="Arial"/>
          <w:szCs w:val="22"/>
        </w:rPr>
        <w:t>follow the onscreen instructions on</w:t>
      </w:r>
      <w:r w:rsidR="003F7F7F" w:rsidRPr="00C21309">
        <w:rPr>
          <w:rFonts w:cs="Arial"/>
          <w:szCs w:val="22"/>
        </w:rPr>
        <w:t xml:space="preserve"> </w:t>
      </w:r>
      <w:r w:rsidR="004C691F" w:rsidRPr="00C21309">
        <w:rPr>
          <w:rFonts w:cs="Arial"/>
          <w:szCs w:val="22"/>
        </w:rPr>
        <w:t>the Portal</w:t>
      </w:r>
      <w:r w:rsidRPr="00C21309">
        <w:rPr>
          <w:rFonts w:cs="Arial"/>
          <w:szCs w:val="22"/>
        </w:rPr>
        <w:t xml:space="preserve"> to submit the electronic copies of completed questions</w:t>
      </w:r>
      <w:r w:rsidR="00AE1B20" w:rsidRPr="00C21309">
        <w:rPr>
          <w:rFonts w:cs="Arial"/>
          <w:szCs w:val="22"/>
        </w:rPr>
        <w:t>;</w:t>
      </w:r>
      <w:r w:rsidRPr="00C21309">
        <w:rPr>
          <w:rFonts w:cs="Arial"/>
          <w:szCs w:val="22"/>
        </w:rPr>
        <w:t xml:space="preserve"> and</w:t>
      </w:r>
    </w:p>
    <w:p w14:paraId="55639752" w14:textId="30E53F88" w:rsidR="003D187C" w:rsidRPr="00C21309" w:rsidRDefault="00BA4766" w:rsidP="002840CF">
      <w:pPr>
        <w:pStyle w:val="ListParagraph"/>
        <w:numPr>
          <w:ilvl w:val="1"/>
          <w:numId w:val="4"/>
        </w:numPr>
        <w:spacing w:after="120"/>
        <w:jc w:val="both"/>
        <w:rPr>
          <w:rFonts w:cs="Arial"/>
          <w:szCs w:val="22"/>
        </w:rPr>
      </w:pPr>
      <w:r w:rsidRPr="00C21309">
        <w:rPr>
          <w:rFonts w:cs="Arial"/>
          <w:szCs w:val="22"/>
        </w:rPr>
        <w:t>in the absence of an express requirement or express prohibition regarding the nature o</w:t>
      </w:r>
      <w:r w:rsidRPr="007A2AAF">
        <w:rPr>
          <w:rFonts w:cs="Arial"/>
          <w:szCs w:val="22"/>
        </w:rPr>
        <w:t>f attachments, only attach graphs, pictures, tables and certificates and these must be clearly identified within the text response with the document reference.</w:t>
      </w:r>
      <w:r w:rsidR="00F1386D" w:rsidRPr="007A2AAF">
        <w:rPr>
          <w:rFonts w:cs="Arial"/>
          <w:szCs w:val="22"/>
        </w:rPr>
        <w:t xml:space="preserve"> </w:t>
      </w:r>
      <w:r w:rsidR="009505CD" w:rsidRPr="007A2AAF">
        <w:rPr>
          <w:rFonts w:cs="Arial"/>
          <w:szCs w:val="22"/>
        </w:rPr>
        <w:t>If attached separately they will not be evaluated.</w:t>
      </w:r>
      <w:r w:rsidR="00030DCE" w:rsidRPr="007A2AAF">
        <w:rPr>
          <w:rFonts w:cs="Arial"/>
          <w:szCs w:val="22"/>
        </w:rPr>
        <w:t xml:space="preserve"> </w:t>
      </w:r>
    </w:p>
    <w:p w14:paraId="04DF617A" w14:textId="77777777" w:rsidR="00AE0C5C" w:rsidRPr="00C11E3F" w:rsidRDefault="00AE0C5C" w:rsidP="00B86EFB">
      <w:pPr>
        <w:pStyle w:val="ListParagraph"/>
        <w:spacing w:after="120"/>
        <w:jc w:val="both"/>
        <w:rPr>
          <w:rFonts w:cs="Arial"/>
          <w:szCs w:val="22"/>
        </w:rPr>
      </w:pPr>
    </w:p>
    <w:p w14:paraId="669F4849" w14:textId="0F8E52E4" w:rsidR="00AE0C5C" w:rsidRPr="00C11E3F" w:rsidRDefault="00AE0C5C" w:rsidP="002840CF">
      <w:pPr>
        <w:pStyle w:val="ListParagraph"/>
        <w:numPr>
          <w:ilvl w:val="0"/>
          <w:numId w:val="4"/>
        </w:numPr>
        <w:spacing w:after="120"/>
        <w:jc w:val="both"/>
        <w:rPr>
          <w:rFonts w:cs="Arial"/>
        </w:rPr>
      </w:pPr>
      <w:r w:rsidRPr="00C11E3F">
        <w:rPr>
          <w:rFonts w:cs="Arial"/>
        </w:rPr>
        <w:t xml:space="preserve">Whilst the Portal allows for large individual </w:t>
      </w:r>
      <w:r w:rsidR="4D2287F2" w:rsidRPr="00C11E3F">
        <w:rPr>
          <w:rFonts w:cs="Arial"/>
        </w:rPr>
        <w:t>attachments</w:t>
      </w:r>
      <w:r w:rsidRPr="00C11E3F">
        <w:rPr>
          <w:rFonts w:cs="Arial"/>
        </w:rPr>
        <w:t xml:space="preserve"> sizes (max 50mb at a time), it is </w:t>
      </w:r>
      <w:r w:rsidR="00B96372" w:rsidRPr="00C11E3F">
        <w:rPr>
          <w:rFonts w:cs="Arial"/>
        </w:rPr>
        <w:t>recommended that attachments are kept to a manageable size to ensure ease and speed of access. Suppliers</w:t>
      </w:r>
      <w:r w:rsidR="00C11E3F">
        <w:rPr>
          <w:rFonts w:cs="Arial"/>
        </w:rPr>
        <w:t xml:space="preserve"> must</w:t>
      </w:r>
      <w:r w:rsidR="00B96372" w:rsidRPr="00C11E3F">
        <w:rPr>
          <w:rFonts w:cs="Arial"/>
        </w:rPr>
        <w:t xml:space="preserve"> only attach documents that the Authority has requested</w:t>
      </w:r>
      <w:r w:rsidR="00336EB3" w:rsidRPr="00C11E3F">
        <w:rPr>
          <w:rFonts w:cs="Arial"/>
        </w:rPr>
        <w:t xml:space="preserve"> and</w:t>
      </w:r>
      <w:r w:rsidR="00C11E3F">
        <w:rPr>
          <w:rFonts w:cs="Arial"/>
        </w:rPr>
        <w:t xml:space="preserve"> must</w:t>
      </w:r>
      <w:r w:rsidR="00336EB3" w:rsidRPr="00C11E3F">
        <w:rPr>
          <w:rFonts w:cs="Arial"/>
        </w:rPr>
        <w:t xml:space="preserve"> make sure that they are attached in the correct area.</w:t>
      </w:r>
    </w:p>
    <w:p w14:paraId="75AB4DE0" w14:textId="77777777" w:rsidR="00521D1D" w:rsidRPr="00C11E3F" w:rsidRDefault="00521D1D" w:rsidP="00B86EFB">
      <w:pPr>
        <w:pStyle w:val="ListParagraph"/>
        <w:spacing w:after="120"/>
        <w:jc w:val="both"/>
        <w:rPr>
          <w:rFonts w:cs="Arial"/>
          <w:szCs w:val="22"/>
        </w:rPr>
      </w:pPr>
    </w:p>
    <w:p w14:paraId="11939B6A" w14:textId="7A6B781F" w:rsidR="00521D1D" w:rsidRPr="00C11E3F" w:rsidRDefault="00521D1D" w:rsidP="002840CF">
      <w:pPr>
        <w:pStyle w:val="ListParagraph"/>
        <w:numPr>
          <w:ilvl w:val="0"/>
          <w:numId w:val="4"/>
        </w:numPr>
        <w:spacing w:after="120"/>
        <w:jc w:val="both"/>
        <w:rPr>
          <w:rFonts w:cs="Arial"/>
          <w:szCs w:val="22"/>
        </w:rPr>
      </w:pPr>
      <w:r w:rsidRPr="00C11E3F">
        <w:rPr>
          <w:rFonts w:cs="Arial"/>
          <w:szCs w:val="22"/>
        </w:rPr>
        <w:t xml:space="preserve">Where a question requires the upload of a document, that document must be completed in the format specified within the question. Files submitted in any other format will not be evaluated. </w:t>
      </w:r>
    </w:p>
    <w:p w14:paraId="66BDF0E5" w14:textId="77777777" w:rsidR="00521D1D" w:rsidRPr="00C11E3F" w:rsidRDefault="00521D1D" w:rsidP="00B86EFB">
      <w:pPr>
        <w:pStyle w:val="ListParagraph"/>
        <w:spacing w:after="120"/>
        <w:jc w:val="both"/>
        <w:rPr>
          <w:rFonts w:cs="Arial"/>
          <w:szCs w:val="22"/>
        </w:rPr>
      </w:pPr>
    </w:p>
    <w:p w14:paraId="1FCF74A8" w14:textId="1F783EC4" w:rsidR="00521D1D" w:rsidRPr="00C11E3F" w:rsidRDefault="00521D1D" w:rsidP="002840CF">
      <w:pPr>
        <w:pStyle w:val="ListParagraph"/>
        <w:numPr>
          <w:ilvl w:val="0"/>
          <w:numId w:val="4"/>
        </w:numPr>
        <w:spacing w:after="120"/>
        <w:jc w:val="both"/>
        <w:rPr>
          <w:rFonts w:cs="Arial"/>
          <w:szCs w:val="22"/>
        </w:rPr>
      </w:pPr>
      <w:r w:rsidRPr="00C11E3F">
        <w:rPr>
          <w:rFonts w:cs="Arial"/>
          <w:szCs w:val="22"/>
        </w:rPr>
        <w:t xml:space="preserve">Where applicable, responses must not exceed the pre-set margins and space allocation. </w:t>
      </w:r>
    </w:p>
    <w:p w14:paraId="74BB2759" w14:textId="77777777" w:rsidR="00521D1D" w:rsidRPr="00C11E3F" w:rsidRDefault="00521D1D" w:rsidP="00B86EFB">
      <w:pPr>
        <w:pStyle w:val="ListParagraph"/>
        <w:spacing w:after="120"/>
        <w:jc w:val="both"/>
        <w:rPr>
          <w:rFonts w:cs="Arial"/>
          <w:szCs w:val="22"/>
        </w:rPr>
      </w:pPr>
    </w:p>
    <w:p w14:paraId="4AE164C3" w14:textId="0CAC49B9" w:rsidR="00521D1D" w:rsidRPr="00C11E3F" w:rsidRDefault="00521D1D" w:rsidP="002840CF">
      <w:pPr>
        <w:pStyle w:val="ListParagraph"/>
        <w:numPr>
          <w:ilvl w:val="0"/>
          <w:numId w:val="4"/>
        </w:numPr>
        <w:spacing w:after="120"/>
        <w:jc w:val="both"/>
        <w:rPr>
          <w:rFonts w:cs="Arial"/>
          <w:szCs w:val="22"/>
        </w:rPr>
      </w:pPr>
      <w:r w:rsidRPr="00C11E3F">
        <w:rPr>
          <w:rFonts w:cs="Arial"/>
          <w:szCs w:val="22"/>
        </w:rPr>
        <w:t>Supplie</w:t>
      </w:r>
      <w:r w:rsidR="000C2FB2" w:rsidRPr="00C11E3F">
        <w:rPr>
          <w:rFonts w:cs="Arial"/>
          <w:szCs w:val="22"/>
        </w:rPr>
        <w:t>r</w:t>
      </w:r>
      <w:r w:rsidRPr="00C11E3F">
        <w:rPr>
          <w:rFonts w:cs="Arial"/>
          <w:szCs w:val="22"/>
        </w:rPr>
        <w:t>s must answer the questions without reference to general marketing or promotional material. Publicity brochures will not be evaluated.</w:t>
      </w:r>
    </w:p>
    <w:p w14:paraId="43E3682D" w14:textId="77777777" w:rsidR="00521D1D" w:rsidRPr="00C11E3F" w:rsidRDefault="00521D1D" w:rsidP="00B86EFB">
      <w:pPr>
        <w:pStyle w:val="ListParagraph"/>
        <w:spacing w:after="120"/>
        <w:jc w:val="both"/>
        <w:rPr>
          <w:rFonts w:cs="Arial"/>
          <w:szCs w:val="22"/>
        </w:rPr>
      </w:pPr>
    </w:p>
    <w:p w14:paraId="0620704D" w14:textId="52053282" w:rsidR="00521D1D" w:rsidRPr="00C11E3F" w:rsidRDefault="000C2FB2" w:rsidP="002840CF">
      <w:pPr>
        <w:pStyle w:val="ListParagraph"/>
        <w:numPr>
          <w:ilvl w:val="0"/>
          <w:numId w:val="4"/>
        </w:numPr>
        <w:spacing w:after="120"/>
        <w:jc w:val="both"/>
        <w:rPr>
          <w:rFonts w:cs="Arial"/>
          <w:szCs w:val="22"/>
        </w:rPr>
      </w:pPr>
      <w:r w:rsidRPr="00C11E3F">
        <w:rPr>
          <w:rFonts w:cs="Arial"/>
          <w:szCs w:val="22"/>
        </w:rPr>
        <w:t>Suppliers</w:t>
      </w:r>
      <w:r w:rsidR="00521D1D" w:rsidRPr="00C11E3F">
        <w:rPr>
          <w:rFonts w:cs="Arial"/>
          <w:szCs w:val="22"/>
        </w:rPr>
        <w:t xml:space="preserve"> </w:t>
      </w:r>
      <w:r w:rsidR="004C691F" w:rsidRPr="00C11E3F">
        <w:rPr>
          <w:rFonts w:cs="Arial"/>
          <w:szCs w:val="22"/>
        </w:rPr>
        <w:t xml:space="preserve">must </w:t>
      </w:r>
      <w:r w:rsidR="00521D1D" w:rsidRPr="00C11E3F">
        <w:rPr>
          <w:rFonts w:cs="Arial"/>
          <w:szCs w:val="22"/>
        </w:rPr>
        <w:t>not refer to responses given elsewhere but should repeat information if necessary.</w:t>
      </w:r>
      <w:r w:rsidR="004C691F" w:rsidRPr="00C11E3F">
        <w:rPr>
          <w:rFonts w:cs="Arial"/>
          <w:szCs w:val="22"/>
        </w:rPr>
        <w:t xml:space="preserve">  The Authority will not, when evaluating the response to a question, </w:t>
      </w:r>
      <w:proofErr w:type="gramStart"/>
      <w:r w:rsidR="004C691F" w:rsidRPr="00C11E3F">
        <w:rPr>
          <w:rFonts w:cs="Arial"/>
          <w:szCs w:val="22"/>
        </w:rPr>
        <w:t>take into account</w:t>
      </w:r>
      <w:proofErr w:type="gramEnd"/>
      <w:r w:rsidR="004C691F" w:rsidRPr="00C11E3F">
        <w:rPr>
          <w:rFonts w:cs="Arial"/>
          <w:szCs w:val="22"/>
        </w:rPr>
        <w:t xml:space="preserve"> information which is merely cross-referenced from another part of the Tender and not replicated in the response being evaluated.</w:t>
      </w:r>
    </w:p>
    <w:p w14:paraId="2580E74E" w14:textId="77777777" w:rsidR="00521D1D" w:rsidRPr="00C11E3F" w:rsidRDefault="00521D1D" w:rsidP="00B86EFB">
      <w:pPr>
        <w:pStyle w:val="ListParagraph"/>
        <w:spacing w:after="120"/>
        <w:jc w:val="both"/>
        <w:rPr>
          <w:rFonts w:cs="Arial"/>
          <w:szCs w:val="22"/>
        </w:rPr>
      </w:pPr>
    </w:p>
    <w:p w14:paraId="5C86363A" w14:textId="173099FA" w:rsidR="00336EB3" w:rsidRDefault="00521D1D" w:rsidP="002840CF">
      <w:pPr>
        <w:pStyle w:val="ListParagraph"/>
        <w:numPr>
          <w:ilvl w:val="0"/>
          <w:numId w:val="4"/>
        </w:numPr>
        <w:spacing w:after="120"/>
        <w:jc w:val="both"/>
        <w:rPr>
          <w:rFonts w:cs="Arial"/>
        </w:rPr>
      </w:pPr>
      <w:r w:rsidRPr="3D3C087D">
        <w:rPr>
          <w:rFonts w:cs="Arial"/>
        </w:rPr>
        <w:lastRenderedPageBreak/>
        <w:t xml:space="preserve">All acronyms and abbreviations, if used, must be fully explained the first time that they are used in each individual </w:t>
      </w:r>
      <w:r w:rsidR="00B86EFB" w:rsidRPr="3D3C087D">
        <w:rPr>
          <w:rFonts w:cs="Arial"/>
        </w:rPr>
        <w:t xml:space="preserve">response to a </w:t>
      </w:r>
      <w:r w:rsidRPr="3D3C087D">
        <w:rPr>
          <w:rFonts w:cs="Arial"/>
        </w:rPr>
        <w:t>question.</w:t>
      </w:r>
    </w:p>
    <w:p w14:paraId="6801CC46" w14:textId="77777777" w:rsidR="005A2A0E" w:rsidRPr="005A2A0E" w:rsidRDefault="005A2A0E" w:rsidP="005A2A0E">
      <w:pPr>
        <w:pStyle w:val="ListParagraph"/>
        <w:rPr>
          <w:rFonts w:cs="Arial"/>
        </w:rPr>
      </w:pPr>
    </w:p>
    <w:p w14:paraId="38BDE4DD" w14:textId="445D51A8" w:rsidR="005A2A0E" w:rsidRPr="00C11E3F" w:rsidRDefault="005A2A0E" w:rsidP="002840CF">
      <w:pPr>
        <w:pStyle w:val="ListParagraph"/>
        <w:numPr>
          <w:ilvl w:val="0"/>
          <w:numId w:val="4"/>
        </w:numPr>
        <w:spacing w:after="120"/>
        <w:jc w:val="both"/>
        <w:rPr>
          <w:rFonts w:cs="Arial"/>
        </w:rPr>
      </w:pPr>
      <w:r>
        <w:rPr>
          <w:rFonts w:cs="Arial"/>
        </w:rPr>
        <w:t xml:space="preserve">All data must reside </w:t>
      </w:r>
      <w:r w:rsidR="00A92BAF">
        <w:rPr>
          <w:rFonts w:cs="Arial"/>
        </w:rPr>
        <w:t>in the UK.</w:t>
      </w:r>
    </w:p>
    <w:p w14:paraId="2AFFD886" w14:textId="77777777" w:rsidR="00EB453E" w:rsidRPr="00DC4286" w:rsidRDefault="00EB453E" w:rsidP="1987F26E">
      <w:pPr>
        <w:pStyle w:val="ListParagraph"/>
        <w:rPr>
          <w:rFonts w:cs="Arial"/>
        </w:rPr>
      </w:pPr>
    </w:p>
    <w:p w14:paraId="5635B0D5" w14:textId="7AA5BC74" w:rsidR="71F252AA" w:rsidRPr="00DC4286" w:rsidRDefault="71F252AA" w:rsidP="00D14B4A">
      <w:pPr>
        <w:pStyle w:val="BodyText1"/>
        <w:ind w:left="357"/>
        <w:rPr>
          <w:color w:val="auto"/>
          <w:highlight w:val="yellow"/>
        </w:rPr>
      </w:pPr>
    </w:p>
    <w:p w14:paraId="1614F19C" w14:textId="77777777" w:rsidR="00DF644D" w:rsidRPr="008B2806" w:rsidRDefault="00DF644D" w:rsidP="00470B13">
      <w:pPr>
        <w:pStyle w:val="Heading1"/>
        <w:numPr>
          <w:ilvl w:val="0"/>
          <w:numId w:val="0"/>
        </w:numPr>
      </w:pPr>
      <w:bookmarkStart w:id="21" w:name="_Toc214868673"/>
      <w:r w:rsidRPr="008B2806">
        <w:lastRenderedPageBreak/>
        <w:t>Requests for clarification</w:t>
      </w:r>
      <w:bookmarkEnd w:id="21"/>
      <w:r w:rsidRPr="008B2806">
        <w:t xml:space="preserve"> </w:t>
      </w:r>
    </w:p>
    <w:p w14:paraId="3C85A63E" w14:textId="51DABBFE" w:rsidR="00DF644D" w:rsidRDefault="00DF644D" w:rsidP="002840CF">
      <w:pPr>
        <w:pStyle w:val="BodyText1"/>
        <w:numPr>
          <w:ilvl w:val="0"/>
          <w:numId w:val="4"/>
        </w:numPr>
        <w:ind w:left="357" w:hanging="357"/>
      </w:pPr>
      <w:r>
        <w:t xml:space="preserve">Any requests for clarification relating to the Procurement must be submitted via the Portal, no later than the deadline in the </w:t>
      </w:r>
      <w:hyperlink w:anchor="_Procurement_timetable" w:history="1">
        <w:r w:rsidRPr="004D671D">
          <w:rPr>
            <w:rStyle w:val="Hyperlink"/>
          </w:rPr>
          <w:t xml:space="preserve">Procurement </w:t>
        </w:r>
        <w:r w:rsidR="006965BC" w:rsidRPr="004D671D">
          <w:rPr>
            <w:rStyle w:val="Hyperlink"/>
          </w:rPr>
          <w:t>T</w:t>
        </w:r>
        <w:r w:rsidRPr="004D671D">
          <w:rPr>
            <w:rStyle w:val="Hyperlink"/>
          </w:rPr>
          <w:t>imetable</w:t>
        </w:r>
      </w:hyperlink>
      <w:r>
        <w:t xml:space="preserve"> above to allow the Authority sufficient time to respond prior to the closing date for receipt of submissions. The Authority will endeavour to respond to requests for clarification submitted in accordance with these requirements as soon as possible. </w:t>
      </w:r>
    </w:p>
    <w:p w14:paraId="2D984043" w14:textId="6B3D3F0C" w:rsidR="00D50426" w:rsidRDefault="004B3EC8" w:rsidP="002840CF">
      <w:pPr>
        <w:pStyle w:val="BodyText1"/>
        <w:numPr>
          <w:ilvl w:val="0"/>
          <w:numId w:val="4"/>
        </w:numPr>
        <w:ind w:left="357" w:hanging="357"/>
      </w:pPr>
      <w:r>
        <w:t xml:space="preserve">Suppliers </w:t>
      </w:r>
      <w:r w:rsidR="00B54B2E">
        <w:t>should submit clarifications using the following format:</w:t>
      </w:r>
    </w:p>
    <w:p w14:paraId="0572FA01" w14:textId="38CD1E2F" w:rsidR="00B54B2E" w:rsidRDefault="00E87794" w:rsidP="002840CF">
      <w:pPr>
        <w:pStyle w:val="BodyText1"/>
        <w:numPr>
          <w:ilvl w:val="1"/>
          <w:numId w:val="4"/>
        </w:numPr>
      </w:pPr>
      <w:r>
        <w:t>Supplier name</w:t>
      </w:r>
    </w:p>
    <w:p w14:paraId="464A9CF9" w14:textId="68DDB162" w:rsidR="00E87794" w:rsidRDefault="00E87794" w:rsidP="002840CF">
      <w:pPr>
        <w:pStyle w:val="BodyText1"/>
        <w:numPr>
          <w:ilvl w:val="1"/>
          <w:numId w:val="4"/>
        </w:numPr>
      </w:pPr>
      <w:r>
        <w:t>date submitted</w:t>
      </w:r>
    </w:p>
    <w:p w14:paraId="7E0F9AF2" w14:textId="2B58507A" w:rsidR="00E87794" w:rsidRDefault="00E87794" w:rsidP="002840CF">
      <w:pPr>
        <w:pStyle w:val="BodyText1"/>
        <w:numPr>
          <w:ilvl w:val="1"/>
          <w:numId w:val="4"/>
        </w:numPr>
      </w:pPr>
      <w:r>
        <w:t>document name and reference number or title; and</w:t>
      </w:r>
    </w:p>
    <w:p w14:paraId="2CD32594" w14:textId="09BBA447" w:rsidR="00E87794" w:rsidRDefault="00E87794" w:rsidP="002840CF">
      <w:pPr>
        <w:pStyle w:val="BodyText1"/>
        <w:numPr>
          <w:ilvl w:val="1"/>
          <w:numId w:val="4"/>
        </w:numPr>
      </w:pPr>
      <w:r>
        <w:t xml:space="preserve">details </w:t>
      </w:r>
      <w:r w:rsidR="00867429">
        <w:t>requiring clarification</w:t>
      </w:r>
    </w:p>
    <w:p w14:paraId="5E8DE861" w14:textId="77777777" w:rsidR="00D31A40" w:rsidRDefault="00DF644D" w:rsidP="002840CF">
      <w:pPr>
        <w:pStyle w:val="BodyText1"/>
        <w:numPr>
          <w:ilvl w:val="0"/>
          <w:numId w:val="4"/>
        </w:numPr>
        <w:ind w:left="357" w:hanging="357"/>
      </w:pPr>
      <w:r>
        <w:t xml:space="preserve">The Authority reserves the right not to answer any requests for clarification submitted after the deadline set out in the </w:t>
      </w:r>
      <w:r w:rsidR="006965BC">
        <w:t>Procurement Timet</w:t>
      </w:r>
      <w:r>
        <w:t>abl</w:t>
      </w:r>
      <w:r w:rsidR="00383073">
        <w:t>e a</w:t>
      </w:r>
      <w:r>
        <w:t>bove or submitted via any means other than the Portal.</w:t>
      </w:r>
    </w:p>
    <w:p w14:paraId="2CB8FBF1" w14:textId="44A96D27" w:rsidR="00D31A40" w:rsidRPr="00D31A40" w:rsidRDefault="00DF644D" w:rsidP="002840CF">
      <w:pPr>
        <w:pStyle w:val="BodyText1"/>
        <w:numPr>
          <w:ilvl w:val="0"/>
          <w:numId w:val="4"/>
        </w:numPr>
        <w:ind w:left="357" w:hanging="357"/>
      </w:pPr>
      <w:r w:rsidRPr="00D31A40">
        <w:rPr>
          <w:color w:val="auto"/>
        </w:rPr>
        <w:t xml:space="preserve">If Suppliers identify a technical issue with the Portal, </w:t>
      </w:r>
      <w:r w:rsidR="00712A1D">
        <w:rPr>
          <w:color w:val="auto"/>
        </w:rPr>
        <w:t>any queries in relation to this</w:t>
      </w:r>
      <w:r w:rsidR="00D31A40" w:rsidRPr="00D31A40">
        <w:rPr>
          <w:color w:val="auto"/>
        </w:rPr>
        <w:t xml:space="preserve"> should be sent to the e</w:t>
      </w:r>
      <w:r w:rsidR="00D31A40">
        <w:rPr>
          <w:color w:val="auto"/>
        </w:rPr>
        <w:t>-</w:t>
      </w:r>
      <w:r w:rsidR="00D31A40" w:rsidRPr="00D31A40">
        <w:rPr>
          <w:color w:val="auto"/>
        </w:rPr>
        <w:t>sender Central Support Team (Mon – Fri 08:30 -18:00)</w:t>
      </w:r>
      <w:r w:rsidR="00B565ED">
        <w:rPr>
          <w:color w:val="auto"/>
        </w:rPr>
        <w:t xml:space="preserve"> without</w:t>
      </w:r>
      <w:r w:rsidR="00D31A40" w:rsidRPr="00D31A40">
        <w:rPr>
          <w:color w:val="auto"/>
        </w:rPr>
        <w:t xml:space="preserve"> </w:t>
      </w:r>
      <w:r w:rsidR="00193C40">
        <w:rPr>
          <w:color w:val="auto"/>
        </w:rPr>
        <w:t xml:space="preserve">delay </w:t>
      </w:r>
      <w:r w:rsidR="00D31A40" w:rsidRPr="00D31A40">
        <w:rPr>
          <w:color w:val="auto"/>
        </w:rPr>
        <w:t>by calling 08000 988 201</w:t>
      </w:r>
      <w:r w:rsidR="00193C40">
        <w:rPr>
          <w:color w:val="auto"/>
        </w:rPr>
        <w:t xml:space="preserve"> </w:t>
      </w:r>
      <w:r w:rsidR="00D31A40" w:rsidRPr="00D31A40">
        <w:rPr>
          <w:color w:val="auto"/>
        </w:rPr>
        <w:t xml:space="preserve">or by emailing: </w:t>
      </w:r>
      <w:hyperlink r:id="rId29" w:history="1">
        <w:r w:rsidR="00D31A40" w:rsidRPr="00E834F7">
          <w:rPr>
            <w:rStyle w:val="Hyperlink"/>
          </w:rPr>
          <w:t>support-health@atamis.co.uk</w:t>
        </w:r>
      </w:hyperlink>
      <w:r w:rsidR="00B565ED" w:rsidRPr="00B565ED">
        <w:rPr>
          <w:color w:val="auto"/>
        </w:rPr>
        <w:t>.</w:t>
      </w:r>
    </w:p>
    <w:p w14:paraId="5EAE3CB6" w14:textId="2D814B94" w:rsidR="00DF644D" w:rsidRDefault="00DF644D" w:rsidP="002840CF">
      <w:pPr>
        <w:pStyle w:val="BodyText1"/>
        <w:numPr>
          <w:ilvl w:val="0"/>
          <w:numId w:val="4"/>
        </w:numPr>
        <w:spacing w:after="120"/>
        <w:ind w:left="357" w:hanging="357"/>
      </w:pPr>
      <w:r>
        <w:t xml:space="preserve">Where the Authority considers any requests for clarification to be relevant to the proper functioning of the Procurement, it will </w:t>
      </w:r>
      <w:r w:rsidR="00712A1D">
        <w:t xml:space="preserve">publish on the Portal for all other </w:t>
      </w:r>
      <w:r>
        <w:t xml:space="preserve">Suppliers </w:t>
      </w:r>
      <w:r w:rsidR="00712A1D">
        <w:t xml:space="preserve">to see </w:t>
      </w:r>
      <w:r>
        <w:t xml:space="preserve">(without reference to the identity of the Supplier which submitted the clarification question) the clarification question raised and the Authority's response, with the exception of those deemed confidential as provided below. </w:t>
      </w:r>
    </w:p>
    <w:p w14:paraId="5D5BFFA9" w14:textId="6AB80A76" w:rsidR="00DF644D" w:rsidRDefault="00DF644D" w:rsidP="002840CF">
      <w:pPr>
        <w:pStyle w:val="BodyText1"/>
        <w:numPr>
          <w:ilvl w:val="0"/>
          <w:numId w:val="4"/>
        </w:numPr>
        <w:ind w:left="357" w:hanging="357"/>
      </w:pPr>
      <w: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B77C69">
        <w:t>confidential and</w:t>
      </w:r>
      <w:r>
        <w:t xml:space="preserve"> will provide an opportunity for the Supplier to withdraw such aspects of the request for clarification. </w:t>
      </w:r>
    </w:p>
    <w:p w14:paraId="2D6BE5AA" w14:textId="20F1A9A8" w:rsidR="00DF644D" w:rsidRDefault="00DF644D" w:rsidP="002840CF">
      <w:pPr>
        <w:pStyle w:val="BodyText1"/>
        <w:numPr>
          <w:ilvl w:val="0"/>
          <w:numId w:val="4"/>
        </w:numPr>
        <w:ind w:left="357" w:hanging="357"/>
      </w:pPr>
      <w:r>
        <w:t xml:space="preserve">In such circumstances, the Supplier may either submit an amended request for the clarification to be treated as confidential, which would be considered by the Authority in the same manner as the original </w:t>
      </w:r>
      <w:r w:rsidR="00B77C69">
        <w:t>request or</w:t>
      </w:r>
      <w:r>
        <w:t xml:space="preserve"> raise a new request to be treated as a non-confidential request for clarification. </w:t>
      </w:r>
    </w:p>
    <w:p w14:paraId="1F567A7C" w14:textId="77777777" w:rsidR="00DF644D" w:rsidRPr="00DF644D" w:rsidRDefault="00DF644D" w:rsidP="002840CF">
      <w:pPr>
        <w:pStyle w:val="BodyText1"/>
        <w:numPr>
          <w:ilvl w:val="0"/>
          <w:numId w:val="4"/>
        </w:numPr>
        <w:ind w:left="357" w:hanging="357"/>
      </w:pPr>
      <w:r>
        <w:t>It is the responsibility of each Supplier to monitor all clarifications issued by the Authority. The Authority accepts no liability for any Supplier's failure to keep abreast of clarifications issued.</w:t>
      </w:r>
    </w:p>
    <w:p w14:paraId="1C73560C" w14:textId="63008F6F" w:rsidR="008070F7" w:rsidRDefault="002147DD" w:rsidP="007B2DC3">
      <w:pPr>
        <w:pStyle w:val="Heading1"/>
        <w:numPr>
          <w:ilvl w:val="0"/>
          <w:numId w:val="0"/>
        </w:numPr>
        <w:rPr>
          <w:i/>
          <w:iCs/>
        </w:rPr>
      </w:pPr>
      <w:bookmarkStart w:id="22" w:name="_Toc214868674"/>
      <w:r>
        <w:lastRenderedPageBreak/>
        <w:t>The assessment process and award criteria</w:t>
      </w:r>
      <w:bookmarkEnd w:id="22"/>
    </w:p>
    <w:p w14:paraId="2F96ACC7" w14:textId="61DE101B" w:rsidR="00F675DF" w:rsidRPr="00BC24A7" w:rsidRDefault="00FA09D2">
      <w:pPr>
        <w:pStyle w:val="BodyText1"/>
        <w:numPr>
          <w:ilvl w:val="0"/>
          <w:numId w:val="4"/>
        </w:numPr>
        <w:ind w:left="357" w:hanging="357"/>
        <w:rPr>
          <w:b/>
          <w:bCs/>
          <w:color w:val="auto"/>
        </w:rPr>
      </w:pPr>
      <w:r w:rsidRPr="00BC24A7">
        <w:rPr>
          <w:color w:val="auto"/>
        </w:rPr>
        <w:t xml:space="preserve"> </w:t>
      </w:r>
      <w:r w:rsidR="00D93A42" w:rsidRPr="00BC24A7">
        <w:rPr>
          <w:color w:val="auto"/>
        </w:rPr>
        <w:t>As outlined in the ‘</w:t>
      </w:r>
      <w:hyperlink w:anchor="_How_to_respond" w:history="1">
        <w:r w:rsidR="00D93A42" w:rsidRPr="00BC24A7">
          <w:rPr>
            <w:rStyle w:val="Hyperlink"/>
          </w:rPr>
          <w:t>How to respond to this opportunity’</w:t>
        </w:r>
      </w:hyperlink>
      <w:r w:rsidR="00D93A42" w:rsidRPr="00BC24A7">
        <w:rPr>
          <w:color w:val="auto"/>
        </w:rPr>
        <w:t xml:space="preserve"> section of this document, Suppliers should answer these questions</w:t>
      </w:r>
      <w:r w:rsidR="00EC20A2" w:rsidRPr="00BC24A7">
        <w:rPr>
          <w:color w:val="auto"/>
        </w:rPr>
        <w:t xml:space="preserve"> via the Portal</w:t>
      </w:r>
      <w:r w:rsidR="00D47CA8" w:rsidRPr="00BC24A7">
        <w:rPr>
          <w:color w:val="auto"/>
        </w:rPr>
        <w:t xml:space="preserve"> within the </w:t>
      </w:r>
      <w:r w:rsidR="00EC20A2" w:rsidRPr="00BC24A7">
        <w:rPr>
          <w:color w:val="auto"/>
        </w:rPr>
        <w:t xml:space="preserve">Qualification </w:t>
      </w:r>
      <w:r w:rsidR="00886247" w:rsidRPr="00BC24A7">
        <w:rPr>
          <w:color w:val="auto"/>
        </w:rPr>
        <w:t>Envelope</w:t>
      </w:r>
      <w:r w:rsidR="00830AE7" w:rsidRPr="00BC24A7">
        <w:rPr>
          <w:color w:val="auto"/>
        </w:rPr>
        <w:t xml:space="preserve">, </w:t>
      </w:r>
      <w:r w:rsidR="00A6725D" w:rsidRPr="00BC24A7">
        <w:rPr>
          <w:color w:val="auto"/>
        </w:rPr>
        <w:t xml:space="preserve">and </w:t>
      </w:r>
      <w:r w:rsidR="00830AE7" w:rsidRPr="00BC24A7">
        <w:rPr>
          <w:color w:val="auto"/>
        </w:rPr>
        <w:t>follow any further instructions detailed</w:t>
      </w:r>
      <w:r w:rsidR="006F52A7" w:rsidRPr="00BC24A7">
        <w:rPr>
          <w:color w:val="auto"/>
        </w:rPr>
        <w:t xml:space="preserve"> on the Portal.</w:t>
      </w:r>
    </w:p>
    <w:p w14:paraId="7C9BE42B" w14:textId="784CA659" w:rsidR="00722786" w:rsidRDefault="00722786" w:rsidP="00722786">
      <w:pPr>
        <w:pStyle w:val="BodyText1"/>
        <w:rPr>
          <w:b/>
          <w:bCs/>
          <w:color w:val="auto"/>
        </w:rPr>
      </w:pPr>
      <w:r w:rsidRPr="00722786">
        <w:rPr>
          <w:b/>
          <w:bCs/>
          <w:color w:val="auto"/>
        </w:rPr>
        <w:t>Assessment of Tender responses</w:t>
      </w:r>
    </w:p>
    <w:p w14:paraId="1B6E0A3D" w14:textId="332EE17F" w:rsidR="00587DBE" w:rsidRPr="00C54C3A" w:rsidRDefault="00C86296" w:rsidP="002840CF">
      <w:pPr>
        <w:pStyle w:val="BodyText1"/>
        <w:numPr>
          <w:ilvl w:val="0"/>
          <w:numId w:val="4"/>
        </w:numPr>
        <w:ind w:left="357" w:hanging="357"/>
        <w:rPr>
          <w:color w:val="auto"/>
        </w:rPr>
      </w:pPr>
      <w:r>
        <w:rPr>
          <w:color w:val="auto"/>
        </w:rPr>
        <w:t>Once the assessment of PSQ Responses has been completed, t</w:t>
      </w:r>
      <w:r w:rsidR="00DA5878" w:rsidRPr="00C54C3A">
        <w:rPr>
          <w:color w:val="auto"/>
        </w:rPr>
        <w:t xml:space="preserve">he Authority will assess </w:t>
      </w:r>
      <w:r>
        <w:rPr>
          <w:color w:val="auto"/>
        </w:rPr>
        <w:t xml:space="preserve">all </w:t>
      </w:r>
      <w:r w:rsidR="00DA5878" w:rsidRPr="00C54C3A">
        <w:rPr>
          <w:color w:val="auto"/>
        </w:rPr>
        <w:t>Tender</w:t>
      </w:r>
      <w:r>
        <w:rPr>
          <w:color w:val="auto"/>
        </w:rPr>
        <w:t>s</w:t>
      </w:r>
      <w:r w:rsidR="4012F4A4" w:rsidRPr="515D1E7F">
        <w:rPr>
          <w:color w:val="auto"/>
        </w:rPr>
        <w:t xml:space="preserve">. </w:t>
      </w:r>
    </w:p>
    <w:p w14:paraId="56350657" w14:textId="4A2F1F15" w:rsidR="003B62CB" w:rsidRDefault="006A0750" w:rsidP="002840CF">
      <w:pPr>
        <w:pStyle w:val="BodyText1"/>
        <w:numPr>
          <w:ilvl w:val="0"/>
          <w:numId w:val="4"/>
        </w:numPr>
        <w:ind w:left="357" w:hanging="357"/>
        <w:rPr>
          <w:color w:val="auto"/>
        </w:rPr>
      </w:pPr>
      <w:r w:rsidRPr="00C54C3A">
        <w:rPr>
          <w:color w:val="auto"/>
        </w:rPr>
        <w:t>The</w:t>
      </w:r>
      <w:r w:rsidR="00A57996" w:rsidRPr="00C54C3A">
        <w:rPr>
          <w:color w:val="auto"/>
        </w:rPr>
        <w:t xml:space="preserve"> </w:t>
      </w:r>
      <w:r w:rsidR="000B27F5" w:rsidRPr="00C54C3A">
        <w:rPr>
          <w:color w:val="auto"/>
        </w:rPr>
        <w:t xml:space="preserve">tender questions </w:t>
      </w:r>
      <w:r w:rsidR="0066627B" w:rsidRPr="00C54C3A">
        <w:rPr>
          <w:color w:val="auto"/>
        </w:rPr>
        <w:t xml:space="preserve">to be evaluated against the award criteria are detailed in Table 3 below. </w:t>
      </w:r>
      <w:r w:rsidR="00A703DD" w:rsidRPr="00C54C3A">
        <w:rPr>
          <w:color w:val="auto"/>
        </w:rPr>
        <w:t xml:space="preserve">As outlined in the ‘How to respond to this opportunity’ section of this document, Suppliers </w:t>
      </w:r>
      <w:r w:rsidR="00C86296">
        <w:rPr>
          <w:color w:val="auto"/>
        </w:rPr>
        <w:t>must</w:t>
      </w:r>
      <w:r w:rsidR="00C86296" w:rsidRPr="00C54C3A">
        <w:rPr>
          <w:color w:val="auto"/>
        </w:rPr>
        <w:t xml:space="preserve"> </w:t>
      </w:r>
      <w:r w:rsidR="00A703DD" w:rsidRPr="00C54C3A">
        <w:rPr>
          <w:color w:val="auto"/>
        </w:rPr>
        <w:t xml:space="preserve">answer these questions via the Portal within the Technical </w:t>
      </w:r>
      <w:r w:rsidR="00C86296">
        <w:rPr>
          <w:color w:val="auto"/>
        </w:rPr>
        <w:t>E</w:t>
      </w:r>
      <w:r w:rsidR="00A703DD" w:rsidRPr="00C54C3A">
        <w:rPr>
          <w:color w:val="auto"/>
        </w:rPr>
        <w:t>nvelope, and follow any further instructions detailed on the Portal.</w:t>
      </w:r>
    </w:p>
    <w:p w14:paraId="2721A87B" w14:textId="78361180" w:rsidR="3EC47208" w:rsidRDefault="3EC47208" w:rsidP="515D1E7F">
      <w:pPr>
        <w:pStyle w:val="BodyText1"/>
        <w:numPr>
          <w:ilvl w:val="0"/>
          <w:numId w:val="4"/>
        </w:numPr>
        <w:ind w:left="357" w:hanging="357"/>
        <w:rPr>
          <w:color w:val="auto"/>
        </w:rPr>
      </w:pPr>
      <w:r w:rsidRPr="515D1E7F">
        <w:rPr>
          <w:color w:val="auto"/>
        </w:rPr>
        <w:t xml:space="preserve">There are two elements of evaluation – the written response and </w:t>
      </w:r>
      <w:proofErr w:type="gramStart"/>
      <w:r w:rsidRPr="515D1E7F">
        <w:rPr>
          <w:color w:val="auto"/>
        </w:rPr>
        <w:t>a number of</w:t>
      </w:r>
      <w:proofErr w:type="gramEnd"/>
      <w:r w:rsidRPr="515D1E7F">
        <w:rPr>
          <w:color w:val="auto"/>
        </w:rPr>
        <w:t xml:space="preserve"> suppliers will be invited to provide a demonstration, which will also be scored using the criteria set out below.</w:t>
      </w:r>
    </w:p>
    <w:p w14:paraId="61768394" w14:textId="10E65046" w:rsidR="3D6A92E3" w:rsidRDefault="3D6A92E3" w:rsidP="515D1E7F">
      <w:pPr>
        <w:pStyle w:val="BodyText1"/>
        <w:numPr>
          <w:ilvl w:val="0"/>
          <w:numId w:val="4"/>
        </w:numPr>
        <w:rPr>
          <w:color w:val="auto"/>
        </w:rPr>
      </w:pPr>
      <w:r w:rsidRPr="515D1E7F">
        <w:rPr>
          <w:color w:val="auto"/>
        </w:rPr>
        <w:t xml:space="preserve">Suppliers will be evaluated on their written response. It is MHRAs intention to invite suppliers scoring above </w:t>
      </w:r>
      <w:r w:rsidR="00FA55AA" w:rsidRPr="00FA0CE3">
        <w:rPr>
          <w:i/>
          <w:color w:val="auto"/>
        </w:rPr>
        <w:t>195 out of 300 marks</w:t>
      </w:r>
      <w:r w:rsidRPr="00FA0CE3">
        <w:rPr>
          <w:color w:val="auto"/>
        </w:rPr>
        <w:t xml:space="preserve"> </w:t>
      </w:r>
      <w:r w:rsidRPr="515D1E7F">
        <w:rPr>
          <w:color w:val="auto"/>
        </w:rPr>
        <w:t>to provide a demonstration of their solution to MHRA on a date in January 2026.</w:t>
      </w:r>
    </w:p>
    <w:p w14:paraId="1D049C7A" w14:textId="29EA470E" w:rsidR="3D6A92E3" w:rsidRDefault="3D6A92E3" w:rsidP="515D1E7F">
      <w:pPr>
        <w:pStyle w:val="BodyText1"/>
        <w:numPr>
          <w:ilvl w:val="0"/>
          <w:numId w:val="4"/>
        </w:numPr>
        <w:rPr>
          <w:color w:val="auto"/>
        </w:rPr>
      </w:pPr>
      <w:r w:rsidRPr="515D1E7F">
        <w:rPr>
          <w:color w:val="auto"/>
        </w:rPr>
        <w:t>These supplier demonstrations will not be scheduled earlier than 21</w:t>
      </w:r>
      <w:r w:rsidRPr="515D1E7F">
        <w:rPr>
          <w:color w:val="auto"/>
          <w:vertAlign w:val="superscript"/>
        </w:rPr>
        <w:t>st</w:t>
      </w:r>
      <w:r w:rsidRPr="515D1E7F">
        <w:rPr>
          <w:color w:val="auto"/>
        </w:rPr>
        <w:t xml:space="preserve"> January 2026. Sessions will be booked on a “first come, first served” basis. The Agency makes no guarantee that any specific timeslot will be available.</w:t>
      </w:r>
    </w:p>
    <w:p w14:paraId="248F26A1" w14:textId="6238511D" w:rsidR="3D6A92E3" w:rsidRDefault="3D6A92E3" w:rsidP="515D1E7F">
      <w:pPr>
        <w:pStyle w:val="BodyText1"/>
        <w:numPr>
          <w:ilvl w:val="0"/>
          <w:numId w:val="4"/>
        </w:numPr>
        <w:rPr>
          <w:color w:val="auto"/>
        </w:rPr>
      </w:pPr>
      <w:r w:rsidRPr="515D1E7F">
        <w:rPr>
          <w:color w:val="auto"/>
        </w:rPr>
        <w:t>Once all demonstrations have occurred, MHRA will undertake a final evaluation</w:t>
      </w:r>
      <w:r w:rsidR="47AD1EB4" w:rsidRPr="515D1E7F">
        <w:rPr>
          <w:color w:val="auto"/>
        </w:rPr>
        <w:t>.</w:t>
      </w:r>
    </w:p>
    <w:p w14:paraId="43E0B6A2" w14:textId="527E11FB" w:rsidR="11EFCACB" w:rsidRDefault="11EFCACB" w:rsidP="515D1E7F">
      <w:pPr>
        <w:pStyle w:val="BodyText1"/>
        <w:numPr>
          <w:ilvl w:val="0"/>
          <w:numId w:val="4"/>
        </w:numPr>
        <w:rPr>
          <w:color w:val="auto"/>
        </w:rPr>
      </w:pPr>
      <w:r w:rsidRPr="515D1E7F">
        <w:rPr>
          <w:color w:val="auto"/>
        </w:rPr>
        <w:t>The two scores from the written response and the demonstration will be added together to provide a total raw score. This will be weighted to 70% and a final weighted score will be provided.</w:t>
      </w:r>
    </w:p>
    <w:p w14:paraId="13A8CF46" w14:textId="0D4930F1" w:rsidR="11EFCACB" w:rsidRDefault="11EFCACB" w:rsidP="515D1E7F">
      <w:pPr>
        <w:pStyle w:val="BodyText1"/>
        <w:numPr>
          <w:ilvl w:val="0"/>
          <w:numId w:val="4"/>
        </w:numPr>
        <w:rPr>
          <w:color w:val="auto"/>
        </w:rPr>
      </w:pPr>
      <w:r w:rsidRPr="515D1E7F">
        <w:rPr>
          <w:color w:val="auto"/>
        </w:rPr>
        <w:t xml:space="preserve">Pricing will consist of 30% of the overall marks. </w:t>
      </w:r>
    </w:p>
    <w:p w14:paraId="0CC83DE7" w14:textId="77777777" w:rsidR="003B62CB" w:rsidRDefault="003B62CB">
      <w:r>
        <w:br w:type="page"/>
      </w:r>
    </w:p>
    <w:p w14:paraId="11543A4A" w14:textId="6945F51B" w:rsidR="000C61F8" w:rsidRPr="000C61F8" w:rsidRDefault="000C61F8" w:rsidP="000C61F8">
      <w:pPr>
        <w:pStyle w:val="BodyText1"/>
        <w:spacing w:after="0"/>
        <w:rPr>
          <w:b/>
          <w:bCs/>
          <w:color w:val="auto"/>
        </w:rPr>
        <w:sectPr w:rsidR="000C61F8" w:rsidRPr="000C61F8" w:rsidSect="001C5F1D">
          <w:headerReference w:type="even" r:id="rId30"/>
          <w:headerReference w:type="default" r:id="rId31"/>
          <w:footerReference w:type="default" r:id="rId32"/>
          <w:headerReference w:type="first" r:id="rId33"/>
          <w:pgSz w:w="11906" w:h="16838" w:code="9"/>
          <w:pgMar w:top="1701" w:right="1134" w:bottom="1134" w:left="1134" w:header="567" w:footer="340" w:gutter="0"/>
          <w:cols w:space="720"/>
        </w:sectPr>
      </w:pPr>
    </w:p>
    <w:tbl>
      <w:tblPr>
        <w:tblStyle w:val="TableGrid"/>
        <w:tblW w:w="13467" w:type="dxa"/>
        <w:tblInd w:w="-5" w:type="dxa"/>
        <w:tblLook w:val="04A0" w:firstRow="1" w:lastRow="0" w:firstColumn="1" w:lastColumn="0" w:noHBand="0" w:noVBand="1"/>
      </w:tblPr>
      <w:tblGrid>
        <w:gridCol w:w="5952"/>
        <w:gridCol w:w="1986"/>
        <w:gridCol w:w="1560"/>
        <w:gridCol w:w="3969"/>
      </w:tblGrid>
      <w:tr w:rsidR="000C61F8" w14:paraId="0551D728" w14:textId="77777777" w:rsidTr="000C61F8">
        <w:tc>
          <w:tcPr>
            <w:tcW w:w="13467" w:type="dxa"/>
            <w:gridSpan w:val="4"/>
            <w:tcBorders>
              <w:top w:val="nil"/>
              <w:left w:val="nil"/>
              <w:bottom w:val="nil"/>
              <w:right w:val="nil"/>
            </w:tcBorders>
          </w:tcPr>
          <w:p w14:paraId="110B9B4F" w14:textId="2FB7C883" w:rsidR="000C61F8" w:rsidRPr="00BC24A7" w:rsidRDefault="000C61F8" w:rsidP="00BC24A7">
            <w:pPr>
              <w:rPr>
                <w:b/>
                <w:bCs/>
                <w:i/>
                <w:iCs/>
              </w:rPr>
            </w:pPr>
            <w:r w:rsidRPr="00722786">
              <w:rPr>
                <w:b/>
                <w:bCs/>
              </w:rPr>
              <w:lastRenderedPageBreak/>
              <w:t>Table 3: Tender questions, award criteria and weightings</w:t>
            </w:r>
          </w:p>
        </w:tc>
      </w:tr>
      <w:tr w:rsidR="000C61F8" w14:paraId="27B1007A" w14:textId="77777777" w:rsidTr="00C677DE">
        <w:tc>
          <w:tcPr>
            <w:tcW w:w="13467" w:type="dxa"/>
            <w:gridSpan w:val="4"/>
            <w:tcBorders>
              <w:top w:val="nil"/>
              <w:left w:val="nil"/>
              <w:bottom w:val="single" w:sz="4" w:space="0" w:color="auto"/>
              <w:right w:val="nil"/>
            </w:tcBorders>
          </w:tcPr>
          <w:p w14:paraId="257C2C02" w14:textId="77777777" w:rsidR="000C61F8" w:rsidRPr="00BC24A7" w:rsidRDefault="000C61F8" w:rsidP="00BC24A7">
            <w:pPr>
              <w:rPr>
                <w:b/>
                <w:bCs/>
                <w:i/>
                <w:iCs/>
              </w:rPr>
            </w:pPr>
          </w:p>
        </w:tc>
      </w:tr>
      <w:tr w:rsidR="00BC24A7" w14:paraId="304A1DBD" w14:textId="77777777" w:rsidTr="00C677DE">
        <w:tc>
          <w:tcPr>
            <w:tcW w:w="13467" w:type="dxa"/>
            <w:gridSpan w:val="4"/>
            <w:tcBorders>
              <w:top w:val="single" w:sz="4" w:space="0" w:color="auto"/>
              <w:left w:val="single" w:sz="4" w:space="0" w:color="auto"/>
              <w:bottom w:val="single" w:sz="4" w:space="0" w:color="auto"/>
              <w:right w:val="single" w:sz="4" w:space="0" w:color="auto"/>
            </w:tcBorders>
            <w:shd w:val="clear" w:color="auto" w:fill="BEDDFF" w:themeFill="accent2" w:themeFillTint="33"/>
          </w:tcPr>
          <w:p w14:paraId="7930A561" w14:textId="77777777" w:rsidR="00BC24A7" w:rsidRPr="00BC24A7" w:rsidRDefault="00BC24A7" w:rsidP="00BC24A7">
            <w:pPr>
              <w:rPr>
                <w:i/>
                <w:iCs/>
              </w:rPr>
            </w:pPr>
            <w:r w:rsidRPr="00BC24A7">
              <w:rPr>
                <w:b/>
                <w:bCs/>
                <w:i/>
                <w:iCs/>
              </w:rPr>
              <w:t>Pass/Fail Questions</w:t>
            </w:r>
            <w:r w:rsidRPr="00BC24A7">
              <w:rPr>
                <w:i/>
                <w:iCs/>
              </w:rPr>
              <w:t xml:space="preserve"> – any bidding organisation which answers ‘No’ to any of the below questions will not be evaluated further.</w:t>
            </w:r>
          </w:p>
          <w:p w14:paraId="2D444CFC" w14:textId="77777777" w:rsidR="00BC24A7" w:rsidRPr="00BC24A7" w:rsidRDefault="00BC24A7" w:rsidP="00756E33">
            <w:pPr>
              <w:rPr>
                <w:i/>
                <w:iCs/>
              </w:rPr>
            </w:pPr>
          </w:p>
        </w:tc>
      </w:tr>
      <w:tr w:rsidR="00E35664" w14:paraId="7D180AD7" w14:textId="77777777" w:rsidTr="00C677DE">
        <w:tc>
          <w:tcPr>
            <w:tcW w:w="5952" w:type="dxa"/>
            <w:tcBorders>
              <w:top w:val="single" w:sz="4" w:space="0" w:color="auto"/>
              <w:left w:val="single" w:sz="4" w:space="0" w:color="auto"/>
              <w:bottom w:val="single" w:sz="4" w:space="0" w:color="auto"/>
              <w:right w:val="single" w:sz="4" w:space="0" w:color="auto"/>
            </w:tcBorders>
            <w:shd w:val="clear" w:color="auto" w:fill="BEDDFF" w:themeFill="accent2" w:themeFillTint="33"/>
          </w:tcPr>
          <w:p w14:paraId="08517ED3" w14:textId="77777777" w:rsidR="00AE2D1B" w:rsidRPr="00B53F2A" w:rsidRDefault="00AE2D1B" w:rsidP="00756E33">
            <w:pPr>
              <w:rPr>
                <w:rFonts w:cs="Arial"/>
                <w:szCs w:val="22"/>
              </w:rPr>
            </w:pPr>
            <w:r w:rsidRPr="00B53F2A">
              <w:rPr>
                <w:rFonts w:cs="Arial"/>
                <w:szCs w:val="22"/>
              </w:rPr>
              <w:t>Award Criterion/Question</w:t>
            </w:r>
          </w:p>
        </w:tc>
        <w:tc>
          <w:tcPr>
            <w:tcW w:w="1986" w:type="dxa"/>
            <w:tcBorders>
              <w:top w:val="single" w:sz="4" w:space="0" w:color="auto"/>
              <w:left w:val="single" w:sz="4" w:space="0" w:color="auto"/>
              <w:bottom w:val="single" w:sz="4" w:space="0" w:color="auto"/>
              <w:right w:val="single" w:sz="4" w:space="0" w:color="auto"/>
            </w:tcBorders>
            <w:shd w:val="clear" w:color="auto" w:fill="BEDDFF" w:themeFill="accent2" w:themeFillTint="33"/>
          </w:tcPr>
          <w:p w14:paraId="397B1D86" w14:textId="77777777" w:rsidR="00AE2D1B" w:rsidRDefault="00AE2D1B" w:rsidP="00756E33">
            <w:r>
              <w:t>Information</w:t>
            </w:r>
          </w:p>
        </w:tc>
        <w:tc>
          <w:tcPr>
            <w:tcW w:w="1560" w:type="dxa"/>
            <w:tcBorders>
              <w:top w:val="single" w:sz="4" w:space="0" w:color="auto"/>
              <w:left w:val="single" w:sz="4" w:space="0" w:color="auto"/>
              <w:bottom w:val="single" w:sz="4" w:space="0" w:color="auto"/>
              <w:right w:val="single" w:sz="4" w:space="0" w:color="auto"/>
            </w:tcBorders>
            <w:shd w:val="clear" w:color="auto" w:fill="BEDDFF" w:themeFill="accent2" w:themeFillTint="33"/>
          </w:tcPr>
          <w:p w14:paraId="43287259" w14:textId="77777777" w:rsidR="00AE2D1B" w:rsidRDefault="00AE2D1B" w:rsidP="00756E33">
            <w:r>
              <w:t>Answer</w:t>
            </w:r>
          </w:p>
        </w:tc>
        <w:tc>
          <w:tcPr>
            <w:tcW w:w="3969" w:type="dxa"/>
            <w:tcBorders>
              <w:top w:val="single" w:sz="4" w:space="0" w:color="auto"/>
              <w:left w:val="single" w:sz="4" w:space="0" w:color="auto"/>
              <w:bottom w:val="single" w:sz="4" w:space="0" w:color="auto"/>
              <w:right w:val="single" w:sz="4" w:space="0" w:color="auto"/>
            </w:tcBorders>
            <w:shd w:val="clear" w:color="auto" w:fill="BEDDFF" w:themeFill="accent2" w:themeFillTint="33"/>
          </w:tcPr>
          <w:p w14:paraId="01B7A3EA" w14:textId="77777777" w:rsidR="00AE2D1B" w:rsidRDefault="00AE2D1B" w:rsidP="00756E33">
            <w:r>
              <w:t>Supplementary Information/Answer</w:t>
            </w:r>
          </w:p>
        </w:tc>
      </w:tr>
      <w:tr w:rsidR="00E35664" w14:paraId="0055FEE4" w14:textId="77777777" w:rsidTr="00C677DE">
        <w:tc>
          <w:tcPr>
            <w:tcW w:w="5952" w:type="dxa"/>
            <w:tcBorders>
              <w:top w:val="single" w:sz="4" w:space="0" w:color="auto"/>
              <w:left w:val="single" w:sz="4" w:space="0" w:color="auto"/>
              <w:bottom w:val="single" w:sz="4" w:space="0" w:color="auto"/>
              <w:right w:val="single" w:sz="4" w:space="0" w:color="auto"/>
            </w:tcBorders>
          </w:tcPr>
          <w:p w14:paraId="596B7D4D" w14:textId="77777777" w:rsidR="00AE2D1B" w:rsidRPr="000131B2" w:rsidRDefault="00AE2D1B" w:rsidP="006B3108">
            <w:pPr>
              <w:pStyle w:val="ListParagraph"/>
              <w:numPr>
                <w:ilvl w:val="0"/>
                <w:numId w:val="34"/>
              </w:numPr>
              <w:rPr>
                <w:rFonts w:cs="Arial"/>
                <w:szCs w:val="22"/>
              </w:rPr>
            </w:pPr>
            <w:r>
              <w:t xml:space="preserve">Does the bidding organisation </w:t>
            </w:r>
            <w:r w:rsidRPr="000131B2">
              <w:rPr>
                <w:rFonts w:cs="Arial"/>
              </w:rPr>
              <w:t>commit to completing our Secure by Design evaluation?</w:t>
            </w:r>
          </w:p>
        </w:tc>
        <w:tc>
          <w:tcPr>
            <w:tcW w:w="1986" w:type="dxa"/>
            <w:tcBorders>
              <w:top w:val="single" w:sz="4" w:space="0" w:color="auto"/>
              <w:left w:val="single" w:sz="4" w:space="0" w:color="auto"/>
              <w:bottom w:val="single" w:sz="4" w:space="0" w:color="auto"/>
              <w:right w:val="single" w:sz="4" w:space="0" w:color="auto"/>
            </w:tcBorders>
          </w:tcPr>
          <w:p w14:paraId="0BB2C818" w14:textId="77777777" w:rsidR="00AE2D1B" w:rsidRDefault="00AE2D1B" w:rsidP="00756E33">
            <w:r>
              <w:t>Pass/Fail</w:t>
            </w:r>
          </w:p>
        </w:tc>
        <w:tc>
          <w:tcPr>
            <w:tcW w:w="1560" w:type="dxa"/>
            <w:tcBorders>
              <w:top w:val="single" w:sz="4" w:space="0" w:color="auto"/>
              <w:left w:val="single" w:sz="4" w:space="0" w:color="auto"/>
              <w:bottom w:val="single" w:sz="4" w:space="0" w:color="auto"/>
              <w:right w:val="single" w:sz="4" w:space="0" w:color="auto"/>
            </w:tcBorders>
          </w:tcPr>
          <w:p w14:paraId="64B30161" w14:textId="77777777" w:rsidR="00AE2D1B" w:rsidRDefault="00AE2D1B" w:rsidP="00756E33">
            <w:r>
              <w:t>Yes/No</w:t>
            </w:r>
          </w:p>
        </w:tc>
        <w:tc>
          <w:tcPr>
            <w:tcW w:w="3969" w:type="dxa"/>
            <w:tcBorders>
              <w:top w:val="single" w:sz="4" w:space="0" w:color="auto"/>
              <w:left w:val="single" w:sz="4" w:space="0" w:color="auto"/>
              <w:bottom w:val="single" w:sz="4" w:space="0" w:color="auto"/>
              <w:right w:val="single" w:sz="4" w:space="0" w:color="auto"/>
            </w:tcBorders>
          </w:tcPr>
          <w:p w14:paraId="4248DD13" w14:textId="77777777" w:rsidR="00AE2D1B" w:rsidRDefault="00AE2D1B" w:rsidP="00756E33"/>
        </w:tc>
      </w:tr>
      <w:tr w:rsidR="00E35664" w14:paraId="2ED65B06" w14:textId="77777777" w:rsidTr="00C677DE">
        <w:tc>
          <w:tcPr>
            <w:tcW w:w="5952" w:type="dxa"/>
            <w:tcBorders>
              <w:top w:val="single" w:sz="4" w:space="0" w:color="auto"/>
              <w:left w:val="single" w:sz="4" w:space="0" w:color="auto"/>
              <w:bottom w:val="single" w:sz="4" w:space="0" w:color="auto"/>
              <w:right w:val="single" w:sz="4" w:space="0" w:color="auto"/>
            </w:tcBorders>
          </w:tcPr>
          <w:p w14:paraId="7E203443" w14:textId="77777777" w:rsidR="00AE2D1B" w:rsidRPr="000131B2" w:rsidRDefault="00AE2D1B" w:rsidP="006B3108">
            <w:pPr>
              <w:pStyle w:val="ListParagraph"/>
              <w:numPr>
                <w:ilvl w:val="0"/>
                <w:numId w:val="34"/>
              </w:numPr>
              <w:rPr>
                <w:rFonts w:cs="Arial"/>
                <w:szCs w:val="22"/>
              </w:rPr>
            </w:pPr>
            <w:r w:rsidRPr="000131B2">
              <w:rPr>
                <w:rFonts w:cs="Arial"/>
              </w:rPr>
              <w:t xml:space="preserve">Will the bidding organisation share its Risk Ledger profile or create one if you are not registered already, to enable continuous risk assessment. </w:t>
            </w:r>
          </w:p>
        </w:tc>
        <w:tc>
          <w:tcPr>
            <w:tcW w:w="1986" w:type="dxa"/>
            <w:tcBorders>
              <w:top w:val="single" w:sz="4" w:space="0" w:color="auto"/>
              <w:left w:val="single" w:sz="4" w:space="0" w:color="auto"/>
              <w:bottom w:val="single" w:sz="4" w:space="0" w:color="auto"/>
              <w:right w:val="single" w:sz="4" w:space="0" w:color="auto"/>
            </w:tcBorders>
          </w:tcPr>
          <w:p w14:paraId="3481DA77" w14:textId="77777777" w:rsidR="00AE2D1B" w:rsidRDefault="00AE2D1B" w:rsidP="00756E33">
            <w:r>
              <w:t>Pass/Fail</w:t>
            </w:r>
          </w:p>
        </w:tc>
        <w:tc>
          <w:tcPr>
            <w:tcW w:w="1560" w:type="dxa"/>
            <w:tcBorders>
              <w:top w:val="single" w:sz="4" w:space="0" w:color="auto"/>
              <w:left w:val="single" w:sz="4" w:space="0" w:color="auto"/>
              <w:bottom w:val="single" w:sz="4" w:space="0" w:color="auto"/>
              <w:right w:val="single" w:sz="4" w:space="0" w:color="auto"/>
            </w:tcBorders>
          </w:tcPr>
          <w:p w14:paraId="74A6CD49" w14:textId="7DDC6D23" w:rsidR="00AE2D1B" w:rsidRDefault="00AE2D1B" w:rsidP="00756E33">
            <w:r>
              <w:t>Yes/No</w:t>
            </w:r>
          </w:p>
        </w:tc>
        <w:tc>
          <w:tcPr>
            <w:tcW w:w="3969" w:type="dxa"/>
            <w:tcBorders>
              <w:top w:val="single" w:sz="4" w:space="0" w:color="auto"/>
              <w:left w:val="single" w:sz="4" w:space="0" w:color="auto"/>
              <w:bottom w:val="single" w:sz="4" w:space="0" w:color="auto"/>
              <w:right w:val="single" w:sz="4" w:space="0" w:color="auto"/>
            </w:tcBorders>
          </w:tcPr>
          <w:p w14:paraId="3E1E635A" w14:textId="77777777" w:rsidR="00AE2D1B" w:rsidRDefault="00AE2D1B" w:rsidP="00756E33"/>
        </w:tc>
      </w:tr>
      <w:tr w:rsidR="00DB0F59" w14:paraId="5710C714" w14:textId="77777777" w:rsidTr="00C677DE">
        <w:tc>
          <w:tcPr>
            <w:tcW w:w="5952" w:type="dxa"/>
            <w:tcBorders>
              <w:top w:val="single" w:sz="4" w:space="0" w:color="auto"/>
              <w:left w:val="single" w:sz="4" w:space="0" w:color="auto"/>
              <w:bottom w:val="single" w:sz="4" w:space="0" w:color="auto"/>
              <w:right w:val="single" w:sz="4" w:space="0" w:color="auto"/>
            </w:tcBorders>
          </w:tcPr>
          <w:p w14:paraId="39425DAA" w14:textId="5233ABA2" w:rsidR="00DB0F59" w:rsidRPr="007B563E" w:rsidRDefault="00DB0F59" w:rsidP="00DB0F59">
            <w:pPr>
              <w:pStyle w:val="ListParagraph"/>
              <w:numPr>
                <w:ilvl w:val="0"/>
                <w:numId w:val="34"/>
              </w:numPr>
              <w:spacing w:after="160" w:line="259" w:lineRule="auto"/>
              <w:rPr>
                <w:rFonts w:ascii="Arial" w:hAnsi="Arial" w:cs="Arial"/>
              </w:rPr>
            </w:pPr>
            <w:r>
              <w:rPr>
                <w:rFonts w:ascii="Arial" w:hAnsi="Arial" w:cs="Arial"/>
              </w:rPr>
              <w:t xml:space="preserve">Is the system </w:t>
            </w:r>
            <w:r w:rsidRPr="007B563E">
              <w:rPr>
                <w:rFonts w:ascii="Arial" w:hAnsi="Arial" w:cs="Arial"/>
              </w:rPr>
              <w:t>capable of integrati</w:t>
            </w:r>
            <w:r w:rsidR="0004261D">
              <w:rPr>
                <w:rFonts w:ascii="Arial" w:hAnsi="Arial" w:cs="Arial"/>
              </w:rPr>
              <w:t>ng</w:t>
            </w:r>
            <w:r w:rsidRPr="007B563E">
              <w:rPr>
                <w:rFonts w:ascii="Arial" w:hAnsi="Arial" w:cs="Arial"/>
              </w:rPr>
              <w:t>/interfacing with other systems (</w:t>
            </w:r>
            <w:proofErr w:type="spellStart"/>
            <w:r w:rsidRPr="007B563E">
              <w:rPr>
                <w:rFonts w:ascii="Arial" w:hAnsi="Arial" w:cs="Arial"/>
              </w:rPr>
              <w:t>inc</w:t>
            </w:r>
            <w:proofErr w:type="spellEnd"/>
            <w:r w:rsidRPr="007B563E">
              <w:rPr>
                <w:rFonts w:ascii="Arial" w:hAnsi="Arial" w:cs="Arial"/>
              </w:rPr>
              <w:t xml:space="preserve"> Gov Skills Campus  &amp; CSL)</w:t>
            </w:r>
            <w:r>
              <w:rPr>
                <w:rFonts w:ascii="Arial" w:hAnsi="Arial" w:cs="Arial"/>
              </w:rPr>
              <w:t>?</w:t>
            </w:r>
          </w:p>
          <w:p w14:paraId="3C93A3C4" w14:textId="77777777" w:rsidR="00DB0F59" w:rsidRDefault="00DB0F59" w:rsidP="00DB0F59">
            <w:pPr>
              <w:pStyle w:val="ListParagraph"/>
              <w:spacing w:after="160" w:line="259" w:lineRule="auto"/>
              <w:rPr>
                <w:rFonts w:ascii="Arial" w:hAnsi="Arial" w:cs="Arial"/>
                <w:shd w:val="clear" w:color="auto" w:fill="FFFFFF"/>
              </w:rPr>
            </w:pPr>
          </w:p>
        </w:tc>
        <w:tc>
          <w:tcPr>
            <w:tcW w:w="1986" w:type="dxa"/>
            <w:tcBorders>
              <w:top w:val="single" w:sz="4" w:space="0" w:color="auto"/>
              <w:left w:val="single" w:sz="4" w:space="0" w:color="auto"/>
              <w:bottom w:val="single" w:sz="4" w:space="0" w:color="auto"/>
              <w:right w:val="single" w:sz="4" w:space="0" w:color="auto"/>
            </w:tcBorders>
          </w:tcPr>
          <w:p w14:paraId="06FE772A" w14:textId="5B7E9487" w:rsidR="00DB0F59" w:rsidRPr="009B113D" w:rsidRDefault="00DB0F59" w:rsidP="00DB0F59">
            <w:r>
              <w:t>Pass/Fail</w:t>
            </w:r>
          </w:p>
        </w:tc>
        <w:tc>
          <w:tcPr>
            <w:tcW w:w="1560" w:type="dxa"/>
            <w:tcBorders>
              <w:top w:val="single" w:sz="4" w:space="0" w:color="auto"/>
              <w:left w:val="single" w:sz="4" w:space="0" w:color="auto"/>
              <w:bottom w:val="single" w:sz="4" w:space="0" w:color="auto"/>
              <w:right w:val="single" w:sz="4" w:space="0" w:color="auto"/>
            </w:tcBorders>
          </w:tcPr>
          <w:p w14:paraId="6B2E3B61" w14:textId="2214DEBB" w:rsidR="00DB0F59" w:rsidRDefault="00DB0F59" w:rsidP="00DB0F59">
            <w:r>
              <w:t>Yes/No</w:t>
            </w:r>
          </w:p>
        </w:tc>
        <w:tc>
          <w:tcPr>
            <w:tcW w:w="3969" w:type="dxa"/>
            <w:tcBorders>
              <w:top w:val="single" w:sz="4" w:space="0" w:color="auto"/>
              <w:left w:val="single" w:sz="4" w:space="0" w:color="auto"/>
              <w:bottom w:val="single" w:sz="4" w:space="0" w:color="auto"/>
              <w:right w:val="single" w:sz="4" w:space="0" w:color="auto"/>
            </w:tcBorders>
          </w:tcPr>
          <w:p w14:paraId="67A8F01F" w14:textId="77777777" w:rsidR="00DB0F59" w:rsidRDefault="00DB0F59" w:rsidP="00DB0F59"/>
        </w:tc>
      </w:tr>
      <w:tr w:rsidR="00E35664" w14:paraId="6CFDCDE2" w14:textId="77777777" w:rsidTr="00C677DE">
        <w:tc>
          <w:tcPr>
            <w:tcW w:w="5952" w:type="dxa"/>
            <w:tcBorders>
              <w:top w:val="single" w:sz="4" w:space="0" w:color="auto"/>
              <w:left w:val="single" w:sz="4" w:space="0" w:color="auto"/>
              <w:bottom w:val="single" w:sz="4" w:space="0" w:color="auto"/>
              <w:right w:val="single" w:sz="4" w:space="0" w:color="auto"/>
            </w:tcBorders>
          </w:tcPr>
          <w:p w14:paraId="7035B094" w14:textId="42E60D49" w:rsidR="009D545A" w:rsidRPr="009D545A" w:rsidRDefault="00A5298E" w:rsidP="009D545A">
            <w:pPr>
              <w:pStyle w:val="ListParagraph"/>
              <w:numPr>
                <w:ilvl w:val="0"/>
                <w:numId w:val="34"/>
              </w:numPr>
              <w:spacing w:after="160" w:line="259" w:lineRule="auto"/>
              <w:rPr>
                <w:rFonts w:ascii="Arial" w:hAnsi="Arial" w:cs="Arial"/>
              </w:rPr>
            </w:pPr>
            <w:r>
              <w:rPr>
                <w:rFonts w:ascii="Arial" w:hAnsi="Arial" w:cs="Arial"/>
                <w:shd w:val="clear" w:color="auto" w:fill="FFFFFF"/>
              </w:rPr>
              <w:t xml:space="preserve">Does the solution meet with </w:t>
            </w:r>
            <w:r w:rsidR="009D545A" w:rsidRPr="009D545A">
              <w:rPr>
                <w:rFonts w:ascii="Arial" w:hAnsi="Arial" w:cs="Arial"/>
                <w:shd w:val="clear" w:color="auto" w:fill="FFFFFF"/>
              </w:rPr>
              <w:t xml:space="preserve">WCAG </w:t>
            </w:r>
            <w:r w:rsidR="00A56A42">
              <w:rPr>
                <w:rFonts w:ascii="Arial" w:hAnsi="Arial" w:cs="Arial"/>
                <w:shd w:val="clear" w:color="auto" w:fill="FFFFFF"/>
              </w:rPr>
              <w:t>2.2 AA</w:t>
            </w:r>
            <w:r w:rsidR="009D545A" w:rsidRPr="009D545A">
              <w:rPr>
                <w:rFonts w:ascii="Arial" w:hAnsi="Arial" w:cs="Arial"/>
                <w:shd w:val="clear" w:color="auto" w:fill="FFFFFF"/>
              </w:rPr>
              <w:t xml:space="preserve"> </w:t>
            </w:r>
            <w:r w:rsidR="009D545A" w:rsidRPr="009D545A">
              <w:rPr>
                <w:rFonts w:ascii="Arial" w:hAnsi="Arial" w:cs="Arial"/>
              </w:rPr>
              <w:t>standards (</w:t>
            </w:r>
            <w:r w:rsidR="009D545A" w:rsidRPr="009D545A">
              <w:rPr>
                <w:rFonts w:ascii="Arial" w:hAnsi="Arial" w:cs="Arial"/>
                <w:shd w:val="clear" w:color="auto" w:fill="FFFFFF"/>
              </w:rPr>
              <w:t>adjustable text sizes, closed captioning, and compatibility with screen readers and any additional features etc ensuring all learners can access training materials)</w:t>
            </w:r>
          </w:p>
          <w:p w14:paraId="706EBB29" w14:textId="56C40A69" w:rsidR="00B164D5" w:rsidRPr="000131B2" w:rsidRDefault="00B164D5" w:rsidP="00CD3C16">
            <w:pPr>
              <w:pStyle w:val="ListParagraph"/>
              <w:rPr>
                <w:rFonts w:cs="Arial"/>
                <w:szCs w:val="22"/>
              </w:rPr>
            </w:pPr>
          </w:p>
        </w:tc>
        <w:tc>
          <w:tcPr>
            <w:tcW w:w="1986" w:type="dxa"/>
            <w:tcBorders>
              <w:top w:val="single" w:sz="4" w:space="0" w:color="auto"/>
              <w:left w:val="single" w:sz="4" w:space="0" w:color="auto"/>
              <w:bottom w:val="single" w:sz="4" w:space="0" w:color="auto"/>
              <w:right w:val="single" w:sz="4" w:space="0" w:color="auto"/>
            </w:tcBorders>
          </w:tcPr>
          <w:p w14:paraId="630F06C2" w14:textId="795ACE11" w:rsidR="00B164D5" w:rsidRDefault="00B164D5" w:rsidP="00B164D5">
            <w:r w:rsidRPr="009B113D">
              <w:t>Pass/Fail</w:t>
            </w:r>
          </w:p>
        </w:tc>
        <w:tc>
          <w:tcPr>
            <w:tcW w:w="1560" w:type="dxa"/>
            <w:tcBorders>
              <w:top w:val="single" w:sz="4" w:space="0" w:color="auto"/>
              <w:left w:val="single" w:sz="4" w:space="0" w:color="auto"/>
              <w:bottom w:val="single" w:sz="4" w:space="0" w:color="auto"/>
              <w:right w:val="single" w:sz="4" w:space="0" w:color="auto"/>
            </w:tcBorders>
          </w:tcPr>
          <w:p w14:paraId="52832BD9" w14:textId="0C3E6A1B" w:rsidR="00B164D5" w:rsidRDefault="00B164D5" w:rsidP="00B164D5">
            <w:r>
              <w:t>Yes/No</w:t>
            </w:r>
          </w:p>
        </w:tc>
        <w:tc>
          <w:tcPr>
            <w:tcW w:w="3969" w:type="dxa"/>
            <w:tcBorders>
              <w:top w:val="single" w:sz="4" w:space="0" w:color="auto"/>
              <w:left w:val="single" w:sz="4" w:space="0" w:color="auto"/>
              <w:bottom w:val="single" w:sz="4" w:space="0" w:color="auto"/>
              <w:right w:val="single" w:sz="4" w:space="0" w:color="auto"/>
            </w:tcBorders>
          </w:tcPr>
          <w:p w14:paraId="0D3608D7" w14:textId="77777777" w:rsidR="00B164D5" w:rsidRDefault="00B164D5" w:rsidP="00B164D5"/>
        </w:tc>
      </w:tr>
      <w:tr w:rsidR="00E35664" w14:paraId="713D8660" w14:textId="77777777" w:rsidTr="00C677DE">
        <w:tc>
          <w:tcPr>
            <w:tcW w:w="5952" w:type="dxa"/>
            <w:tcBorders>
              <w:top w:val="single" w:sz="4" w:space="0" w:color="auto"/>
              <w:left w:val="nil"/>
              <w:bottom w:val="nil"/>
              <w:right w:val="nil"/>
            </w:tcBorders>
          </w:tcPr>
          <w:p w14:paraId="6B2F9BB9" w14:textId="77777777" w:rsidR="00AE2D1B" w:rsidRPr="00B53F2A" w:rsidRDefault="00AE2D1B" w:rsidP="00756E33">
            <w:pPr>
              <w:rPr>
                <w:rFonts w:cs="Arial"/>
                <w:szCs w:val="22"/>
              </w:rPr>
            </w:pPr>
          </w:p>
        </w:tc>
        <w:tc>
          <w:tcPr>
            <w:tcW w:w="1986" w:type="dxa"/>
            <w:tcBorders>
              <w:top w:val="single" w:sz="4" w:space="0" w:color="auto"/>
              <w:left w:val="nil"/>
              <w:bottom w:val="nil"/>
              <w:right w:val="nil"/>
            </w:tcBorders>
          </w:tcPr>
          <w:p w14:paraId="1C75FD49" w14:textId="77777777" w:rsidR="00AE2D1B" w:rsidRDefault="00AE2D1B" w:rsidP="00756E33"/>
        </w:tc>
        <w:tc>
          <w:tcPr>
            <w:tcW w:w="1560" w:type="dxa"/>
            <w:tcBorders>
              <w:top w:val="single" w:sz="4" w:space="0" w:color="auto"/>
              <w:left w:val="nil"/>
              <w:bottom w:val="nil"/>
              <w:right w:val="nil"/>
            </w:tcBorders>
          </w:tcPr>
          <w:p w14:paraId="75829921" w14:textId="77777777" w:rsidR="00AE2D1B" w:rsidRDefault="00AE2D1B" w:rsidP="00756E33"/>
        </w:tc>
        <w:tc>
          <w:tcPr>
            <w:tcW w:w="3969" w:type="dxa"/>
            <w:tcBorders>
              <w:top w:val="single" w:sz="4" w:space="0" w:color="auto"/>
              <w:left w:val="nil"/>
              <w:bottom w:val="nil"/>
              <w:right w:val="nil"/>
            </w:tcBorders>
          </w:tcPr>
          <w:p w14:paraId="2E398F5C" w14:textId="77777777" w:rsidR="00AE2D1B" w:rsidRDefault="00AE2D1B" w:rsidP="00756E33"/>
        </w:tc>
      </w:tr>
      <w:tr w:rsidR="00AE2D1B" w14:paraId="4FCC4DCF" w14:textId="77777777" w:rsidTr="007B2E4B">
        <w:trPr>
          <w:trHeight w:val="596"/>
        </w:trPr>
        <w:tc>
          <w:tcPr>
            <w:tcW w:w="13467" w:type="dxa"/>
            <w:gridSpan w:val="4"/>
            <w:tcBorders>
              <w:top w:val="nil"/>
              <w:left w:val="nil"/>
              <w:bottom w:val="nil"/>
              <w:right w:val="nil"/>
            </w:tcBorders>
          </w:tcPr>
          <w:p w14:paraId="6058F56D" w14:textId="77777777" w:rsidR="00AE2D1B" w:rsidRDefault="00AE2D1B" w:rsidP="00756E33"/>
        </w:tc>
      </w:tr>
    </w:tbl>
    <w:p w14:paraId="722F10E0" w14:textId="77777777" w:rsidR="007B2E4B" w:rsidRDefault="007B2E4B">
      <w:r>
        <w:br w:type="page"/>
      </w:r>
    </w:p>
    <w:tbl>
      <w:tblPr>
        <w:tblStyle w:val="TableGrid"/>
        <w:tblW w:w="9638" w:type="dxa"/>
        <w:tblInd w:w="-5" w:type="dxa"/>
        <w:tblLook w:val="04A0" w:firstRow="1" w:lastRow="0" w:firstColumn="1" w:lastColumn="0" w:noHBand="0" w:noVBand="1"/>
      </w:tblPr>
      <w:tblGrid>
        <w:gridCol w:w="5952"/>
        <w:gridCol w:w="3391"/>
        <w:gridCol w:w="1350"/>
        <w:gridCol w:w="2284"/>
      </w:tblGrid>
      <w:tr w:rsidR="00AE2D1B" w14:paraId="6C4B69F3" w14:textId="77777777" w:rsidTr="03FB3CAB">
        <w:tc>
          <w:tcPr>
            <w:tcW w:w="9638" w:type="dxa"/>
            <w:gridSpan w:val="4"/>
            <w:tcBorders>
              <w:top w:val="nil"/>
              <w:left w:val="nil"/>
              <w:bottom w:val="single" w:sz="12" w:space="0" w:color="000000" w:themeColor="text2"/>
              <w:right w:val="nil"/>
            </w:tcBorders>
          </w:tcPr>
          <w:p w14:paraId="6BD1D7A9" w14:textId="0B525FBA" w:rsidR="00AE2D1B" w:rsidRDefault="00AE2D1B" w:rsidP="00756E33">
            <w:r>
              <w:lastRenderedPageBreak/>
              <w:br/>
            </w:r>
          </w:p>
        </w:tc>
      </w:tr>
      <w:tr w:rsidR="00BC24A7" w14:paraId="29AA76B4" w14:textId="77777777" w:rsidTr="03FB3CAB">
        <w:tc>
          <w:tcPr>
            <w:tcW w:w="9638" w:type="dxa"/>
            <w:gridSpan w:val="4"/>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3B21540D" w14:textId="475BD9F8" w:rsidR="00BC24A7" w:rsidRPr="00445953" w:rsidRDefault="00BC24A7" w:rsidP="00756E33">
            <w:r w:rsidRPr="00BC24A7">
              <w:rPr>
                <w:b/>
                <w:bCs/>
                <w:i/>
                <w:iCs/>
              </w:rPr>
              <w:t>Scored Questions</w:t>
            </w:r>
            <w:r w:rsidRPr="00BC24A7">
              <w:rPr>
                <w:i/>
                <w:iCs/>
              </w:rPr>
              <w:t xml:space="preserve"> – a total maximum </w:t>
            </w:r>
            <w:r w:rsidRPr="00445953">
              <w:rPr>
                <w:i/>
                <w:iCs/>
              </w:rPr>
              <w:t xml:space="preserve">score of </w:t>
            </w:r>
            <w:r w:rsidR="00FA55AA" w:rsidRPr="00445953">
              <w:rPr>
                <w:i/>
                <w:iCs/>
              </w:rPr>
              <w:t xml:space="preserve">300 </w:t>
            </w:r>
            <w:r w:rsidRPr="00445953">
              <w:rPr>
                <w:i/>
                <w:iCs/>
              </w:rPr>
              <w:t>marks is available in this section of the evaluation.</w:t>
            </w:r>
            <w:r w:rsidR="00906975" w:rsidRPr="00445953">
              <w:rPr>
                <w:i/>
                <w:iCs/>
              </w:rPr>
              <w:t xml:space="preserve"> </w:t>
            </w:r>
            <w:r w:rsidR="52DFB22C" w:rsidRPr="00445953">
              <w:rPr>
                <w:i/>
                <w:iCs/>
              </w:rPr>
              <w:t xml:space="preserve">In the first instance </w:t>
            </w:r>
            <w:r w:rsidR="688C9115" w:rsidRPr="00445953">
              <w:rPr>
                <w:i/>
                <w:iCs/>
              </w:rPr>
              <w:t>Tenderers</w:t>
            </w:r>
            <w:r w:rsidR="52DFB22C" w:rsidRPr="00445953">
              <w:rPr>
                <w:i/>
                <w:iCs/>
              </w:rPr>
              <w:t xml:space="preserve">’ scores will be </w:t>
            </w:r>
            <w:r w:rsidR="410B422E" w:rsidRPr="00445953">
              <w:rPr>
                <w:i/>
                <w:iCs/>
              </w:rPr>
              <w:t>totalled</w:t>
            </w:r>
            <w:r w:rsidR="52DFB22C" w:rsidRPr="00445953">
              <w:rPr>
                <w:i/>
                <w:iCs/>
              </w:rPr>
              <w:t xml:space="preserve"> to give a total raw score for this ‘Scored Questions’ section. Any tenderer not scoring above the quality threshold of</w:t>
            </w:r>
            <w:r w:rsidR="00FA55AA" w:rsidRPr="00445953">
              <w:rPr>
                <w:i/>
                <w:iCs/>
              </w:rPr>
              <w:t xml:space="preserve"> 195 marks out of 300</w:t>
            </w:r>
            <w:r w:rsidR="52DFB22C" w:rsidRPr="00445953">
              <w:t xml:space="preserve"> </w:t>
            </w:r>
            <w:r w:rsidR="52DFB22C" w:rsidRPr="00445953">
              <w:rPr>
                <w:i/>
                <w:iCs/>
              </w:rPr>
              <w:t xml:space="preserve">will </w:t>
            </w:r>
            <w:r w:rsidR="52DFB22C" w:rsidRPr="00445953">
              <w:rPr>
                <w:i/>
                <w:iCs/>
                <w:u w:val="single"/>
              </w:rPr>
              <w:t>not be evaluated further</w:t>
            </w:r>
            <w:r w:rsidR="52DFB22C" w:rsidRPr="00445953">
              <w:t>.</w:t>
            </w:r>
          </w:p>
          <w:p w14:paraId="6717A1CD" w14:textId="5DFD980A" w:rsidR="38E8BADD" w:rsidRPr="00445953" w:rsidRDefault="38E8BADD" w:rsidP="03FB3CAB">
            <w:pPr>
              <w:rPr>
                <w:i/>
                <w:iCs/>
              </w:rPr>
            </w:pPr>
            <w:r w:rsidRPr="00445953">
              <w:rPr>
                <w:i/>
                <w:iCs/>
              </w:rPr>
              <w:t xml:space="preserve">MHRA intends to invite no more than </w:t>
            </w:r>
            <w:r w:rsidRPr="00445953">
              <w:rPr>
                <w:i/>
                <w:iCs/>
                <w:u w:val="single"/>
              </w:rPr>
              <w:t>five</w:t>
            </w:r>
            <w:r w:rsidRPr="00445953">
              <w:rPr>
                <w:i/>
                <w:iCs/>
              </w:rPr>
              <w:t xml:space="preserve"> Tenderers to provide a demonstration of their solution in January 2026.</w:t>
            </w:r>
            <w:r w:rsidR="00FA55AA" w:rsidRPr="00445953">
              <w:rPr>
                <w:i/>
                <w:iCs/>
              </w:rPr>
              <w:t xml:space="preserve"> MHRA will invite the top five highest-scoring Tenderers in this initial scoring</w:t>
            </w:r>
            <w:r w:rsidR="00A94176" w:rsidRPr="00445953">
              <w:rPr>
                <w:i/>
                <w:iCs/>
              </w:rPr>
              <w:t xml:space="preserve"> to provide presentations.</w:t>
            </w:r>
          </w:p>
          <w:p w14:paraId="360D2DEA" w14:textId="77777777" w:rsidR="00BC24A7" w:rsidRDefault="00BC24A7" w:rsidP="00756E33">
            <w:pPr>
              <w:rPr>
                <w:i/>
                <w:iCs/>
              </w:rPr>
            </w:pPr>
          </w:p>
          <w:p w14:paraId="031E9CCF" w14:textId="3D1BD63C" w:rsidR="00D664D3" w:rsidRPr="00445953" w:rsidRDefault="00D664D3" w:rsidP="00D664D3">
            <w:pPr>
              <w:rPr>
                <w:rFonts w:ascii="Arial" w:hAnsi="Arial" w:cs="Arial"/>
                <w:sz w:val="22"/>
                <w:szCs w:val="22"/>
              </w:rPr>
            </w:pPr>
            <w:r w:rsidRPr="00445953">
              <w:rPr>
                <w:b/>
                <w:bCs/>
                <w:i/>
                <w:iCs/>
                <w:sz w:val="22"/>
                <w:szCs w:val="22"/>
              </w:rPr>
              <w:t>Scoring guide:</w:t>
            </w:r>
            <w:r w:rsidRPr="00445953">
              <w:rPr>
                <w:b/>
                <w:bCs/>
                <w:i/>
                <w:iCs/>
                <w:sz w:val="22"/>
                <w:szCs w:val="22"/>
              </w:rPr>
              <w:br/>
            </w:r>
            <w:r w:rsidRPr="00445953">
              <w:rPr>
                <w:rFonts w:ascii="Arial" w:hAnsi="Arial" w:cs="Arial"/>
                <w:sz w:val="22"/>
                <w:szCs w:val="22"/>
              </w:rPr>
              <w:t>0= No response or wholly inadequate</w:t>
            </w:r>
            <w:r w:rsidRPr="00445953">
              <w:rPr>
                <w:rFonts w:ascii="Arial" w:hAnsi="Arial" w:cs="Arial"/>
                <w:sz w:val="22"/>
                <w:szCs w:val="22"/>
              </w:rPr>
              <w:br/>
              <w:t>10 = Good response with relevant detail</w:t>
            </w:r>
          </w:p>
          <w:p w14:paraId="48725EFB" w14:textId="1608FF95" w:rsidR="00D664D3" w:rsidRPr="00445953" w:rsidRDefault="00D664D3" w:rsidP="00D664D3">
            <w:pPr>
              <w:rPr>
                <w:rFonts w:ascii="Arial" w:hAnsi="Arial" w:cs="Arial"/>
                <w:sz w:val="22"/>
                <w:szCs w:val="22"/>
              </w:rPr>
            </w:pPr>
            <w:r w:rsidRPr="00445953">
              <w:rPr>
                <w:rFonts w:ascii="Arial" w:hAnsi="Arial" w:cs="Arial"/>
                <w:sz w:val="22"/>
                <w:szCs w:val="22"/>
              </w:rPr>
              <w:t xml:space="preserve">20 = Good response with clear evidence, and alignment to </w:t>
            </w:r>
            <w:r w:rsidR="00271FC1" w:rsidRPr="00445953">
              <w:rPr>
                <w:rFonts w:ascii="Arial" w:hAnsi="Arial" w:cs="Arial"/>
                <w:sz w:val="22"/>
                <w:szCs w:val="22"/>
              </w:rPr>
              <w:t>goals stated in the overview of requirement</w:t>
            </w:r>
          </w:p>
          <w:p w14:paraId="3BA1C80A" w14:textId="4C39B9D3" w:rsidR="00271FC1" w:rsidRPr="002B10A5" w:rsidRDefault="00D664D3" w:rsidP="00271FC1">
            <w:pPr>
              <w:rPr>
                <w:rFonts w:ascii="Arial" w:hAnsi="Arial" w:cs="Arial"/>
                <w:sz w:val="22"/>
                <w:szCs w:val="22"/>
              </w:rPr>
            </w:pPr>
            <w:r w:rsidRPr="00445953">
              <w:rPr>
                <w:rFonts w:ascii="Arial" w:hAnsi="Arial" w:cs="Arial"/>
                <w:sz w:val="22"/>
                <w:szCs w:val="22"/>
              </w:rPr>
              <w:t xml:space="preserve">25 = Excellent response with clear evidence, innovation, and alignment to </w:t>
            </w:r>
            <w:r w:rsidR="00271FC1" w:rsidRPr="00445953">
              <w:rPr>
                <w:rFonts w:ascii="Arial" w:hAnsi="Arial" w:cs="Arial"/>
                <w:sz w:val="22"/>
                <w:szCs w:val="22"/>
              </w:rPr>
              <w:t>goals stated in the overview of requirement</w:t>
            </w:r>
          </w:p>
          <w:p w14:paraId="66B29C59" w14:textId="4883F183" w:rsidR="00D664D3" w:rsidRPr="002B10A5" w:rsidRDefault="00D664D3" w:rsidP="00D664D3">
            <w:pPr>
              <w:rPr>
                <w:rFonts w:ascii="Arial" w:hAnsi="Arial" w:cs="Arial"/>
                <w:sz w:val="22"/>
                <w:szCs w:val="22"/>
              </w:rPr>
            </w:pPr>
          </w:p>
          <w:p w14:paraId="6436E98B" w14:textId="66CDE031" w:rsidR="007B2E4B" w:rsidRPr="00BC24A7" w:rsidRDefault="007B2E4B" w:rsidP="00756E33">
            <w:pPr>
              <w:rPr>
                <w:i/>
                <w:iCs/>
              </w:rPr>
            </w:pPr>
          </w:p>
        </w:tc>
      </w:tr>
      <w:tr w:rsidR="00E35664" w14:paraId="0A90A806"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242C7D59" w14:textId="77777777" w:rsidR="00AE2D1B" w:rsidRDefault="00AE2D1B" w:rsidP="00756E33">
            <w:r w:rsidRPr="00B53F2A">
              <w:rPr>
                <w:rFonts w:cs="Arial"/>
                <w:szCs w:val="22"/>
              </w:rPr>
              <w:t>Award Criterion/Question</w:t>
            </w: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59D192BA" w14:textId="77777777" w:rsidR="00AE2D1B" w:rsidRDefault="00AE2D1B" w:rsidP="00756E33">
            <w:r>
              <w:t>Information</w:t>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57F6C9C7" w14:textId="77777777" w:rsidR="00AE2D1B" w:rsidRDefault="00AE2D1B" w:rsidP="00756E33">
            <w:r>
              <w:t>Answer</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31A7B9D3" w14:textId="77777777" w:rsidR="00AE2D1B" w:rsidRDefault="00AE2D1B" w:rsidP="00756E33">
            <w:r>
              <w:t>Supplementary Information/Answer</w:t>
            </w:r>
          </w:p>
        </w:tc>
      </w:tr>
      <w:tr w:rsidR="00E35664" w14:paraId="62DFFB5A"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A740B03" w14:textId="437C679B" w:rsidR="00805195" w:rsidRPr="00C714E2" w:rsidRDefault="00335BFF" w:rsidP="006B3108">
            <w:pPr>
              <w:pStyle w:val="ListParagraph"/>
              <w:numPr>
                <w:ilvl w:val="0"/>
                <w:numId w:val="36"/>
              </w:numPr>
              <w:spacing w:after="160" w:line="259" w:lineRule="auto"/>
              <w:rPr>
                <w:rFonts w:ascii="Arial" w:hAnsi="Arial" w:cs="Arial"/>
              </w:rPr>
            </w:pPr>
            <w:r>
              <w:rPr>
                <w:rFonts w:ascii="Arial" w:hAnsi="Arial" w:cs="Arial"/>
              </w:rPr>
              <w:t>Detail</w:t>
            </w:r>
            <w:r w:rsidR="00805195" w:rsidRPr="00C714E2">
              <w:rPr>
                <w:rFonts w:ascii="Arial" w:hAnsi="Arial" w:cs="Arial"/>
              </w:rPr>
              <w:t xml:space="preserve"> the customisation features of the system that would support:</w:t>
            </w:r>
          </w:p>
          <w:p w14:paraId="10D74FC1" w14:textId="77777777" w:rsidR="00805195" w:rsidRPr="001909B9" w:rsidRDefault="00805195" w:rsidP="006B3108">
            <w:pPr>
              <w:pStyle w:val="ListParagraph"/>
              <w:numPr>
                <w:ilvl w:val="0"/>
                <w:numId w:val="35"/>
              </w:numPr>
              <w:spacing w:after="160" w:line="259" w:lineRule="auto"/>
              <w:rPr>
                <w:rFonts w:ascii="Arial" w:hAnsi="Arial" w:cs="Arial"/>
              </w:rPr>
            </w:pPr>
            <w:r w:rsidRPr="001909B9">
              <w:rPr>
                <w:rFonts w:ascii="Arial" w:hAnsi="Arial" w:cs="Arial"/>
              </w:rPr>
              <w:t>MHRA Brand Customisation</w:t>
            </w:r>
          </w:p>
          <w:p w14:paraId="4686F92A" w14:textId="77777777" w:rsidR="00805195" w:rsidRPr="001909B9" w:rsidRDefault="00805195" w:rsidP="006B3108">
            <w:pPr>
              <w:pStyle w:val="ListParagraph"/>
              <w:numPr>
                <w:ilvl w:val="0"/>
                <w:numId w:val="35"/>
              </w:numPr>
              <w:spacing w:after="160" w:line="259" w:lineRule="auto"/>
              <w:rPr>
                <w:rFonts w:ascii="Arial" w:hAnsi="Arial" w:cs="Arial"/>
              </w:rPr>
            </w:pPr>
            <w:r>
              <w:rPr>
                <w:rFonts w:ascii="Arial" w:hAnsi="Arial" w:cs="Arial"/>
                <w:shd w:val="clear" w:color="auto" w:fill="FFFFFF"/>
              </w:rPr>
              <w:t xml:space="preserve">The assignment of role access permissions to different levels of users (individual, line manager, Business administrators/Learning Leads, Course designers/content leads, Talent &amp; Capabilities team roles.)   </w:t>
            </w:r>
            <w:r w:rsidRPr="001909B9">
              <w:rPr>
                <w:rFonts w:ascii="Arial" w:hAnsi="Arial" w:cs="Arial"/>
              </w:rPr>
              <w:t xml:space="preserve"> </w:t>
            </w:r>
          </w:p>
          <w:p w14:paraId="4311A197" w14:textId="1A90B6D1" w:rsidR="00805195" w:rsidRPr="001909B9" w:rsidRDefault="00805195" w:rsidP="006B3108">
            <w:pPr>
              <w:pStyle w:val="ListParagraph"/>
              <w:numPr>
                <w:ilvl w:val="0"/>
                <w:numId w:val="35"/>
              </w:numPr>
              <w:spacing w:after="160" w:line="259" w:lineRule="auto"/>
              <w:rPr>
                <w:rFonts w:ascii="Arial" w:hAnsi="Arial" w:cs="Arial"/>
              </w:rPr>
            </w:pPr>
            <w:r w:rsidRPr="001909B9">
              <w:rPr>
                <w:rFonts w:ascii="Arial" w:hAnsi="Arial" w:cs="Arial"/>
              </w:rPr>
              <w:t xml:space="preserve">The ability to create </w:t>
            </w:r>
            <w:r>
              <w:rPr>
                <w:rFonts w:ascii="Arial" w:hAnsi="Arial" w:cs="Arial"/>
              </w:rPr>
              <w:t xml:space="preserve">and assign </w:t>
            </w:r>
            <w:r w:rsidRPr="001909B9">
              <w:rPr>
                <w:rFonts w:ascii="Arial" w:hAnsi="Arial" w:cs="Arial"/>
              </w:rPr>
              <w:t>tailored learning paths for learners</w:t>
            </w:r>
            <w:r w:rsidR="000F6B43">
              <w:rPr>
                <w:rFonts w:ascii="Arial" w:hAnsi="Arial" w:cs="Arial"/>
              </w:rPr>
              <w:t xml:space="preserve"> (including to multiple roles) </w:t>
            </w:r>
            <w:r w:rsidR="00913C86">
              <w:rPr>
                <w:rFonts w:ascii="Arial" w:hAnsi="Arial" w:cs="Arial"/>
              </w:rPr>
              <w:t xml:space="preserve"> </w:t>
            </w:r>
            <w:r w:rsidRPr="001909B9">
              <w:rPr>
                <w:rFonts w:ascii="Arial" w:hAnsi="Arial" w:cs="Arial"/>
              </w:rPr>
              <w:t xml:space="preserve"> and to structure content and assessments to align with </w:t>
            </w:r>
            <w:r>
              <w:rPr>
                <w:rFonts w:ascii="Arial" w:hAnsi="Arial" w:cs="Arial"/>
              </w:rPr>
              <w:t>specific learning programme</w:t>
            </w:r>
            <w:r w:rsidRPr="001909B9">
              <w:rPr>
                <w:rFonts w:ascii="Arial" w:hAnsi="Arial" w:cs="Arial"/>
              </w:rPr>
              <w:t xml:space="preserve"> objectives</w:t>
            </w:r>
            <w:r>
              <w:rPr>
                <w:rFonts w:ascii="Arial" w:hAnsi="Arial" w:cs="Arial"/>
              </w:rPr>
              <w:t xml:space="preserve"> and defined by categories (dept, topic, audience etc) </w:t>
            </w:r>
            <w:r w:rsidRPr="001909B9">
              <w:rPr>
                <w:rFonts w:ascii="Arial" w:hAnsi="Arial" w:cs="Arial"/>
              </w:rPr>
              <w:t xml:space="preserve"> </w:t>
            </w:r>
          </w:p>
          <w:p w14:paraId="6A8AB5E2" w14:textId="38D2A76D" w:rsidR="00AE2D1B" w:rsidRPr="00706F45" w:rsidRDefault="00AE2D1B" w:rsidP="00414A69">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67098C8" w14:textId="77777777" w:rsidR="00AE2D1B" w:rsidRDefault="00AE2D1B" w:rsidP="00756E33">
            <w:r>
              <w:t>Scored:</w:t>
            </w:r>
          </w:p>
          <w:p w14:paraId="08A23043" w14:textId="116926B5" w:rsidR="00AE2D1B" w:rsidRDefault="00F86927" w:rsidP="00756E33">
            <w:r>
              <w:t xml:space="preserve">Full detail across all bullets </w:t>
            </w:r>
            <w:r w:rsidR="00AE2D1B">
              <w:t xml:space="preserve"> – 25 marks</w:t>
            </w:r>
          </w:p>
          <w:p w14:paraId="51223AA1" w14:textId="6AF3DEE6" w:rsidR="00AE2D1B" w:rsidRDefault="005777B4" w:rsidP="00756E33">
            <w:r>
              <w:t>Otherwise, in line with ‘Scoring guide’.</w:t>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2930067C" w14:textId="77777777" w:rsidR="00AE2D1B" w:rsidRDefault="00AE2D1B" w:rsidP="00756E33">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2758E47" w14:textId="77777777" w:rsidR="00AE2D1B" w:rsidRDefault="00AE2D1B" w:rsidP="00756E33"/>
        </w:tc>
      </w:tr>
      <w:tr w:rsidR="00E35664" w14:paraId="689240E4"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666CD7B" w14:textId="3D72C684" w:rsidR="00ED6D52" w:rsidRPr="00ED6D52" w:rsidRDefault="00ED6D52" w:rsidP="006B3108">
            <w:pPr>
              <w:pStyle w:val="ListParagraph"/>
              <w:numPr>
                <w:ilvl w:val="0"/>
                <w:numId w:val="36"/>
              </w:numPr>
              <w:spacing w:after="160" w:line="259" w:lineRule="auto"/>
              <w:rPr>
                <w:rFonts w:ascii="Arial" w:hAnsi="Arial" w:cs="Arial"/>
                <w:color w:val="0070C0"/>
              </w:rPr>
            </w:pPr>
            <w:r>
              <w:rPr>
                <w:rFonts w:ascii="Arial" w:hAnsi="Arial" w:cs="Arial"/>
              </w:rPr>
              <w:lastRenderedPageBreak/>
              <w:t>Explain</w:t>
            </w:r>
            <w:r w:rsidR="00BD6D7A">
              <w:rPr>
                <w:rFonts w:ascii="Arial" w:hAnsi="Arial" w:cs="Arial"/>
              </w:rPr>
              <w:t>,</w:t>
            </w:r>
            <w:r>
              <w:rPr>
                <w:rFonts w:ascii="Arial" w:hAnsi="Arial" w:cs="Arial"/>
              </w:rPr>
              <w:t xml:space="preserve"> </w:t>
            </w:r>
            <w:r w:rsidR="00A53B44">
              <w:rPr>
                <w:rFonts w:ascii="Arial" w:hAnsi="Arial" w:cs="Arial"/>
              </w:rPr>
              <w:t xml:space="preserve">with supporting detail </w:t>
            </w:r>
            <w:r w:rsidRPr="00ED6D52">
              <w:rPr>
                <w:rFonts w:ascii="Arial" w:hAnsi="Arial" w:cs="Arial"/>
              </w:rPr>
              <w:t xml:space="preserve">the type (and versions) of content that the system can support to enable the provision </w:t>
            </w:r>
            <w:r w:rsidR="005A0A88">
              <w:rPr>
                <w:rFonts w:ascii="Arial" w:hAnsi="Arial" w:cs="Arial"/>
              </w:rPr>
              <w:t xml:space="preserve">and creation </w:t>
            </w:r>
            <w:r w:rsidRPr="00ED6D52">
              <w:rPr>
                <w:rFonts w:ascii="Arial" w:hAnsi="Arial" w:cs="Arial"/>
              </w:rPr>
              <w:t xml:space="preserve">of varied, engaging and collaborative learning experiences to enhance learner engagement and deliver effective learning experiences which can also include </w:t>
            </w:r>
            <w:r w:rsidR="00F02A9F">
              <w:rPr>
                <w:rFonts w:ascii="Arial" w:hAnsi="Arial" w:cs="Arial"/>
              </w:rPr>
              <w:t xml:space="preserve">the use of </w:t>
            </w:r>
            <w:r w:rsidRPr="00ED6D52">
              <w:rPr>
                <w:rFonts w:ascii="Arial" w:hAnsi="Arial" w:cs="Arial"/>
              </w:rPr>
              <w:t>assessments</w:t>
            </w:r>
            <w:r w:rsidR="00F02A9F">
              <w:rPr>
                <w:rFonts w:ascii="Arial" w:hAnsi="Arial" w:cs="Arial"/>
              </w:rPr>
              <w:t xml:space="preserve"> to test knowledge </w:t>
            </w:r>
            <w:r w:rsidR="008459E3">
              <w:rPr>
                <w:rFonts w:ascii="Arial" w:hAnsi="Arial" w:cs="Arial"/>
              </w:rPr>
              <w:t>retention and understanding of appropriate application</w:t>
            </w:r>
            <w:r w:rsidRPr="00ED6D52">
              <w:rPr>
                <w:rFonts w:ascii="Arial" w:hAnsi="Arial" w:cs="Arial"/>
              </w:rPr>
              <w:t>.</w:t>
            </w:r>
          </w:p>
          <w:p w14:paraId="45BAA96D" w14:textId="046DC982" w:rsidR="00AE2D1B" w:rsidRPr="0062552C" w:rsidRDefault="00AE2D1B" w:rsidP="00ED6D52">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A9252AF" w14:textId="77777777" w:rsidR="007C2C6A" w:rsidRPr="00AD0792" w:rsidRDefault="007C2C6A" w:rsidP="007C2C6A">
            <w:r w:rsidRPr="00AD0792">
              <w:t>Scored:</w:t>
            </w:r>
          </w:p>
          <w:p w14:paraId="2A7AB926" w14:textId="06F2CBB1" w:rsidR="007C2C6A" w:rsidRDefault="00F0632C" w:rsidP="00993271">
            <w:pPr>
              <w:spacing w:after="160" w:line="259" w:lineRule="auto"/>
              <w:ind w:left="360"/>
            </w:pPr>
            <w:r w:rsidRPr="00AD0792">
              <w:rPr>
                <w:rFonts w:ascii="Arial" w:hAnsi="Arial" w:cs="Arial"/>
              </w:rPr>
              <w:t>Full d</w:t>
            </w:r>
            <w:r w:rsidR="0025250B" w:rsidRPr="00AD0792">
              <w:rPr>
                <w:rFonts w:ascii="Arial" w:hAnsi="Arial" w:cs="Arial"/>
              </w:rPr>
              <w:t xml:space="preserve">etailed explanation of system’s capability </w:t>
            </w:r>
            <w:r w:rsidR="00A53B44" w:rsidRPr="00AD0792">
              <w:t xml:space="preserve">to </w:t>
            </w:r>
            <w:r w:rsidR="007E4348" w:rsidRPr="00AD0792">
              <w:t xml:space="preserve">support a wide and varied range of content </w:t>
            </w:r>
            <w:r w:rsidR="001A5B96" w:rsidRPr="00AD0792">
              <w:t>(</w:t>
            </w:r>
            <w:r w:rsidR="001A5B96" w:rsidRPr="00AD0792">
              <w:rPr>
                <w:rFonts w:ascii="Arial" w:hAnsi="Arial" w:cs="Arial"/>
              </w:rPr>
              <w:t xml:space="preserve">SCORM files, </w:t>
            </w:r>
            <w:r w:rsidR="00446E98" w:rsidRPr="00AD0792">
              <w:rPr>
                <w:rFonts w:ascii="Arial" w:hAnsi="Arial" w:cs="Arial"/>
              </w:rPr>
              <w:t xml:space="preserve">interactive </w:t>
            </w:r>
            <w:r w:rsidR="001A5B96" w:rsidRPr="00AD0792">
              <w:rPr>
                <w:rFonts w:ascii="Arial" w:hAnsi="Arial" w:cs="Arial"/>
              </w:rPr>
              <w:t>videos Documents/PDFs Live Sessions/Webinars Social/collaborative learning forums</w:t>
            </w:r>
            <w:r w:rsidR="00D13F1C" w:rsidRPr="00AD0792">
              <w:rPr>
                <w:rFonts w:ascii="Arial" w:hAnsi="Arial" w:cs="Arial"/>
              </w:rPr>
              <w:t xml:space="preserve">, </w:t>
            </w:r>
            <w:r w:rsidR="001A5B96" w:rsidRPr="00AD0792">
              <w:rPr>
                <w:rFonts w:ascii="Arial" w:hAnsi="Arial" w:cs="Arial"/>
              </w:rPr>
              <w:t xml:space="preserve">ability to link with O365 </w:t>
            </w:r>
            <w:r w:rsidR="00D13F1C" w:rsidRPr="00AD0792">
              <w:rPr>
                <w:rFonts w:ascii="Arial" w:hAnsi="Arial" w:cs="Arial"/>
              </w:rPr>
              <w:t>(</w:t>
            </w:r>
            <w:r w:rsidR="001A5B96" w:rsidRPr="00AD0792">
              <w:rPr>
                <w:rFonts w:ascii="Arial" w:hAnsi="Arial" w:cs="Arial"/>
              </w:rPr>
              <w:t>not essential</w:t>
            </w:r>
            <w:r w:rsidR="00D13F1C" w:rsidRPr="00AD0792">
              <w:rPr>
                <w:rFonts w:ascii="Arial" w:hAnsi="Arial" w:cs="Arial"/>
              </w:rPr>
              <w:t>)</w:t>
            </w:r>
            <w:r w:rsidR="001A5B96" w:rsidRPr="00AD0792">
              <w:rPr>
                <w:rFonts w:ascii="Arial" w:hAnsi="Arial" w:cs="Arial"/>
              </w:rPr>
              <w:t xml:space="preserve"> </w:t>
            </w:r>
            <w:r w:rsidR="00993271" w:rsidRPr="00AD0792">
              <w:rPr>
                <w:rFonts w:ascii="Arial" w:hAnsi="Arial" w:cs="Arial"/>
              </w:rPr>
              <w:t>a</w:t>
            </w:r>
            <w:r w:rsidR="003F11F5" w:rsidRPr="00AD0792">
              <w:rPr>
                <w:rFonts w:ascii="Arial" w:hAnsi="Arial" w:cs="Arial"/>
              </w:rPr>
              <w:t>nimation</w:t>
            </w:r>
            <w:r w:rsidR="00993271" w:rsidRPr="00AD0792">
              <w:rPr>
                <w:rFonts w:ascii="Arial" w:hAnsi="Arial" w:cs="Arial"/>
              </w:rPr>
              <w:t>s, l</w:t>
            </w:r>
            <w:r w:rsidR="003F11F5" w:rsidRPr="00AD0792">
              <w:rPr>
                <w:rFonts w:ascii="Arial" w:hAnsi="Arial" w:cs="Arial"/>
              </w:rPr>
              <w:t xml:space="preserve">inks to external learning </w:t>
            </w:r>
            <w:r w:rsidR="00C25ED6" w:rsidRPr="00AD0792">
              <w:rPr>
                <w:rFonts w:ascii="Arial" w:hAnsi="Arial" w:cs="Arial"/>
              </w:rPr>
              <w:t>resources, Case</w:t>
            </w:r>
            <w:r w:rsidR="001A5B96" w:rsidRPr="00AD0792">
              <w:rPr>
                <w:rFonts w:ascii="Arial" w:hAnsi="Arial" w:cs="Arial"/>
              </w:rPr>
              <w:t xml:space="preserve"> studies, Practical assessments/assignments with a pass/fail threshold)</w:t>
            </w:r>
            <w:r w:rsidR="006B3108" w:rsidRPr="00AD0792">
              <w:rPr>
                <w:rFonts w:ascii="Arial" w:hAnsi="Arial" w:cs="Arial"/>
              </w:rPr>
              <w:t xml:space="preserve">  </w:t>
            </w:r>
            <w:r w:rsidR="00E91591" w:rsidRPr="00AD0792">
              <w:rPr>
                <w:rFonts w:ascii="Arial" w:hAnsi="Arial" w:cs="Arial"/>
              </w:rPr>
              <w:t xml:space="preserve">- </w:t>
            </w:r>
            <w:r w:rsidR="007C2C6A" w:rsidRPr="00AD0792">
              <w:t>25 marks</w:t>
            </w:r>
          </w:p>
          <w:p w14:paraId="6DD4AC11" w14:textId="64693FB3" w:rsidR="00AE2D1B" w:rsidRPr="00AD0792" w:rsidRDefault="005777B4" w:rsidP="007C2C6A">
            <w:r>
              <w:t>Otherwise, in line with ‘Scoring guide’.</w:t>
            </w:r>
            <w:r>
              <w:br/>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2D9F067" w14:textId="77777777" w:rsidR="00AE2D1B" w:rsidRPr="0062552C" w:rsidRDefault="00AE2D1B" w:rsidP="00756E33">
            <w:r w:rsidRPr="0062552C">
              <w:t xml:space="preserve">Qualitative </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DE86C5E" w14:textId="77777777" w:rsidR="00AE2D1B" w:rsidRPr="0062552C" w:rsidRDefault="00AE2D1B" w:rsidP="00756E33"/>
        </w:tc>
      </w:tr>
      <w:tr w:rsidR="00E35664" w14:paraId="5B1651B4"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0FD7526" w14:textId="447301C8" w:rsidR="002C162B" w:rsidRPr="002C162B" w:rsidRDefault="002C162B" w:rsidP="006B3108">
            <w:pPr>
              <w:pStyle w:val="ListParagraph"/>
              <w:numPr>
                <w:ilvl w:val="0"/>
                <w:numId w:val="36"/>
              </w:numPr>
              <w:spacing w:after="160" w:line="259" w:lineRule="auto"/>
              <w:rPr>
                <w:rFonts w:ascii="Arial" w:hAnsi="Arial" w:cs="Arial"/>
              </w:rPr>
            </w:pPr>
            <w:r w:rsidRPr="002C162B">
              <w:rPr>
                <w:rFonts w:ascii="Arial" w:hAnsi="Arial" w:cs="Arial"/>
              </w:rPr>
              <w:t xml:space="preserve">Evidence the system’s functionality in terms of authoring tools to create a variety of learning interventions and </w:t>
            </w:r>
            <w:r w:rsidR="00855118">
              <w:rPr>
                <w:rFonts w:ascii="Arial" w:hAnsi="Arial" w:cs="Arial"/>
              </w:rPr>
              <w:t>define</w:t>
            </w:r>
            <w:r w:rsidR="00C62C35">
              <w:rPr>
                <w:rFonts w:ascii="Arial" w:hAnsi="Arial" w:cs="Arial"/>
              </w:rPr>
              <w:t xml:space="preserve"> </w:t>
            </w:r>
            <w:r w:rsidRPr="002C162B">
              <w:rPr>
                <w:rFonts w:ascii="Arial" w:hAnsi="Arial" w:cs="Arial"/>
              </w:rPr>
              <w:t xml:space="preserve">the process, controls and any necessary training to enable innovative content </w:t>
            </w:r>
            <w:r w:rsidR="00C62C35">
              <w:rPr>
                <w:rFonts w:ascii="Arial" w:hAnsi="Arial" w:cs="Arial"/>
              </w:rPr>
              <w:t xml:space="preserve">(including </w:t>
            </w:r>
            <w:proofErr w:type="spellStart"/>
            <w:r w:rsidR="00C62C35">
              <w:rPr>
                <w:rFonts w:ascii="Arial" w:hAnsi="Arial" w:cs="Arial"/>
              </w:rPr>
              <w:t>elearning</w:t>
            </w:r>
            <w:proofErr w:type="spellEnd"/>
            <w:r w:rsidR="00C62C35">
              <w:rPr>
                <w:rFonts w:ascii="Arial" w:hAnsi="Arial" w:cs="Arial"/>
              </w:rPr>
              <w:t xml:space="preserve">) </w:t>
            </w:r>
            <w:r w:rsidRPr="002C162B">
              <w:rPr>
                <w:rFonts w:ascii="Arial" w:hAnsi="Arial" w:cs="Arial"/>
              </w:rPr>
              <w:t>creation/amendment/sharing</w:t>
            </w:r>
            <w:r w:rsidR="009E2C11">
              <w:rPr>
                <w:rFonts w:ascii="Arial" w:hAnsi="Arial" w:cs="Arial"/>
              </w:rPr>
              <w:t>/recommendations</w:t>
            </w:r>
            <w:r w:rsidRPr="002C162B">
              <w:rPr>
                <w:rFonts w:ascii="Arial" w:hAnsi="Arial" w:cs="Arial"/>
              </w:rPr>
              <w:t xml:space="preserve"> on the system by a) specified users and b) all learners.</w:t>
            </w:r>
          </w:p>
          <w:p w14:paraId="4DD05680" w14:textId="02D8350E" w:rsidR="00AE2D1B" w:rsidRDefault="00AE2D1B" w:rsidP="002C162B">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C934703" w14:textId="77777777" w:rsidR="00AE2D1B" w:rsidRDefault="00AE2D1B" w:rsidP="00756E33">
            <w:r>
              <w:t xml:space="preserve">Scored: </w:t>
            </w:r>
          </w:p>
          <w:p w14:paraId="4877012A" w14:textId="77777777" w:rsidR="009A6FF4" w:rsidRDefault="009A6FF4" w:rsidP="00756E33">
            <w:r>
              <w:t>Comprehensive evidence of e</w:t>
            </w:r>
            <w:r w:rsidR="00DB0FF8">
              <w:t>ase of use of authoring tools enabling incorporation of range of</w:t>
            </w:r>
            <w:r w:rsidR="003D4C40">
              <w:t xml:space="preserve"> content in course creation</w:t>
            </w:r>
            <w:r w:rsidR="007A30C8">
              <w:t>,</w:t>
            </w:r>
            <w:r w:rsidR="00E978D2">
              <w:t xml:space="preserve"> combined with authoring quality assurance </w:t>
            </w:r>
            <w:r w:rsidR="001910AC">
              <w:t xml:space="preserve">and version </w:t>
            </w:r>
            <w:r w:rsidR="00E978D2">
              <w:t>controls</w:t>
            </w:r>
            <w:r w:rsidR="001910AC">
              <w:t xml:space="preserve"> in place </w:t>
            </w:r>
            <w:r>
              <w:t>– 25 marks</w:t>
            </w:r>
          </w:p>
          <w:p w14:paraId="3EC7BB33" w14:textId="3385B45C" w:rsidR="00AE2D1B" w:rsidRDefault="005777B4" w:rsidP="00756E33">
            <w:r>
              <w:lastRenderedPageBreak/>
              <w:t>Otherwise, in line with ‘Scoring guide’.</w:t>
            </w:r>
            <w:r>
              <w:br/>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F656521" w14:textId="1D83573B" w:rsidR="00AE2D1B" w:rsidRDefault="009A6FF4" w:rsidP="00756E33">
            <w:r w:rsidRPr="0062552C">
              <w:lastRenderedPageBreak/>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FE54F0C" w14:textId="77777777" w:rsidR="00AE2D1B" w:rsidRDefault="00AE2D1B" w:rsidP="00756E33"/>
        </w:tc>
      </w:tr>
      <w:tr w:rsidR="00E35664" w14:paraId="1F33BD67"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BEF94AA" w14:textId="05F5C77E" w:rsidR="0068140E" w:rsidRPr="00C714E2" w:rsidRDefault="0068140E" w:rsidP="0068140E">
            <w:pPr>
              <w:pStyle w:val="ListParagraph"/>
              <w:numPr>
                <w:ilvl w:val="0"/>
                <w:numId w:val="36"/>
              </w:numPr>
              <w:spacing w:after="160" w:line="259" w:lineRule="auto"/>
              <w:rPr>
                <w:rFonts w:ascii="Arial" w:hAnsi="Arial" w:cs="Arial"/>
              </w:rPr>
            </w:pPr>
            <w:r>
              <w:rPr>
                <w:rFonts w:ascii="Arial" w:hAnsi="Arial" w:cs="Arial"/>
              </w:rPr>
              <w:t>Evidence</w:t>
            </w:r>
            <w:r w:rsidRPr="00C714E2">
              <w:rPr>
                <w:rFonts w:ascii="Arial" w:hAnsi="Arial" w:cs="Arial"/>
              </w:rPr>
              <w:t xml:space="preserve"> the system’s </w:t>
            </w:r>
            <w:r w:rsidR="00FE5D9E">
              <w:rPr>
                <w:rFonts w:ascii="Arial" w:hAnsi="Arial" w:cs="Arial"/>
              </w:rPr>
              <w:t>admin</w:t>
            </w:r>
            <w:r w:rsidR="004004DE">
              <w:rPr>
                <w:rFonts w:ascii="Arial" w:hAnsi="Arial" w:cs="Arial"/>
              </w:rPr>
              <w:t>istration</w:t>
            </w:r>
            <w:r w:rsidR="00FE5D9E">
              <w:rPr>
                <w:rFonts w:ascii="Arial" w:hAnsi="Arial" w:cs="Arial"/>
              </w:rPr>
              <w:t xml:space="preserve"> </w:t>
            </w:r>
            <w:r w:rsidRPr="00C714E2">
              <w:rPr>
                <w:rFonts w:ascii="Arial" w:hAnsi="Arial" w:cs="Arial"/>
              </w:rPr>
              <w:t>functionality to:</w:t>
            </w:r>
          </w:p>
          <w:p w14:paraId="4127186C" w14:textId="6D47A31F" w:rsidR="0068140E" w:rsidRPr="00F145EA" w:rsidRDefault="000E6F90" w:rsidP="0068140E">
            <w:pPr>
              <w:pStyle w:val="ListParagraph"/>
              <w:numPr>
                <w:ilvl w:val="0"/>
                <w:numId w:val="38"/>
              </w:numPr>
              <w:spacing w:after="160" w:line="259" w:lineRule="auto"/>
              <w:rPr>
                <w:rFonts w:ascii="Arial" w:hAnsi="Arial" w:cs="Arial"/>
              </w:rPr>
            </w:pPr>
            <w:r>
              <w:rPr>
                <w:rFonts w:ascii="Arial" w:hAnsi="Arial" w:cs="Arial"/>
              </w:rPr>
              <w:t>E</w:t>
            </w:r>
            <w:r w:rsidR="0068140E" w:rsidRPr="00FE7A64">
              <w:rPr>
                <w:rFonts w:ascii="Arial" w:hAnsi="Arial" w:cs="Arial"/>
              </w:rPr>
              <w:t xml:space="preserve">stablish learner profiles </w:t>
            </w:r>
          </w:p>
          <w:p w14:paraId="59E97709" w14:textId="77777777" w:rsidR="00081659" w:rsidRDefault="000E6F90" w:rsidP="0068140E">
            <w:pPr>
              <w:pStyle w:val="ListParagraph"/>
              <w:numPr>
                <w:ilvl w:val="0"/>
                <w:numId w:val="38"/>
              </w:numPr>
              <w:spacing w:after="160" w:line="259" w:lineRule="auto"/>
              <w:rPr>
                <w:rFonts w:ascii="Arial" w:hAnsi="Arial" w:cs="Arial"/>
              </w:rPr>
            </w:pPr>
            <w:r>
              <w:rPr>
                <w:rFonts w:ascii="Arial" w:hAnsi="Arial" w:cs="Arial"/>
              </w:rPr>
              <w:t>S</w:t>
            </w:r>
            <w:r w:rsidR="0068140E" w:rsidRPr="00FE7A64">
              <w:rPr>
                <w:rFonts w:ascii="Arial" w:hAnsi="Arial" w:cs="Arial"/>
              </w:rPr>
              <w:t xml:space="preserve">et up </w:t>
            </w:r>
            <w:r w:rsidR="0068140E">
              <w:rPr>
                <w:rFonts w:ascii="Arial" w:hAnsi="Arial" w:cs="Arial"/>
              </w:rPr>
              <w:t xml:space="preserve">a variety of online, in person and blended </w:t>
            </w:r>
            <w:r w:rsidR="0068140E" w:rsidRPr="00FE7A64">
              <w:rPr>
                <w:rFonts w:ascii="Arial" w:hAnsi="Arial" w:cs="Arial"/>
              </w:rPr>
              <w:t>learning sessions</w:t>
            </w:r>
            <w:r w:rsidR="00FD69BD">
              <w:rPr>
                <w:rFonts w:ascii="Arial" w:hAnsi="Arial" w:cs="Arial"/>
              </w:rPr>
              <w:t>,</w:t>
            </w:r>
            <w:r w:rsidR="0068140E" w:rsidRPr="00FE7A64">
              <w:rPr>
                <w:rFonts w:ascii="Arial" w:hAnsi="Arial" w:cs="Arial"/>
              </w:rPr>
              <w:t xml:space="preserve"> enrol learners, issue calendar invites</w:t>
            </w:r>
            <w:r w:rsidR="00081659">
              <w:rPr>
                <w:rFonts w:ascii="Arial" w:hAnsi="Arial" w:cs="Arial"/>
              </w:rPr>
              <w:t xml:space="preserve"> j</w:t>
            </w:r>
            <w:r w:rsidR="009A0C60">
              <w:rPr>
                <w:rFonts w:ascii="Arial" w:hAnsi="Arial" w:cs="Arial"/>
              </w:rPr>
              <w:t>oining instructions</w:t>
            </w:r>
          </w:p>
          <w:p w14:paraId="13E0B8D6" w14:textId="264E5430" w:rsidR="0068140E" w:rsidRDefault="00081659" w:rsidP="0068140E">
            <w:pPr>
              <w:pStyle w:val="ListParagraph"/>
              <w:numPr>
                <w:ilvl w:val="0"/>
                <w:numId w:val="38"/>
              </w:numPr>
              <w:spacing w:after="160" w:line="259" w:lineRule="auto"/>
              <w:rPr>
                <w:rFonts w:ascii="Arial" w:hAnsi="Arial" w:cs="Arial"/>
              </w:rPr>
            </w:pPr>
            <w:r>
              <w:rPr>
                <w:rFonts w:ascii="Arial" w:hAnsi="Arial" w:cs="Arial"/>
              </w:rPr>
              <w:t xml:space="preserve">Issue </w:t>
            </w:r>
            <w:r w:rsidR="0068140E" w:rsidRPr="00FE7A64">
              <w:rPr>
                <w:rFonts w:ascii="Arial" w:hAnsi="Arial" w:cs="Arial"/>
              </w:rPr>
              <w:t>reminders</w:t>
            </w:r>
            <w:r w:rsidR="0068140E">
              <w:rPr>
                <w:rFonts w:ascii="Arial" w:hAnsi="Arial" w:cs="Arial"/>
              </w:rPr>
              <w:t xml:space="preserve"> for recertifications/refreshers </w:t>
            </w:r>
            <w:r w:rsidR="0068140E" w:rsidRPr="00FE7A64">
              <w:rPr>
                <w:rFonts w:ascii="Arial" w:hAnsi="Arial" w:cs="Arial"/>
              </w:rPr>
              <w:t xml:space="preserve"> </w:t>
            </w:r>
          </w:p>
          <w:p w14:paraId="629F94C4" w14:textId="54D4D721" w:rsidR="000E6F90" w:rsidRDefault="0068140E" w:rsidP="0068140E">
            <w:pPr>
              <w:pStyle w:val="ListParagraph"/>
              <w:numPr>
                <w:ilvl w:val="0"/>
                <w:numId w:val="38"/>
              </w:numPr>
              <w:spacing w:after="160" w:line="259" w:lineRule="auto"/>
              <w:rPr>
                <w:rFonts w:ascii="Arial" w:hAnsi="Arial" w:cs="Arial"/>
              </w:rPr>
            </w:pPr>
            <w:r>
              <w:rPr>
                <w:rFonts w:ascii="Arial" w:hAnsi="Arial" w:cs="Arial"/>
              </w:rPr>
              <w:t xml:space="preserve">Manage course attendance including </w:t>
            </w:r>
            <w:r w:rsidR="00A7278D">
              <w:rPr>
                <w:rFonts w:ascii="Arial" w:hAnsi="Arial" w:cs="Arial"/>
              </w:rPr>
              <w:t>self-enrolment</w:t>
            </w:r>
            <w:r w:rsidR="00174769">
              <w:rPr>
                <w:rFonts w:ascii="Arial" w:hAnsi="Arial" w:cs="Arial"/>
              </w:rPr>
              <w:t xml:space="preserve"> with </w:t>
            </w:r>
            <w:r w:rsidR="00B77A40">
              <w:rPr>
                <w:rFonts w:ascii="Arial" w:hAnsi="Arial" w:cs="Arial"/>
              </w:rPr>
              <w:t xml:space="preserve">line manager approval and </w:t>
            </w:r>
            <w:r>
              <w:rPr>
                <w:rFonts w:ascii="Arial" w:hAnsi="Arial" w:cs="Arial"/>
              </w:rPr>
              <w:t>a waitlist management approval process</w:t>
            </w:r>
            <w:r w:rsidR="00E86E42">
              <w:rPr>
                <w:rFonts w:ascii="Arial" w:hAnsi="Arial" w:cs="Arial"/>
              </w:rPr>
              <w:t xml:space="preserve"> for use by system administrators</w:t>
            </w:r>
            <w:r w:rsidR="000E6F90">
              <w:rPr>
                <w:rFonts w:ascii="Arial" w:hAnsi="Arial" w:cs="Arial"/>
              </w:rPr>
              <w:t xml:space="preserve">. </w:t>
            </w:r>
          </w:p>
          <w:p w14:paraId="2F1F95CD" w14:textId="345FCD8B" w:rsidR="0068140E" w:rsidRDefault="000E6F90" w:rsidP="0068140E">
            <w:pPr>
              <w:pStyle w:val="ListParagraph"/>
              <w:numPr>
                <w:ilvl w:val="0"/>
                <w:numId w:val="38"/>
              </w:numPr>
              <w:spacing w:after="160" w:line="259" w:lineRule="auto"/>
              <w:rPr>
                <w:rFonts w:ascii="Arial" w:hAnsi="Arial" w:cs="Arial"/>
              </w:rPr>
            </w:pPr>
            <w:r>
              <w:rPr>
                <w:rFonts w:ascii="Arial" w:hAnsi="Arial" w:cs="Arial"/>
              </w:rPr>
              <w:t>E</w:t>
            </w:r>
            <w:r w:rsidR="009E2D19">
              <w:rPr>
                <w:rFonts w:ascii="Arial" w:hAnsi="Arial" w:cs="Arial"/>
              </w:rPr>
              <w:t>nable</w:t>
            </w:r>
            <w:r w:rsidR="008553AF">
              <w:rPr>
                <w:rFonts w:ascii="Arial" w:hAnsi="Arial" w:cs="Arial"/>
              </w:rPr>
              <w:t>,</w:t>
            </w:r>
            <w:r w:rsidR="009E2D19">
              <w:rPr>
                <w:rFonts w:ascii="Arial" w:hAnsi="Arial" w:cs="Arial"/>
              </w:rPr>
              <w:t xml:space="preserve"> for in </w:t>
            </w:r>
            <w:r>
              <w:rPr>
                <w:rFonts w:ascii="Arial" w:hAnsi="Arial" w:cs="Arial"/>
              </w:rPr>
              <w:t>person (virtual or F2F)</w:t>
            </w:r>
            <w:r w:rsidR="008553AF">
              <w:rPr>
                <w:rFonts w:ascii="Arial" w:hAnsi="Arial" w:cs="Arial"/>
              </w:rPr>
              <w:t xml:space="preserve"> sessions,</w:t>
            </w:r>
            <w:r>
              <w:rPr>
                <w:rFonts w:ascii="Arial" w:hAnsi="Arial" w:cs="Arial"/>
              </w:rPr>
              <w:t xml:space="preserve"> </w:t>
            </w:r>
            <w:r w:rsidR="009E2D19">
              <w:rPr>
                <w:rFonts w:ascii="Arial" w:hAnsi="Arial" w:cs="Arial"/>
              </w:rPr>
              <w:t xml:space="preserve">access to </w:t>
            </w:r>
            <w:r w:rsidR="0068140E">
              <w:rPr>
                <w:rFonts w:ascii="Arial" w:hAnsi="Arial" w:cs="Arial"/>
              </w:rPr>
              <w:t>enrolment reports and an attendance confirmation functionality</w:t>
            </w:r>
          </w:p>
          <w:p w14:paraId="5D20C86F" w14:textId="6947E238" w:rsidR="00562F5C" w:rsidRDefault="000E6F90" w:rsidP="00562F5C">
            <w:pPr>
              <w:pStyle w:val="ListParagraph"/>
              <w:numPr>
                <w:ilvl w:val="0"/>
                <w:numId w:val="38"/>
              </w:numPr>
              <w:spacing w:after="160" w:line="259" w:lineRule="auto"/>
              <w:rPr>
                <w:rFonts w:ascii="Arial" w:hAnsi="Arial" w:cs="Arial"/>
              </w:rPr>
            </w:pPr>
            <w:r>
              <w:rPr>
                <w:rFonts w:ascii="Arial" w:hAnsi="Arial" w:cs="Arial"/>
              </w:rPr>
              <w:t>T</w:t>
            </w:r>
            <w:r w:rsidR="00562F5C">
              <w:rPr>
                <w:rFonts w:ascii="Arial" w:hAnsi="Arial" w:cs="Arial"/>
              </w:rPr>
              <w:t xml:space="preserve">he </w:t>
            </w:r>
            <w:r w:rsidR="00562F5C" w:rsidRPr="00FE7A64">
              <w:rPr>
                <w:rFonts w:ascii="Arial" w:hAnsi="Arial" w:cs="Arial"/>
              </w:rPr>
              <w:t xml:space="preserve">functionality to issue </w:t>
            </w:r>
            <w:r w:rsidR="00562F5C">
              <w:rPr>
                <w:rFonts w:ascii="Arial" w:hAnsi="Arial" w:cs="Arial"/>
              </w:rPr>
              <w:t xml:space="preserve">relevant </w:t>
            </w:r>
            <w:r w:rsidR="00562F5C" w:rsidRPr="00FE7A64">
              <w:rPr>
                <w:rFonts w:ascii="Arial" w:hAnsi="Arial" w:cs="Arial"/>
              </w:rPr>
              <w:t>auto generated evaluations</w:t>
            </w:r>
            <w:r w:rsidR="00562F5C">
              <w:rPr>
                <w:rFonts w:ascii="Arial" w:hAnsi="Arial" w:cs="Arial"/>
              </w:rPr>
              <w:t xml:space="preserve"> and establish learner feedback</w:t>
            </w:r>
          </w:p>
          <w:p w14:paraId="69C2ABD1" w14:textId="73E20261" w:rsidR="0068140E" w:rsidRPr="00FE7A64" w:rsidRDefault="000E6F90" w:rsidP="0068140E">
            <w:pPr>
              <w:pStyle w:val="ListParagraph"/>
              <w:numPr>
                <w:ilvl w:val="0"/>
                <w:numId w:val="38"/>
              </w:numPr>
              <w:spacing w:after="160" w:line="259" w:lineRule="auto"/>
              <w:rPr>
                <w:rFonts w:ascii="Arial" w:hAnsi="Arial" w:cs="Arial"/>
              </w:rPr>
            </w:pPr>
            <w:r>
              <w:rPr>
                <w:rFonts w:ascii="Arial" w:hAnsi="Arial" w:cs="Arial"/>
              </w:rPr>
              <w:t>M</w:t>
            </w:r>
            <w:r w:rsidR="0068140E" w:rsidRPr="00FE7A64">
              <w:rPr>
                <w:rFonts w:ascii="Arial" w:hAnsi="Arial" w:cs="Arial"/>
              </w:rPr>
              <w:t xml:space="preserve">onitor </w:t>
            </w:r>
            <w:r w:rsidR="0068140E">
              <w:rPr>
                <w:rFonts w:ascii="Arial" w:hAnsi="Arial" w:cs="Arial"/>
              </w:rPr>
              <w:t xml:space="preserve">and track </w:t>
            </w:r>
            <w:r w:rsidR="0068140E" w:rsidRPr="00FE7A64">
              <w:rPr>
                <w:rFonts w:ascii="Arial" w:hAnsi="Arial" w:cs="Arial"/>
              </w:rPr>
              <w:t>training  compliance completion</w:t>
            </w:r>
            <w:r w:rsidR="0025160A">
              <w:rPr>
                <w:rFonts w:ascii="Arial" w:hAnsi="Arial" w:cs="Arial"/>
              </w:rPr>
              <w:t xml:space="preserve">s and identify </w:t>
            </w:r>
            <w:r w:rsidR="0068140E">
              <w:rPr>
                <w:rFonts w:ascii="Arial" w:hAnsi="Arial" w:cs="Arial"/>
              </w:rPr>
              <w:t>outstanding</w:t>
            </w:r>
            <w:r w:rsidR="0068140E" w:rsidRPr="00FE7A64">
              <w:rPr>
                <w:rFonts w:ascii="Arial" w:hAnsi="Arial" w:cs="Arial"/>
              </w:rPr>
              <w:t xml:space="preserve"> requirements</w:t>
            </w:r>
            <w:r w:rsidR="0068140E">
              <w:rPr>
                <w:rFonts w:ascii="Arial" w:hAnsi="Arial" w:cs="Arial"/>
              </w:rPr>
              <w:t xml:space="preserve"> </w:t>
            </w:r>
          </w:p>
          <w:p w14:paraId="02495823" w14:textId="3B780FBC" w:rsidR="00AE2D1B" w:rsidRDefault="00AE2D1B" w:rsidP="002536BC">
            <w:pPr>
              <w:pStyle w:val="ListParagraph"/>
              <w:rPr>
                <w:rFonts w:cs="Arial"/>
              </w:rPr>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2C6DFDA" w14:textId="77777777" w:rsidR="00AE2D1B" w:rsidRDefault="00AE2D1B" w:rsidP="00756E33">
            <w:r>
              <w:t>Scored:</w:t>
            </w:r>
          </w:p>
          <w:p w14:paraId="41990131" w14:textId="27F72B48" w:rsidR="008553AF" w:rsidRDefault="008553AF" w:rsidP="008553AF">
            <w:r>
              <w:t xml:space="preserve">Full </w:t>
            </w:r>
            <w:r w:rsidR="00F0632C">
              <w:t>detailed evidence</w:t>
            </w:r>
            <w:r>
              <w:t xml:space="preserve"> across all bullets  – 25 marks</w:t>
            </w:r>
          </w:p>
          <w:p w14:paraId="6C829C70" w14:textId="01A0C9F8" w:rsidR="00AE2D1B" w:rsidRDefault="005777B4" w:rsidP="00756E33">
            <w:r>
              <w:t>Otherwise, in line with ‘Scoring guide’.</w:t>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9B852DF" w14:textId="66E29648" w:rsidR="00AE2D1B" w:rsidRDefault="008553AF" w:rsidP="00756E33">
            <w:r w:rsidRPr="0062552C">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F501B4A" w14:textId="77777777" w:rsidR="00AE2D1B" w:rsidRDefault="00AE2D1B" w:rsidP="00756E33"/>
        </w:tc>
      </w:tr>
      <w:tr w:rsidR="00E35664" w14:paraId="47F30DF7"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00720A5" w14:textId="5EAE2942" w:rsidR="003A6343" w:rsidRPr="00C714E2" w:rsidRDefault="003A6343" w:rsidP="003A6343">
            <w:pPr>
              <w:pStyle w:val="ListParagraph"/>
              <w:numPr>
                <w:ilvl w:val="0"/>
                <w:numId w:val="36"/>
              </w:numPr>
              <w:spacing w:after="160" w:line="259" w:lineRule="auto"/>
              <w:rPr>
                <w:rFonts w:ascii="Arial" w:hAnsi="Arial" w:cs="Arial"/>
              </w:rPr>
            </w:pPr>
            <w:r>
              <w:rPr>
                <w:rFonts w:ascii="Arial" w:hAnsi="Arial" w:cs="Arial"/>
              </w:rPr>
              <w:t>Evidence</w:t>
            </w:r>
            <w:r w:rsidRPr="00C714E2">
              <w:rPr>
                <w:rFonts w:ascii="Arial" w:hAnsi="Arial" w:cs="Arial"/>
              </w:rPr>
              <w:t xml:space="preserve"> the reporting functionality of the system</w:t>
            </w:r>
            <w:r w:rsidR="00C11BAD">
              <w:rPr>
                <w:rFonts w:ascii="Arial" w:hAnsi="Arial" w:cs="Arial"/>
              </w:rPr>
              <w:t xml:space="preserve"> both as a dashboard</w:t>
            </w:r>
            <w:r w:rsidRPr="00C714E2">
              <w:rPr>
                <w:rFonts w:ascii="Arial" w:hAnsi="Arial" w:cs="Arial"/>
              </w:rPr>
              <w:t xml:space="preserve"> and to generate and export into different formats (Excel Ppt etc) various analytical reports including:</w:t>
            </w:r>
          </w:p>
          <w:p w14:paraId="1C7C2852" w14:textId="77777777" w:rsidR="003A6343" w:rsidRDefault="003A6343" w:rsidP="003A6343">
            <w:pPr>
              <w:pStyle w:val="ListParagraph"/>
              <w:numPr>
                <w:ilvl w:val="0"/>
                <w:numId w:val="39"/>
              </w:numPr>
              <w:spacing w:after="160" w:line="259" w:lineRule="auto"/>
              <w:rPr>
                <w:rFonts w:ascii="Arial" w:hAnsi="Arial" w:cs="Arial"/>
              </w:rPr>
            </w:pPr>
            <w:r w:rsidRPr="00C714E2">
              <w:rPr>
                <w:rFonts w:ascii="Arial" w:hAnsi="Arial" w:cs="Arial"/>
              </w:rPr>
              <w:t>individual learner progress tracking</w:t>
            </w:r>
          </w:p>
          <w:p w14:paraId="6223851D" w14:textId="54A27C0B" w:rsidR="003A6343" w:rsidRDefault="00C76BC3" w:rsidP="003A6343">
            <w:pPr>
              <w:pStyle w:val="ListParagraph"/>
              <w:numPr>
                <w:ilvl w:val="0"/>
                <w:numId w:val="39"/>
              </w:numPr>
              <w:spacing w:after="160" w:line="259" w:lineRule="auto"/>
              <w:rPr>
                <w:rFonts w:ascii="Arial" w:hAnsi="Arial" w:cs="Arial"/>
              </w:rPr>
            </w:pPr>
            <w:r>
              <w:rPr>
                <w:rFonts w:ascii="Arial" w:hAnsi="Arial" w:cs="Arial"/>
              </w:rPr>
              <w:t>t</w:t>
            </w:r>
            <w:r w:rsidR="003A6343">
              <w:rPr>
                <w:rFonts w:ascii="Arial" w:hAnsi="Arial" w:cs="Arial"/>
              </w:rPr>
              <w:t>raining session attendance reports</w:t>
            </w:r>
          </w:p>
          <w:p w14:paraId="07B693A3" w14:textId="4313A553" w:rsidR="003A6343" w:rsidRPr="00C714E2" w:rsidRDefault="00634EFB" w:rsidP="003A6343">
            <w:pPr>
              <w:pStyle w:val="ListParagraph"/>
              <w:numPr>
                <w:ilvl w:val="0"/>
                <w:numId w:val="39"/>
              </w:numPr>
              <w:spacing w:after="160" w:line="259" w:lineRule="auto"/>
              <w:rPr>
                <w:rFonts w:ascii="Arial" w:hAnsi="Arial" w:cs="Arial"/>
              </w:rPr>
            </w:pPr>
            <w:r>
              <w:rPr>
                <w:rFonts w:ascii="Arial" w:hAnsi="Arial" w:cs="Arial"/>
              </w:rPr>
              <w:t>non-attendance</w:t>
            </w:r>
            <w:r w:rsidR="003A6343">
              <w:rPr>
                <w:rFonts w:ascii="Arial" w:hAnsi="Arial" w:cs="Arial"/>
              </w:rPr>
              <w:t xml:space="preserve"> of session records </w:t>
            </w:r>
          </w:p>
          <w:p w14:paraId="024A8F7D" w14:textId="2A605526" w:rsidR="003A6343" w:rsidRPr="00C714E2" w:rsidRDefault="003A6343" w:rsidP="003A6343">
            <w:pPr>
              <w:pStyle w:val="ListParagraph"/>
              <w:numPr>
                <w:ilvl w:val="0"/>
                <w:numId w:val="39"/>
              </w:numPr>
              <w:spacing w:after="160" w:line="259" w:lineRule="auto"/>
              <w:rPr>
                <w:rFonts w:ascii="Arial" w:hAnsi="Arial" w:cs="Arial"/>
              </w:rPr>
            </w:pPr>
            <w:r w:rsidRPr="00C714E2">
              <w:rPr>
                <w:rFonts w:ascii="Arial" w:hAnsi="Arial" w:cs="Arial"/>
              </w:rPr>
              <w:lastRenderedPageBreak/>
              <w:t xml:space="preserve">a process for learners to </w:t>
            </w:r>
            <w:r w:rsidR="006D6203">
              <w:rPr>
                <w:rFonts w:ascii="Arial" w:hAnsi="Arial" w:cs="Arial"/>
              </w:rPr>
              <w:t xml:space="preserve">individually </w:t>
            </w:r>
            <w:r w:rsidRPr="00C714E2">
              <w:rPr>
                <w:rFonts w:ascii="Arial" w:hAnsi="Arial" w:cs="Arial"/>
              </w:rPr>
              <w:t>record, and the system’s capabilit</w:t>
            </w:r>
            <w:r w:rsidR="006D6203">
              <w:rPr>
                <w:rFonts w:ascii="Arial" w:hAnsi="Arial" w:cs="Arial"/>
              </w:rPr>
              <w:t>y</w:t>
            </w:r>
            <w:r w:rsidRPr="00C714E2">
              <w:rPr>
                <w:rFonts w:ascii="Arial" w:hAnsi="Arial" w:cs="Arial"/>
              </w:rPr>
              <w:t xml:space="preserve"> to recognise and intelligently collate/report on, learning undertaken independently outside of any central agency provision hosted on the system.</w:t>
            </w:r>
          </w:p>
          <w:p w14:paraId="1EF5D1E4" w14:textId="08007B3D" w:rsidR="00AE2D1B" w:rsidRDefault="00AE2D1B" w:rsidP="00634EFB">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4387DC6" w14:textId="77777777" w:rsidR="00446E98" w:rsidRDefault="00AE2D1B" w:rsidP="00F0632C">
            <w:r>
              <w:lastRenderedPageBreak/>
              <w:t>Scored:</w:t>
            </w:r>
            <w:r w:rsidR="00F0632C">
              <w:t xml:space="preserve"> </w:t>
            </w:r>
          </w:p>
          <w:p w14:paraId="76865180" w14:textId="2B7CF7BB" w:rsidR="00F0632C" w:rsidRDefault="00F0632C" w:rsidP="00F0632C">
            <w:r>
              <w:t>Full detailed evidence across all bullets  – 25 marks</w:t>
            </w:r>
          </w:p>
          <w:p w14:paraId="5781D784" w14:textId="7556AF5F" w:rsidR="00AE2D1B" w:rsidRDefault="005777B4" w:rsidP="00756E33">
            <w:r>
              <w:t>Otherwise, in line with ‘Scoring guide’.</w:t>
            </w:r>
          </w:p>
          <w:p w14:paraId="49DD2F4B" w14:textId="17D828EC" w:rsidR="00AE2D1B" w:rsidRDefault="00AE2D1B" w:rsidP="00756E33"/>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56C352D" w14:textId="77777777" w:rsidR="00AE2D1B" w:rsidRDefault="00AE2D1B" w:rsidP="00756E33">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340CC86" w14:textId="77777777" w:rsidR="00AE2D1B" w:rsidRDefault="00AE2D1B" w:rsidP="00756E33"/>
        </w:tc>
      </w:tr>
      <w:tr w:rsidR="00E35664" w14:paraId="4D7027C7"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743D997" w14:textId="6E1B932B" w:rsidR="00BE7511" w:rsidRPr="00C714E2" w:rsidRDefault="00BE7511" w:rsidP="00BE7511">
            <w:pPr>
              <w:pStyle w:val="ListParagraph"/>
              <w:numPr>
                <w:ilvl w:val="0"/>
                <w:numId w:val="36"/>
              </w:numPr>
              <w:spacing w:after="160" w:line="259" w:lineRule="auto"/>
              <w:rPr>
                <w:rFonts w:ascii="Arial" w:hAnsi="Arial" w:cs="Arial"/>
              </w:rPr>
            </w:pPr>
            <w:r w:rsidRPr="00C714E2">
              <w:rPr>
                <w:rFonts w:ascii="Arial" w:hAnsi="Arial" w:cs="Arial"/>
              </w:rPr>
              <w:t>Describe</w:t>
            </w:r>
            <w:r w:rsidR="006F672E">
              <w:rPr>
                <w:rFonts w:ascii="Arial" w:hAnsi="Arial" w:cs="Arial"/>
              </w:rPr>
              <w:t xml:space="preserve"> the system’s functionality </w:t>
            </w:r>
            <w:r w:rsidR="00652709">
              <w:rPr>
                <w:rFonts w:ascii="Arial" w:hAnsi="Arial" w:cs="Arial"/>
              </w:rPr>
              <w:t>and ease of navigation</w:t>
            </w:r>
            <w:r w:rsidR="00732BAA">
              <w:rPr>
                <w:rFonts w:ascii="Arial" w:hAnsi="Arial" w:cs="Arial"/>
              </w:rPr>
              <w:t xml:space="preserve"> from the perspective of</w:t>
            </w:r>
            <w:r w:rsidRPr="00C714E2">
              <w:rPr>
                <w:rFonts w:ascii="Arial" w:hAnsi="Arial" w:cs="Arial"/>
              </w:rPr>
              <w:t>:</w:t>
            </w:r>
          </w:p>
          <w:p w14:paraId="10FF49DA" w14:textId="77777777" w:rsidR="00BE7511" w:rsidRDefault="00BE7511" w:rsidP="00BE7511">
            <w:pPr>
              <w:pStyle w:val="ListParagraph"/>
              <w:numPr>
                <w:ilvl w:val="0"/>
                <w:numId w:val="40"/>
              </w:numPr>
              <w:spacing w:after="160" w:line="259" w:lineRule="auto"/>
              <w:rPr>
                <w:rFonts w:ascii="Arial" w:hAnsi="Arial" w:cs="Arial"/>
              </w:rPr>
            </w:pPr>
            <w:r w:rsidRPr="00051C8E">
              <w:rPr>
                <w:rFonts w:ascii="Arial" w:hAnsi="Arial" w:cs="Arial"/>
              </w:rPr>
              <w:t xml:space="preserve">a typical learner journey in </w:t>
            </w:r>
            <w:r>
              <w:rPr>
                <w:rFonts w:ascii="Arial" w:hAnsi="Arial" w:cs="Arial"/>
              </w:rPr>
              <w:t xml:space="preserve">capturing their learning needs as a plan on the system, </w:t>
            </w:r>
            <w:r w:rsidRPr="00051C8E">
              <w:rPr>
                <w:rFonts w:ascii="Arial" w:hAnsi="Arial" w:cs="Arial"/>
              </w:rPr>
              <w:t>accessing a variety of content</w:t>
            </w:r>
            <w:r>
              <w:rPr>
                <w:rFonts w:ascii="Arial" w:hAnsi="Arial" w:cs="Arial"/>
              </w:rPr>
              <w:t xml:space="preserve"> on the system</w:t>
            </w:r>
            <w:r w:rsidRPr="00051C8E">
              <w:rPr>
                <w:rFonts w:ascii="Arial" w:hAnsi="Arial" w:cs="Arial"/>
              </w:rPr>
              <w:t xml:space="preserve"> </w:t>
            </w:r>
            <w:r>
              <w:rPr>
                <w:rFonts w:ascii="Arial" w:hAnsi="Arial" w:cs="Arial"/>
              </w:rPr>
              <w:t>and how they can view/monitor and review their own learning and assessment/assignment progress</w:t>
            </w:r>
            <w:r w:rsidRPr="00051C8E">
              <w:rPr>
                <w:rFonts w:ascii="Arial" w:hAnsi="Arial" w:cs="Arial"/>
              </w:rPr>
              <w:t xml:space="preserve"> </w:t>
            </w:r>
            <w:r>
              <w:rPr>
                <w:rFonts w:ascii="Arial" w:hAnsi="Arial" w:cs="Arial"/>
              </w:rPr>
              <w:t>including capturing reflections, uploading external certificates and detailing qualifications.</w:t>
            </w:r>
            <w:r w:rsidRPr="00163955">
              <w:rPr>
                <w:rFonts w:ascii="Arial" w:hAnsi="Arial" w:cs="Arial"/>
              </w:rPr>
              <w:t xml:space="preserve"> </w:t>
            </w:r>
          </w:p>
          <w:p w14:paraId="2CC0FB6D" w14:textId="77777777" w:rsidR="00BE7511" w:rsidRPr="00051C8E" w:rsidRDefault="00BE7511" w:rsidP="00BE7511">
            <w:pPr>
              <w:pStyle w:val="ListParagraph"/>
              <w:numPr>
                <w:ilvl w:val="0"/>
                <w:numId w:val="40"/>
              </w:numPr>
              <w:spacing w:after="160" w:line="259" w:lineRule="auto"/>
              <w:rPr>
                <w:rFonts w:ascii="Arial" w:hAnsi="Arial" w:cs="Arial"/>
              </w:rPr>
            </w:pPr>
            <w:r>
              <w:rPr>
                <w:rFonts w:ascii="Arial" w:hAnsi="Arial" w:cs="Arial"/>
              </w:rPr>
              <w:t>a line manager’s experience in viewing, tracking, assigning, approving and validating a team members’ learning</w:t>
            </w:r>
          </w:p>
          <w:p w14:paraId="027A462A" w14:textId="4B497D83" w:rsidR="00BE7511" w:rsidRDefault="00BE7511" w:rsidP="00BE7511">
            <w:pPr>
              <w:pStyle w:val="ListParagraph"/>
              <w:numPr>
                <w:ilvl w:val="0"/>
                <w:numId w:val="40"/>
              </w:numPr>
              <w:spacing w:after="160" w:line="259" w:lineRule="auto"/>
              <w:rPr>
                <w:rFonts w:ascii="Arial" w:hAnsi="Arial" w:cs="Arial"/>
              </w:rPr>
            </w:pPr>
            <w:r w:rsidRPr="00051C8E">
              <w:rPr>
                <w:rFonts w:ascii="Arial" w:hAnsi="Arial" w:cs="Arial"/>
              </w:rPr>
              <w:t>a typical administrator</w:t>
            </w:r>
            <w:r w:rsidR="004C53ED">
              <w:rPr>
                <w:rFonts w:ascii="Arial" w:hAnsi="Arial" w:cs="Arial"/>
              </w:rPr>
              <w:t>’s</w:t>
            </w:r>
            <w:r w:rsidRPr="00051C8E">
              <w:rPr>
                <w:rFonts w:ascii="Arial" w:hAnsi="Arial" w:cs="Arial"/>
              </w:rPr>
              <w:t xml:space="preserve"> experience in creating, uploading</w:t>
            </w:r>
            <w:r>
              <w:rPr>
                <w:rFonts w:ascii="Arial" w:hAnsi="Arial" w:cs="Arial"/>
              </w:rPr>
              <w:t>, assigning learning,</w:t>
            </w:r>
            <w:r w:rsidRPr="00051C8E">
              <w:rPr>
                <w:rFonts w:ascii="Arial" w:hAnsi="Arial" w:cs="Arial"/>
              </w:rPr>
              <w:t xml:space="preserve"> and reporting on content access</w:t>
            </w:r>
            <w:r>
              <w:rPr>
                <w:rFonts w:ascii="Arial" w:hAnsi="Arial" w:cs="Arial"/>
              </w:rPr>
              <w:t xml:space="preserve">, course enrolments, completions and attendance reports </w:t>
            </w:r>
          </w:p>
          <w:p w14:paraId="526B9C0A" w14:textId="158498C5" w:rsidR="00AE2D1B" w:rsidRDefault="00AE2D1B" w:rsidP="00BE7511">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54E0746" w14:textId="77777777" w:rsidR="00AE2D1B" w:rsidRDefault="00AE2D1B" w:rsidP="00756E33">
            <w:r>
              <w:t xml:space="preserve">Scored: </w:t>
            </w:r>
          </w:p>
          <w:p w14:paraId="01246EA1" w14:textId="19CE5498" w:rsidR="0088742C" w:rsidRDefault="0088742C" w:rsidP="0088742C">
            <w:r>
              <w:t>Full detailed description across all bullets  – 25 marks</w:t>
            </w:r>
          </w:p>
          <w:p w14:paraId="4CA08FCC" w14:textId="3BB56545" w:rsidR="0088742C" w:rsidRDefault="005777B4" w:rsidP="0088742C">
            <w:r>
              <w:t>Otherwise, in line with ‘Scoring guide’.</w:t>
            </w:r>
          </w:p>
          <w:p w14:paraId="63021B40" w14:textId="0F1A927A" w:rsidR="00AE2D1B" w:rsidRDefault="00AE2D1B" w:rsidP="00756E33"/>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2DC63D4" w14:textId="60BA3910" w:rsidR="00AE2D1B" w:rsidRDefault="0088742C" w:rsidP="00756E33">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BEEA657" w14:textId="77777777" w:rsidR="00AE2D1B" w:rsidRDefault="00AE2D1B" w:rsidP="00756E33"/>
        </w:tc>
      </w:tr>
      <w:tr w:rsidR="00E35664" w14:paraId="580D1A75"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F536592" w14:textId="021FE3F9" w:rsidR="004065F7" w:rsidRPr="007B563E" w:rsidRDefault="007A19B5" w:rsidP="009C00BC">
            <w:pPr>
              <w:pStyle w:val="ListParagraph"/>
              <w:numPr>
                <w:ilvl w:val="0"/>
                <w:numId w:val="36"/>
              </w:numPr>
              <w:spacing w:after="160" w:line="259" w:lineRule="auto"/>
              <w:rPr>
                <w:rFonts w:ascii="Arial" w:hAnsi="Arial" w:cs="Arial"/>
              </w:rPr>
            </w:pPr>
            <w:r w:rsidRPr="007B563E">
              <w:rPr>
                <w:rFonts w:ascii="Arial" w:hAnsi="Arial" w:cs="Arial"/>
              </w:rPr>
              <w:t>De</w:t>
            </w:r>
            <w:r w:rsidR="00046E2E" w:rsidRPr="007B563E">
              <w:rPr>
                <w:rFonts w:ascii="Arial" w:hAnsi="Arial" w:cs="Arial"/>
              </w:rPr>
              <w:t xml:space="preserve">scribe </w:t>
            </w:r>
            <w:r w:rsidR="006F5C0E">
              <w:rPr>
                <w:rFonts w:ascii="Arial" w:hAnsi="Arial" w:cs="Arial"/>
              </w:rPr>
              <w:t xml:space="preserve">the </w:t>
            </w:r>
            <w:r w:rsidR="005B4253">
              <w:rPr>
                <w:rFonts w:ascii="Arial" w:hAnsi="Arial" w:cs="Arial"/>
              </w:rPr>
              <w:t xml:space="preserve">process and </w:t>
            </w:r>
            <w:r w:rsidR="006F5C0E">
              <w:rPr>
                <w:rFonts w:ascii="Arial" w:hAnsi="Arial" w:cs="Arial"/>
              </w:rPr>
              <w:t xml:space="preserve">ease with which the </w:t>
            </w:r>
            <w:r w:rsidR="004065F7" w:rsidRPr="007B563E">
              <w:rPr>
                <w:rFonts w:ascii="Arial" w:hAnsi="Arial" w:cs="Arial"/>
              </w:rPr>
              <w:t xml:space="preserve">system </w:t>
            </w:r>
            <w:r w:rsidR="00046E2E" w:rsidRPr="007B563E">
              <w:rPr>
                <w:rFonts w:ascii="Arial" w:hAnsi="Arial" w:cs="Arial"/>
              </w:rPr>
              <w:t xml:space="preserve">would be </w:t>
            </w:r>
            <w:r w:rsidR="004065F7" w:rsidRPr="007B563E">
              <w:rPr>
                <w:rFonts w:ascii="Arial" w:hAnsi="Arial" w:cs="Arial"/>
              </w:rPr>
              <w:t xml:space="preserve">capable of </w:t>
            </w:r>
            <w:r w:rsidR="00E11EE3" w:rsidRPr="007B563E">
              <w:rPr>
                <w:rFonts w:ascii="Arial" w:hAnsi="Arial" w:cs="Arial"/>
              </w:rPr>
              <w:t>integrati</w:t>
            </w:r>
            <w:r w:rsidR="0004261D">
              <w:rPr>
                <w:rFonts w:ascii="Arial" w:hAnsi="Arial" w:cs="Arial"/>
              </w:rPr>
              <w:t>ng</w:t>
            </w:r>
            <w:r w:rsidR="00E11EE3" w:rsidRPr="007B563E">
              <w:rPr>
                <w:rFonts w:ascii="Arial" w:hAnsi="Arial" w:cs="Arial"/>
              </w:rPr>
              <w:t>/</w:t>
            </w:r>
            <w:r w:rsidR="005B4253">
              <w:rPr>
                <w:rFonts w:ascii="Arial" w:hAnsi="Arial" w:cs="Arial"/>
              </w:rPr>
              <w:t xml:space="preserve"> </w:t>
            </w:r>
            <w:r w:rsidR="00B64999" w:rsidRPr="007B563E">
              <w:rPr>
                <w:rFonts w:ascii="Arial" w:hAnsi="Arial" w:cs="Arial"/>
              </w:rPr>
              <w:t xml:space="preserve">interfacing </w:t>
            </w:r>
            <w:r w:rsidR="004065F7" w:rsidRPr="007B563E">
              <w:rPr>
                <w:rFonts w:ascii="Arial" w:hAnsi="Arial" w:cs="Arial"/>
              </w:rPr>
              <w:t>with other systems (</w:t>
            </w:r>
            <w:proofErr w:type="spellStart"/>
            <w:r w:rsidR="004065F7" w:rsidRPr="007B563E">
              <w:rPr>
                <w:rFonts w:ascii="Arial" w:hAnsi="Arial" w:cs="Arial"/>
              </w:rPr>
              <w:t>inc</w:t>
            </w:r>
            <w:proofErr w:type="spellEnd"/>
            <w:r w:rsidR="004065F7" w:rsidRPr="007B563E">
              <w:rPr>
                <w:rFonts w:ascii="Arial" w:hAnsi="Arial" w:cs="Arial"/>
              </w:rPr>
              <w:t xml:space="preserve"> Gov Skills Campus  &amp; CSL) </w:t>
            </w:r>
          </w:p>
          <w:p w14:paraId="62B2E4C4" w14:textId="1AE58D98" w:rsidR="00AE2D1B" w:rsidRDefault="00AE2D1B" w:rsidP="009C00BC">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6566F5A" w14:textId="77777777" w:rsidR="005777B4" w:rsidRDefault="005777B4" w:rsidP="005777B4">
            <w:r>
              <w:t>Scored:</w:t>
            </w:r>
          </w:p>
          <w:p w14:paraId="4CFAC628" w14:textId="77777777" w:rsidR="005777B4" w:rsidRDefault="005777B4" w:rsidP="005777B4">
            <w:r>
              <w:t>As in ‘Scoring guide’ description.</w:t>
            </w:r>
          </w:p>
          <w:p w14:paraId="3D05042B" w14:textId="72E856CA" w:rsidR="00AE2D1B" w:rsidRDefault="00AE2D1B" w:rsidP="009C00BC"/>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47DBCC4" w14:textId="1FF63957" w:rsidR="00AE2D1B" w:rsidRDefault="00E35664" w:rsidP="00756E33">
            <w:r>
              <w:t>Yes/No</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6BF6831" w14:textId="77777777" w:rsidR="00AE2D1B" w:rsidRDefault="00AE2D1B" w:rsidP="00756E33"/>
        </w:tc>
      </w:tr>
      <w:tr w:rsidR="00E35664" w14:paraId="16DC202E"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9BCE19C" w14:textId="74AA2FF2" w:rsidR="00AE2D1B" w:rsidRDefault="000423BB" w:rsidP="009C00BC">
            <w:pPr>
              <w:pStyle w:val="ListParagraph"/>
              <w:numPr>
                <w:ilvl w:val="0"/>
                <w:numId w:val="36"/>
              </w:numPr>
            </w:pPr>
            <w:r w:rsidRPr="00C714E2">
              <w:rPr>
                <w:rFonts w:ascii="Arial" w:hAnsi="Arial" w:cs="Arial"/>
              </w:rPr>
              <w:t>Detail the proposed startup/implementation process</w:t>
            </w:r>
            <w:r w:rsidR="001839F5">
              <w:rPr>
                <w:rFonts w:ascii="Arial" w:hAnsi="Arial" w:cs="Arial"/>
              </w:rPr>
              <w:t xml:space="preserve"> </w:t>
            </w:r>
            <w:r w:rsidR="00B67FD9">
              <w:rPr>
                <w:rFonts w:ascii="Arial" w:hAnsi="Arial" w:cs="Arial"/>
              </w:rPr>
              <w:t xml:space="preserve">including </w:t>
            </w:r>
            <w:r w:rsidRPr="00C714E2">
              <w:rPr>
                <w:rFonts w:ascii="Arial" w:hAnsi="Arial" w:cs="Arial"/>
              </w:rPr>
              <w:t>timeframe</w:t>
            </w:r>
            <w:r w:rsidR="00B67FD9">
              <w:rPr>
                <w:rFonts w:ascii="Arial" w:hAnsi="Arial" w:cs="Arial"/>
              </w:rPr>
              <w:t xml:space="preserve">s </w:t>
            </w:r>
            <w:r w:rsidR="00D66BAF">
              <w:rPr>
                <w:rFonts w:ascii="Arial" w:hAnsi="Arial" w:cs="Arial"/>
              </w:rPr>
              <w:t xml:space="preserve">for a kick off meeting, an initial launch </w:t>
            </w:r>
            <w:r w:rsidR="003D64A2">
              <w:rPr>
                <w:rFonts w:ascii="Arial" w:hAnsi="Arial" w:cs="Arial"/>
              </w:rPr>
              <w:t xml:space="preserve">and </w:t>
            </w:r>
            <w:r w:rsidR="00B67FD9">
              <w:rPr>
                <w:rFonts w:ascii="Arial" w:hAnsi="Arial" w:cs="Arial"/>
              </w:rPr>
              <w:t xml:space="preserve"> </w:t>
            </w:r>
            <w:r w:rsidR="00E81C49">
              <w:rPr>
                <w:rFonts w:ascii="Arial" w:hAnsi="Arial" w:cs="Arial"/>
              </w:rPr>
              <w:t>a</w:t>
            </w:r>
            <w:r w:rsidR="00F55CC8">
              <w:rPr>
                <w:rFonts w:ascii="Arial" w:hAnsi="Arial" w:cs="Arial"/>
              </w:rPr>
              <w:t xml:space="preserve"> full</w:t>
            </w:r>
            <w:r w:rsidR="003D64A2">
              <w:rPr>
                <w:rFonts w:ascii="Arial" w:hAnsi="Arial" w:cs="Arial"/>
              </w:rPr>
              <w:t xml:space="preserve"> planned</w:t>
            </w:r>
            <w:r w:rsidR="00E81C49">
              <w:rPr>
                <w:rFonts w:ascii="Arial" w:hAnsi="Arial" w:cs="Arial"/>
              </w:rPr>
              <w:t xml:space="preserve"> </w:t>
            </w:r>
            <w:r w:rsidR="00E81C49">
              <w:rPr>
                <w:rFonts w:ascii="Arial" w:hAnsi="Arial" w:cs="Arial"/>
              </w:rPr>
              <w:lastRenderedPageBreak/>
              <w:t>“</w:t>
            </w:r>
            <w:r w:rsidR="001839F5">
              <w:rPr>
                <w:rFonts w:ascii="Arial" w:hAnsi="Arial" w:cs="Arial"/>
              </w:rPr>
              <w:t>go live</w:t>
            </w:r>
            <w:r w:rsidR="00E81C49">
              <w:rPr>
                <w:rFonts w:ascii="Arial" w:hAnsi="Arial" w:cs="Arial"/>
              </w:rPr>
              <w:t>” roll out</w:t>
            </w:r>
            <w:r w:rsidR="003B11F4">
              <w:rPr>
                <w:rFonts w:ascii="Arial" w:hAnsi="Arial" w:cs="Arial"/>
              </w:rPr>
              <w:t xml:space="preserve"> and the </w:t>
            </w:r>
            <w:r w:rsidRPr="00C714E2">
              <w:rPr>
                <w:rFonts w:ascii="Arial" w:hAnsi="Arial" w:cs="Arial"/>
              </w:rPr>
              <w:t xml:space="preserve">ongoing support </w:t>
            </w:r>
            <w:r w:rsidR="0008010B">
              <w:rPr>
                <w:rFonts w:ascii="Arial" w:hAnsi="Arial" w:cs="Arial"/>
              </w:rPr>
              <w:t xml:space="preserve">that would be </w:t>
            </w:r>
            <w:r w:rsidRPr="00C714E2">
              <w:rPr>
                <w:rFonts w:ascii="Arial" w:hAnsi="Arial" w:cs="Arial"/>
              </w:rPr>
              <w:t>available</w:t>
            </w:r>
            <w:r w:rsidR="003B11F4">
              <w:rPr>
                <w:rFonts w:ascii="Arial" w:hAnsi="Arial" w:cs="Arial"/>
              </w:rPr>
              <w:t xml:space="preserve"> to </w:t>
            </w:r>
            <w:r w:rsidR="00CF667D">
              <w:rPr>
                <w:rFonts w:ascii="Arial" w:hAnsi="Arial" w:cs="Arial"/>
              </w:rPr>
              <w:t>users and defined roles</w:t>
            </w:r>
            <w:r w:rsidR="00773874">
              <w:rPr>
                <w:rFonts w:ascii="Arial" w:hAnsi="Arial" w:cs="Arial"/>
              </w:rPr>
              <w:t>, along with any sp</w:t>
            </w:r>
            <w:r w:rsidR="006B27FC">
              <w:rPr>
                <w:rFonts w:ascii="Arial" w:hAnsi="Arial" w:cs="Arial"/>
              </w:rPr>
              <w:t>ecific system training to be provided.</w:t>
            </w:r>
            <w:r w:rsidR="00CF667D">
              <w:rPr>
                <w:rFonts w:ascii="Arial" w:hAnsi="Arial" w:cs="Arial"/>
              </w:rPr>
              <w:t xml:space="preserve"> </w:t>
            </w:r>
            <w:r w:rsidRPr="00C714E2">
              <w:rPr>
                <w:rFonts w:ascii="Arial" w:hAnsi="Arial" w:cs="Arial"/>
              </w:rPr>
              <w:t xml:space="preserve"> </w:t>
            </w: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F7C6CA9" w14:textId="77777777" w:rsidR="002F50EC" w:rsidRDefault="002F50EC" w:rsidP="00B135AB">
            <w:r>
              <w:lastRenderedPageBreak/>
              <w:t>Scored:</w:t>
            </w:r>
          </w:p>
          <w:p w14:paraId="095AFB52" w14:textId="7E3C038E" w:rsidR="00B135AB" w:rsidRDefault="00B135AB" w:rsidP="00B135AB">
            <w:r>
              <w:t>Full detailed description</w:t>
            </w:r>
            <w:r w:rsidR="005D44B8">
              <w:t xml:space="preserve"> </w:t>
            </w:r>
            <w:r>
              <w:t>– 25 marks</w:t>
            </w:r>
          </w:p>
          <w:p w14:paraId="790D9535" w14:textId="2C291579" w:rsidR="00AE2D1B" w:rsidRDefault="005F4CD1" w:rsidP="00756E33">
            <w:r>
              <w:lastRenderedPageBreak/>
              <w:t>Otherwise, in line with ‘Scoring guide’.</w:t>
            </w:r>
            <w:r>
              <w:br/>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921FADB" w14:textId="77777777" w:rsidR="00AE2D1B" w:rsidRDefault="00AE2D1B" w:rsidP="00756E33">
            <w:r>
              <w:lastRenderedPageBreak/>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7A16CEA" w14:textId="77777777" w:rsidR="00AE2D1B" w:rsidRDefault="00AE2D1B" w:rsidP="00756E33"/>
        </w:tc>
      </w:tr>
      <w:tr w:rsidR="00E35664" w14:paraId="3F09360D"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72F0952" w14:textId="52F14E43" w:rsidR="002B7CD4" w:rsidRDefault="002F50EC" w:rsidP="002B7CD4">
            <w:pPr>
              <w:pStyle w:val="ListParagraph"/>
              <w:numPr>
                <w:ilvl w:val="0"/>
                <w:numId w:val="36"/>
              </w:numPr>
            </w:pPr>
            <w:r w:rsidRPr="002B7CD4">
              <w:rPr>
                <w:rFonts w:ascii="Arial" w:hAnsi="Arial" w:cs="Arial"/>
              </w:rPr>
              <w:t xml:space="preserve">Evidence </w:t>
            </w:r>
            <w:r w:rsidR="00CF667D" w:rsidRPr="002B7CD4">
              <w:rPr>
                <w:rFonts w:ascii="Arial" w:hAnsi="Arial" w:cs="Arial"/>
              </w:rPr>
              <w:t xml:space="preserve">the arrangements for, and access to, </w:t>
            </w:r>
            <w:proofErr w:type="spellStart"/>
            <w:r w:rsidR="00CF667D" w:rsidRPr="002B7CD4">
              <w:rPr>
                <w:rFonts w:ascii="Arial" w:hAnsi="Arial" w:cs="Arial"/>
              </w:rPr>
              <w:t>back up</w:t>
            </w:r>
            <w:proofErr w:type="spellEnd"/>
            <w:r w:rsidR="00CF667D" w:rsidRPr="002B7CD4">
              <w:rPr>
                <w:rFonts w:ascii="Arial" w:hAnsi="Arial" w:cs="Arial"/>
              </w:rPr>
              <w:t xml:space="preserve"> systems, content and records</w:t>
            </w:r>
            <w:r w:rsidR="00280A1E" w:rsidRPr="002B7CD4">
              <w:rPr>
                <w:rFonts w:ascii="Arial" w:hAnsi="Arial" w:cs="Arial"/>
              </w:rPr>
              <w:t xml:space="preserve"> and </w:t>
            </w:r>
            <w:r w:rsidR="002B7CD4" w:rsidRPr="002B7CD4">
              <w:rPr>
                <w:rFonts w:ascii="Arial" w:hAnsi="Arial" w:cs="Arial"/>
              </w:rPr>
              <w:t xml:space="preserve">the provisions for </w:t>
            </w:r>
            <w:r w:rsidR="002B7CD4">
              <w:t>ongoing maintenance releases, upgrades, and support options.</w:t>
            </w:r>
          </w:p>
          <w:p w14:paraId="15CB5004" w14:textId="72855704" w:rsidR="00AE2D1B" w:rsidRDefault="00AE2D1B" w:rsidP="002B7CD4">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D4555F9" w14:textId="77777777" w:rsidR="00285550" w:rsidRDefault="00285550" w:rsidP="00AE0C47">
            <w:r>
              <w:t xml:space="preserve">Scored: </w:t>
            </w:r>
          </w:p>
          <w:p w14:paraId="5BDB1847" w14:textId="46FDAF92" w:rsidR="00AE0C47" w:rsidRDefault="00AE0C47" w:rsidP="00AE0C47">
            <w:r>
              <w:t>Full evidence of robust arrangements – 25 marks</w:t>
            </w:r>
          </w:p>
          <w:p w14:paraId="2F667505" w14:textId="1C06D742" w:rsidR="00AE2D1B" w:rsidRDefault="005F4CD1" w:rsidP="00756E33">
            <w:r>
              <w:t>Otherwise, in line with ‘Scoring guide’.</w:t>
            </w:r>
            <w:r>
              <w:br/>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8A4053B" w14:textId="77777777" w:rsidR="00AE2D1B" w:rsidRDefault="00AE2D1B" w:rsidP="00756E33">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76955B1" w14:textId="77777777" w:rsidR="00AE2D1B" w:rsidRDefault="00AE2D1B" w:rsidP="00756E33"/>
        </w:tc>
      </w:tr>
      <w:tr w:rsidR="00E35664" w14:paraId="51BCA8BD"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D68D7DE" w14:textId="5B38DAFA" w:rsidR="008F725B" w:rsidRPr="008F725B" w:rsidRDefault="00337737" w:rsidP="008F725B">
            <w:pPr>
              <w:pStyle w:val="ListParagraph"/>
              <w:numPr>
                <w:ilvl w:val="0"/>
                <w:numId w:val="36"/>
              </w:numPr>
              <w:spacing w:after="160" w:line="259" w:lineRule="auto"/>
              <w:rPr>
                <w:rFonts w:ascii="Arial" w:hAnsi="Arial" w:cs="Arial"/>
              </w:rPr>
            </w:pPr>
            <w:r>
              <w:rPr>
                <w:rFonts w:ascii="Arial" w:hAnsi="Arial" w:cs="Arial"/>
              </w:rPr>
              <w:t xml:space="preserve">Detail </w:t>
            </w:r>
            <w:r w:rsidR="008F725B" w:rsidRPr="008F725B">
              <w:rPr>
                <w:rFonts w:ascii="Arial" w:hAnsi="Arial" w:cs="Arial"/>
              </w:rPr>
              <w:t>the system’s ability to cater for any future increase in scale in users, new/emerging content and data, the potential to support future mobile learning functionality, and extension of content to future external partners and the safeguards in place to ensure performance would not be compromised by any increases.</w:t>
            </w:r>
          </w:p>
          <w:p w14:paraId="5F6B66E3" w14:textId="72674D01" w:rsidR="00AE2D1B" w:rsidRDefault="00AE2D1B" w:rsidP="00D74A73">
            <w:pPr>
              <w:pStyle w:val="ListParagraph"/>
            </w:pP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B41BAB1" w14:textId="77777777" w:rsidR="00DB7145" w:rsidRDefault="00DB7145" w:rsidP="00DB7145">
            <w:r>
              <w:t xml:space="preserve">Scored: </w:t>
            </w:r>
          </w:p>
          <w:p w14:paraId="23A406E6" w14:textId="7249FAAC" w:rsidR="00DB7145" w:rsidRDefault="00337737" w:rsidP="00DB7145">
            <w:r>
              <w:t xml:space="preserve">Detailed information </w:t>
            </w:r>
            <w:r w:rsidR="00A2341C">
              <w:t xml:space="preserve">and assurance of future capacity and capability </w:t>
            </w:r>
            <w:r w:rsidR="00DB7145">
              <w:t xml:space="preserve"> – 25 marks</w:t>
            </w:r>
          </w:p>
          <w:p w14:paraId="119B767B" w14:textId="2A2D0557" w:rsidR="00AE2D1B" w:rsidRDefault="005F4CD1" w:rsidP="005F4CD1">
            <w:r>
              <w:t>Otherwise, in line with ‘Scoring guide’.</w:t>
            </w: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41D052F" w14:textId="156B962D" w:rsidR="00AE2D1B" w:rsidRDefault="00A2341C" w:rsidP="00756E33">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85C8DE7" w14:textId="77777777" w:rsidR="00AE2D1B" w:rsidRDefault="00AE2D1B" w:rsidP="00756E33"/>
        </w:tc>
      </w:tr>
      <w:tr w:rsidR="00702A1B" w14:paraId="5C69448C"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DA241FC" w14:textId="4F7CD7BD" w:rsidR="00702A1B" w:rsidRPr="00543401" w:rsidRDefault="00702A1B" w:rsidP="00702A1B">
            <w:pPr>
              <w:pStyle w:val="ListParagraph"/>
              <w:numPr>
                <w:ilvl w:val="0"/>
                <w:numId w:val="36"/>
              </w:numPr>
              <w:rPr>
                <w:color w:val="FF0000"/>
              </w:rPr>
            </w:pPr>
            <w:r w:rsidRPr="00980956">
              <w:t>Detail the system</w:t>
            </w:r>
            <w:r w:rsidR="00AF7F6F" w:rsidRPr="00980956">
              <w:t>’</w:t>
            </w:r>
            <w:r w:rsidRPr="00980956">
              <w:t xml:space="preserve">s functionality to support the establishment and administration of coaching </w:t>
            </w:r>
            <w:proofErr w:type="gramStart"/>
            <w:r w:rsidRPr="00980956">
              <w:t>relationships?</w:t>
            </w:r>
            <w:proofErr w:type="gramEnd"/>
            <w:r w:rsidR="00435A80" w:rsidRPr="00980956">
              <w:rPr>
                <w:rFonts w:ascii="Arial" w:hAnsi="Arial" w:cs="Arial"/>
              </w:rPr>
              <w:t xml:space="preserve"> </w:t>
            </w:r>
            <w:r w:rsidR="00EB2855" w:rsidRPr="00980956">
              <w:rPr>
                <w:rFonts w:ascii="Arial" w:hAnsi="Arial" w:cs="Arial"/>
              </w:rPr>
              <w:t xml:space="preserve">Indicate whether </w:t>
            </w:r>
            <w:r w:rsidR="00DC2EB9" w:rsidRPr="00980956">
              <w:rPr>
                <w:rFonts w:ascii="Arial" w:hAnsi="Arial" w:cs="Arial"/>
              </w:rPr>
              <w:t xml:space="preserve">coaching </w:t>
            </w:r>
            <w:r w:rsidR="00EB2855" w:rsidRPr="00980956">
              <w:rPr>
                <w:rFonts w:ascii="Arial" w:hAnsi="Arial" w:cs="Arial"/>
              </w:rPr>
              <w:t>module</w:t>
            </w:r>
            <w:r w:rsidR="00DC2EB9" w:rsidRPr="00980956">
              <w:rPr>
                <w:rFonts w:ascii="Arial" w:hAnsi="Arial" w:cs="Arial"/>
              </w:rPr>
              <w:t xml:space="preserve"> would be </w:t>
            </w:r>
            <w:r w:rsidR="00EB2855" w:rsidRPr="00980956">
              <w:rPr>
                <w:rFonts w:ascii="Arial" w:hAnsi="Arial" w:cs="Arial"/>
              </w:rPr>
              <w:t xml:space="preserve">native to the LMS or provided via bolt-on/integration.  </w:t>
            </w:r>
            <w:r w:rsidR="00435A80" w:rsidRPr="00980956">
              <w:rPr>
                <w:rFonts w:ascii="Arial" w:hAnsi="Arial" w:cs="Arial"/>
              </w:rPr>
              <w:t xml:space="preserve">Provide separate detail in </w:t>
            </w:r>
            <w:r w:rsidR="146E7EBE" w:rsidRPr="546CD569">
              <w:rPr>
                <w:rFonts w:ascii="Arial" w:hAnsi="Arial" w:cs="Arial"/>
              </w:rPr>
              <w:t xml:space="preserve">Appendix J – Pricing Schedule </w:t>
            </w:r>
            <w:r w:rsidR="00435A80" w:rsidRPr="00980956">
              <w:rPr>
                <w:rFonts w:ascii="Arial" w:hAnsi="Arial" w:cs="Arial"/>
              </w:rPr>
              <w:t xml:space="preserve"> about any additional costs if appropriate to support this functionality</w:t>
            </w: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57D36FB" w14:textId="77777777" w:rsidR="005D5AE9" w:rsidRDefault="005D5AE9" w:rsidP="005D5AE9">
            <w:r>
              <w:t>Scored:</w:t>
            </w:r>
          </w:p>
          <w:p w14:paraId="3FB31FE3" w14:textId="77777777" w:rsidR="005D5AE9" w:rsidRDefault="005D5AE9" w:rsidP="005D5AE9">
            <w:r>
              <w:t>As in ‘Scoring guide’ description.</w:t>
            </w:r>
          </w:p>
          <w:p w14:paraId="2A84A69A" w14:textId="27413292" w:rsidR="00702A1B" w:rsidRPr="00543401" w:rsidRDefault="00702A1B" w:rsidP="00702A1B">
            <w:pPr>
              <w:rPr>
                <w:color w:val="FF0000"/>
              </w:rPr>
            </w:pPr>
          </w:p>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DF8199E" w14:textId="047F7DDF" w:rsidR="00702A1B" w:rsidRDefault="00702A1B" w:rsidP="00702A1B">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1FB9AA9" w14:textId="77777777" w:rsidR="00702A1B" w:rsidRDefault="00702A1B" w:rsidP="00702A1B"/>
        </w:tc>
      </w:tr>
      <w:tr w:rsidR="00702A1B" w14:paraId="1C187536" w14:textId="77777777" w:rsidTr="03FB3CAB">
        <w:tc>
          <w:tcPr>
            <w:tcW w:w="4209"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D779224" w14:textId="036D51EB" w:rsidR="00702A1B" w:rsidRDefault="00702A1B" w:rsidP="00702A1B">
            <w:pPr>
              <w:pStyle w:val="ListParagraph"/>
              <w:numPr>
                <w:ilvl w:val="0"/>
                <w:numId w:val="36"/>
              </w:numPr>
              <w:rPr>
                <w:rFonts w:ascii="Arial" w:hAnsi="Arial" w:cs="Arial"/>
              </w:rPr>
            </w:pPr>
            <w:r w:rsidRPr="00980956">
              <w:t xml:space="preserve">Detail the functionality of the system (or “bolt </w:t>
            </w:r>
            <w:proofErr w:type="spellStart"/>
            <w:r w:rsidRPr="00980956">
              <w:t>ons</w:t>
            </w:r>
            <w:proofErr w:type="spellEnd"/>
            <w:r w:rsidRPr="00980956">
              <w:t xml:space="preserve">” if appropriate) to support the management of talent in respect of the full talent management lifecycle and covering </w:t>
            </w:r>
            <w:r w:rsidRPr="00980956">
              <w:rPr>
                <w:rFonts w:ascii="Arial" w:hAnsi="Arial" w:cs="Arial"/>
              </w:rPr>
              <w:t>performance, career developm</w:t>
            </w:r>
            <w:r w:rsidR="00EB2855" w:rsidRPr="00980956">
              <w:rPr>
                <w:rFonts w:ascii="Arial" w:hAnsi="Arial" w:cs="Arial"/>
              </w:rPr>
              <w:t xml:space="preserve">ent and succession planning. </w:t>
            </w:r>
            <w:r w:rsidR="00EB2855">
              <w:t xml:space="preserve"> </w:t>
            </w:r>
            <w:r w:rsidR="00EB2855" w:rsidRPr="00980956">
              <w:rPr>
                <w:rFonts w:ascii="Arial" w:hAnsi="Arial" w:cs="Arial"/>
              </w:rPr>
              <w:t xml:space="preserve">Indicate whether </w:t>
            </w:r>
            <w:r w:rsidR="00EB2855" w:rsidRPr="00980956">
              <w:rPr>
                <w:rFonts w:ascii="Arial" w:hAnsi="Arial" w:cs="Arial"/>
              </w:rPr>
              <w:lastRenderedPageBreak/>
              <w:t>modules are native to the LMS or provided via bolt-on/integration</w:t>
            </w:r>
            <w:r w:rsidR="0004336C" w:rsidRPr="00980956">
              <w:rPr>
                <w:rFonts w:ascii="Arial" w:hAnsi="Arial" w:cs="Arial"/>
              </w:rPr>
              <w:t xml:space="preserve">.  </w:t>
            </w:r>
            <w:r w:rsidR="00155581" w:rsidRPr="00980956">
              <w:rPr>
                <w:rFonts w:ascii="Arial" w:hAnsi="Arial" w:cs="Arial"/>
              </w:rPr>
              <w:t xml:space="preserve">Provide </w:t>
            </w:r>
            <w:r w:rsidR="004B3BBC" w:rsidRPr="00980956">
              <w:rPr>
                <w:rFonts w:ascii="Arial" w:hAnsi="Arial" w:cs="Arial"/>
              </w:rPr>
              <w:t xml:space="preserve">separate </w:t>
            </w:r>
            <w:r w:rsidR="00155581" w:rsidRPr="00980956">
              <w:rPr>
                <w:rFonts w:ascii="Arial" w:hAnsi="Arial" w:cs="Arial"/>
              </w:rPr>
              <w:t>d</w:t>
            </w:r>
            <w:r w:rsidR="0004336C" w:rsidRPr="00980956">
              <w:rPr>
                <w:rFonts w:ascii="Arial" w:hAnsi="Arial" w:cs="Arial"/>
              </w:rPr>
              <w:t>etail</w:t>
            </w:r>
            <w:r w:rsidR="00155581" w:rsidRPr="00980956">
              <w:rPr>
                <w:rFonts w:ascii="Arial" w:hAnsi="Arial" w:cs="Arial"/>
              </w:rPr>
              <w:t xml:space="preserve"> </w:t>
            </w:r>
            <w:r w:rsidR="00FF4E0A" w:rsidRPr="00980956">
              <w:rPr>
                <w:rFonts w:ascii="Arial" w:hAnsi="Arial" w:cs="Arial"/>
              </w:rPr>
              <w:t>in</w:t>
            </w:r>
            <w:r w:rsidR="3F6D4593" w:rsidRPr="546CD569">
              <w:rPr>
                <w:rFonts w:ascii="Arial" w:hAnsi="Arial" w:cs="Arial"/>
              </w:rPr>
              <w:t xml:space="preserve"> Appendix J – Pricing Schedule</w:t>
            </w:r>
            <w:r w:rsidR="00FF4E0A" w:rsidRPr="00980956">
              <w:rPr>
                <w:rFonts w:ascii="Arial" w:hAnsi="Arial" w:cs="Arial"/>
              </w:rPr>
              <w:t xml:space="preserve">  </w:t>
            </w:r>
            <w:r w:rsidR="00155581" w:rsidRPr="00980956">
              <w:rPr>
                <w:rFonts w:ascii="Arial" w:hAnsi="Arial" w:cs="Arial"/>
              </w:rPr>
              <w:t xml:space="preserve">about any </w:t>
            </w:r>
            <w:r w:rsidR="004B3BBC" w:rsidRPr="00980956">
              <w:rPr>
                <w:rFonts w:ascii="Arial" w:hAnsi="Arial" w:cs="Arial"/>
              </w:rPr>
              <w:t>a</w:t>
            </w:r>
            <w:r w:rsidR="00155581" w:rsidRPr="00980956">
              <w:rPr>
                <w:rFonts w:ascii="Arial" w:hAnsi="Arial" w:cs="Arial"/>
              </w:rPr>
              <w:t xml:space="preserve">dditional costs if appropriate </w:t>
            </w:r>
            <w:r w:rsidR="004B3BBC" w:rsidRPr="00980956">
              <w:rPr>
                <w:rFonts w:ascii="Arial" w:hAnsi="Arial" w:cs="Arial"/>
              </w:rPr>
              <w:t xml:space="preserve">to support this functionality </w:t>
            </w:r>
          </w:p>
        </w:tc>
        <w:tc>
          <w:tcPr>
            <w:tcW w:w="242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2A0C7D99" w14:textId="77777777" w:rsidR="00702A1B" w:rsidRDefault="00702A1B" w:rsidP="00702A1B">
            <w:r>
              <w:lastRenderedPageBreak/>
              <w:t>Scored:</w:t>
            </w:r>
          </w:p>
          <w:p w14:paraId="44A69D73" w14:textId="412B79D1" w:rsidR="00702A1B" w:rsidRDefault="005D5AE9" w:rsidP="00702A1B">
            <w:r>
              <w:t>As in ‘Scoring guide’ description.</w:t>
            </w:r>
          </w:p>
          <w:p w14:paraId="6B6738B8" w14:textId="7298F542" w:rsidR="00702A1B" w:rsidRDefault="00702A1B" w:rsidP="00702A1B"/>
        </w:tc>
        <w:tc>
          <w:tcPr>
            <w:tcW w:w="1347"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1F7CE32" w14:textId="46F32E47" w:rsidR="00702A1B" w:rsidRDefault="00702A1B" w:rsidP="00702A1B">
            <w:r>
              <w:t>Qualitative</w:t>
            </w:r>
          </w:p>
        </w:tc>
        <w:tc>
          <w:tcPr>
            <w:tcW w:w="1656"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AAE4EF9" w14:textId="77777777" w:rsidR="00702A1B" w:rsidRDefault="00702A1B" w:rsidP="00702A1B"/>
        </w:tc>
      </w:tr>
    </w:tbl>
    <w:p w14:paraId="37A8D4B0" w14:textId="77777777" w:rsidR="007B2E4B" w:rsidRDefault="007B2E4B" w:rsidP="00722786">
      <w:pPr>
        <w:pStyle w:val="BodyText1"/>
        <w:spacing w:after="0"/>
        <w:rPr>
          <w:b/>
          <w:bCs/>
          <w:color w:val="auto"/>
        </w:rPr>
      </w:pPr>
    </w:p>
    <w:p w14:paraId="0198D7DB" w14:textId="57919815" w:rsidR="515D1E7F" w:rsidRDefault="515D1E7F">
      <w:r>
        <w:br w:type="page"/>
      </w:r>
    </w:p>
    <w:p w14:paraId="28D4EDB0" w14:textId="4473D619" w:rsidR="515D1E7F" w:rsidRDefault="515D1E7F" w:rsidP="515D1E7F">
      <w:pPr>
        <w:pStyle w:val="BodyText1"/>
        <w:spacing w:after="0"/>
        <w:rPr>
          <w:b/>
          <w:bCs/>
          <w:color w:val="auto"/>
        </w:rPr>
      </w:pPr>
    </w:p>
    <w:p w14:paraId="08C98319" w14:textId="2F796C13" w:rsidR="515D1E7F" w:rsidRDefault="515D1E7F" w:rsidP="515D1E7F">
      <w:pPr>
        <w:pStyle w:val="BodyText1"/>
        <w:spacing w:after="0"/>
        <w:rPr>
          <w:b/>
          <w:bCs/>
          <w:color w:val="auto"/>
        </w:rPr>
      </w:pPr>
    </w:p>
    <w:tbl>
      <w:tblPr>
        <w:tblStyle w:val="TableGrid"/>
        <w:tblW w:w="14008" w:type="dxa"/>
        <w:tblInd w:w="-5" w:type="dxa"/>
        <w:tblLook w:val="04A0" w:firstRow="1" w:lastRow="0" w:firstColumn="1" w:lastColumn="0" w:noHBand="0" w:noVBand="1"/>
      </w:tblPr>
      <w:tblGrid>
        <w:gridCol w:w="5488"/>
        <w:gridCol w:w="2400"/>
        <w:gridCol w:w="3360"/>
        <w:gridCol w:w="2760"/>
      </w:tblGrid>
      <w:tr w:rsidR="515D1E7F" w14:paraId="4E7F5C2B" w14:textId="77777777" w:rsidTr="03FB3CAB">
        <w:trPr>
          <w:trHeight w:val="300"/>
        </w:trPr>
        <w:tc>
          <w:tcPr>
            <w:tcW w:w="14008" w:type="dxa"/>
            <w:gridSpan w:val="4"/>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1718A802" w14:textId="7CD5027C" w:rsidR="515D1E7F" w:rsidRDefault="515D1E7F" w:rsidP="03FB3CAB">
            <w:pPr>
              <w:rPr>
                <w:i/>
                <w:iCs/>
              </w:rPr>
            </w:pPr>
            <w:r w:rsidRPr="03FB3CAB">
              <w:rPr>
                <w:b/>
                <w:bCs/>
                <w:i/>
                <w:iCs/>
              </w:rPr>
              <w:t>Scored Questions</w:t>
            </w:r>
            <w:r w:rsidRPr="03FB3CAB">
              <w:rPr>
                <w:i/>
                <w:iCs/>
              </w:rPr>
              <w:t xml:space="preserve"> </w:t>
            </w:r>
            <w:r w:rsidR="1F3A2CA6" w:rsidRPr="03FB3CAB">
              <w:rPr>
                <w:b/>
                <w:bCs/>
                <w:i/>
                <w:iCs/>
              </w:rPr>
              <w:t>(Demonstration)</w:t>
            </w:r>
            <w:r w:rsidR="1F3A2CA6" w:rsidRPr="03FB3CAB">
              <w:rPr>
                <w:i/>
                <w:iCs/>
              </w:rPr>
              <w:t xml:space="preserve"> </w:t>
            </w:r>
            <w:r w:rsidRPr="03FB3CAB">
              <w:rPr>
                <w:i/>
                <w:iCs/>
              </w:rPr>
              <w:t xml:space="preserve">– a total maximum score of </w:t>
            </w:r>
            <w:r w:rsidR="00C45840">
              <w:rPr>
                <w:i/>
                <w:iCs/>
              </w:rPr>
              <w:t>150</w:t>
            </w:r>
            <w:r w:rsidRPr="03FB3CAB">
              <w:rPr>
                <w:i/>
                <w:iCs/>
              </w:rPr>
              <w:t xml:space="preserve"> marks is available in this section of the evaluation. The </w:t>
            </w:r>
            <w:r w:rsidR="4723DAA1" w:rsidRPr="03FB3CAB">
              <w:rPr>
                <w:i/>
                <w:iCs/>
              </w:rPr>
              <w:t>combined weighting for Scored Questions and Scored Questions (Demonstration) is 70%.</w:t>
            </w:r>
          </w:p>
          <w:p w14:paraId="011163FE" w14:textId="77777777" w:rsidR="515D1E7F" w:rsidRDefault="515D1E7F" w:rsidP="515D1E7F">
            <w:pPr>
              <w:rPr>
                <w:i/>
                <w:iCs/>
              </w:rPr>
            </w:pPr>
          </w:p>
          <w:p w14:paraId="4A069F61" w14:textId="3D1BD63C" w:rsidR="13D1203A" w:rsidRPr="00445953" w:rsidRDefault="515D1E7F" w:rsidP="515D1E7F">
            <w:pPr>
              <w:rPr>
                <w:rFonts w:ascii="Arial" w:hAnsi="Arial" w:cs="Arial"/>
                <w:sz w:val="22"/>
                <w:szCs w:val="22"/>
              </w:rPr>
            </w:pPr>
            <w:r w:rsidRPr="00445953">
              <w:rPr>
                <w:b/>
                <w:bCs/>
                <w:i/>
                <w:iCs/>
                <w:sz w:val="22"/>
                <w:szCs w:val="22"/>
              </w:rPr>
              <w:t>Scoring guide:</w:t>
            </w:r>
            <w:r w:rsidR="13D1203A" w:rsidRPr="00445953">
              <w:br/>
            </w:r>
            <w:r w:rsidRPr="00445953">
              <w:rPr>
                <w:rFonts w:ascii="Arial" w:hAnsi="Arial" w:cs="Arial"/>
                <w:sz w:val="22"/>
                <w:szCs w:val="22"/>
              </w:rPr>
              <w:t>0= No response or wholly inadequate</w:t>
            </w:r>
            <w:r w:rsidR="13D1203A" w:rsidRPr="00445953">
              <w:br/>
            </w:r>
            <w:r w:rsidRPr="00445953">
              <w:rPr>
                <w:rFonts w:ascii="Arial" w:hAnsi="Arial" w:cs="Arial"/>
                <w:sz w:val="22"/>
                <w:szCs w:val="22"/>
              </w:rPr>
              <w:t>10 = Good response with relevant detail</w:t>
            </w:r>
          </w:p>
          <w:p w14:paraId="5A6826FD" w14:textId="1608FF95" w:rsidR="515D1E7F" w:rsidRPr="00445953" w:rsidRDefault="515D1E7F" w:rsidP="515D1E7F">
            <w:pPr>
              <w:rPr>
                <w:rFonts w:ascii="Arial" w:hAnsi="Arial" w:cs="Arial"/>
                <w:sz w:val="22"/>
                <w:szCs w:val="22"/>
              </w:rPr>
            </w:pPr>
            <w:r w:rsidRPr="00445953">
              <w:rPr>
                <w:rFonts w:ascii="Arial" w:hAnsi="Arial" w:cs="Arial"/>
                <w:sz w:val="22"/>
                <w:szCs w:val="22"/>
              </w:rPr>
              <w:t>20 = Good response with clear evidence, and alignment to goals stated in the overview of requirement</w:t>
            </w:r>
          </w:p>
          <w:p w14:paraId="09727C4D" w14:textId="4C39B9D3" w:rsidR="515D1E7F" w:rsidRDefault="515D1E7F" w:rsidP="515D1E7F">
            <w:pPr>
              <w:rPr>
                <w:rFonts w:ascii="Arial" w:hAnsi="Arial" w:cs="Arial"/>
                <w:sz w:val="22"/>
                <w:szCs w:val="22"/>
              </w:rPr>
            </w:pPr>
            <w:r w:rsidRPr="00445953">
              <w:rPr>
                <w:rFonts w:ascii="Arial" w:hAnsi="Arial" w:cs="Arial"/>
                <w:sz w:val="22"/>
                <w:szCs w:val="22"/>
              </w:rPr>
              <w:t>25 = Excellent response with clear evidence, innovation, and alignment to goals stated in the overview of requirement</w:t>
            </w:r>
          </w:p>
          <w:p w14:paraId="6073B856" w14:textId="4883F183" w:rsidR="515D1E7F" w:rsidRDefault="515D1E7F" w:rsidP="515D1E7F">
            <w:pPr>
              <w:rPr>
                <w:rFonts w:ascii="Arial" w:hAnsi="Arial" w:cs="Arial"/>
                <w:sz w:val="22"/>
                <w:szCs w:val="22"/>
              </w:rPr>
            </w:pPr>
          </w:p>
          <w:p w14:paraId="6C9C16EF" w14:textId="66CDE031" w:rsidR="515D1E7F" w:rsidRDefault="515D1E7F" w:rsidP="515D1E7F">
            <w:pPr>
              <w:rPr>
                <w:i/>
                <w:iCs/>
              </w:rPr>
            </w:pPr>
          </w:p>
        </w:tc>
      </w:tr>
      <w:tr w:rsidR="515D1E7F" w14:paraId="1AE4BCF4"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6FB0AA5F" w14:textId="77777777" w:rsidR="515D1E7F" w:rsidRDefault="515D1E7F">
            <w:r w:rsidRPr="515D1E7F">
              <w:rPr>
                <w:rFonts w:cs="Arial"/>
              </w:rPr>
              <w:t>Award Criterion/Question</w:t>
            </w: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580ECA1E" w14:textId="77777777" w:rsidR="515D1E7F" w:rsidRDefault="515D1E7F">
            <w:r>
              <w:t>Information</w:t>
            </w:r>
          </w:p>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43DBB988" w14:textId="77777777" w:rsidR="515D1E7F" w:rsidRDefault="515D1E7F">
            <w:r>
              <w:t>Answer</w:t>
            </w:r>
          </w:p>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shd w:val="clear" w:color="auto" w:fill="BEDDFF" w:themeFill="accent2" w:themeFillTint="33"/>
          </w:tcPr>
          <w:p w14:paraId="7C65AB3B" w14:textId="77777777" w:rsidR="515D1E7F" w:rsidRDefault="515D1E7F">
            <w:r>
              <w:t>Supplementary Information/Answer</w:t>
            </w:r>
          </w:p>
        </w:tc>
      </w:tr>
      <w:tr w:rsidR="515D1E7F" w14:paraId="660CD5D6"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DDCBACA" w14:textId="47CE2337" w:rsidR="515D1E7F" w:rsidRDefault="4831E9A2" w:rsidP="03FB3CAB">
            <w:pPr>
              <w:pStyle w:val="ListParagraph"/>
              <w:numPr>
                <w:ilvl w:val="0"/>
                <w:numId w:val="47"/>
              </w:numPr>
              <w:shd w:val="clear" w:color="auto" w:fill="FFFFFF" w:themeFill="background2"/>
              <w:rPr>
                <w:rFonts w:ascii="Arial" w:eastAsia="Arial" w:hAnsi="Arial" w:cs="Arial"/>
                <w:color w:val="161C24"/>
              </w:rPr>
            </w:pPr>
            <w:r w:rsidRPr="03FB3CAB">
              <w:rPr>
                <w:rFonts w:ascii="Arial" w:eastAsia="Arial" w:hAnsi="Arial" w:cs="Arial"/>
                <w:b/>
                <w:bCs/>
                <w:color w:val="161C24"/>
              </w:rPr>
              <w:t>Navigation</w:t>
            </w:r>
            <w:r w:rsidRPr="03FB3CAB">
              <w:rPr>
                <w:rFonts w:ascii="Arial" w:eastAsia="Arial" w:hAnsi="Arial" w:cs="Arial"/>
                <w:color w:val="161C24"/>
              </w:rPr>
              <w:t xml:space="preserve"> for all users is easy and intuitive, learner pathways are logical, learning content is easy to manage, order and assign. </w:t>
            </w:r>
            <w:r w:rsidR="75D74D69" w:rsidRPr="03FB3CAB">
              <w:rPr>
                <w:rFonts w:ascii="Arial" w:eastAsia="Arial" w:hAnsi="Arial" w:cs="Arial"/>
                <w:i/>
                <w:iCs/>
                <w:color w:val="161C24"/>
              </w:rPr>
              <w:t>(Demonstrate how learners would navigate from log-in to launching</w:t>
            </w:r>
            <w:r w:rsidR="004929A6">
              <w:rPr>
                <w:rFonts w:ascii="Arial" w:eastAsia="Arial" w:hAnsi="Arial" w:cs="Arial"/>
                <w:i/>
                <w:iCs/>
                <w:color w:val="161C24"/>
              </w:rPr>
              <w:t>/attending</w:t>
            </w:r>
            <w:r w:rsidR="75D74D69" w:rsidRPr="03FB3CAB">
              <w:rPr>
                <w:rFonts w:ascii="Arial" w:eastAsia="Arial" w:hAnsi="Arial" w:cs="Arial"/>
                <w:i/>
                <w:iCs/>
                <w:color w:val="161C24"/>
              </w:rPr>
              <w:t xml:space="preserve"> a learning session, bearing in mind accessibility standards and ease-of-navigation)</w:t>
            </w:r>
          </w:p>
          <w:p w14:paraId="0EF75BFB" w14:textId="54764C92" w:rsidR="515D1E7F" w:rsidRDefault="515D1E7F" w:rsidP="515D1E7F">
            <w:pPr>
              <w:pStyle w:val="ListParagraph"/>
            </w:pP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9CC746E" w14:textId="08EEC678" w:rsidR="515D1E7F" w:rsidRDefault="515D1E7F"/>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252DBCBC" w14:textId="36749434" w:rsidR="7F293217" w:rsidRDefault="7F293217"/>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D60EE42" w14:textId="77777777" w:rsidR="515D1E7F" w:rsidRDefault="515D1E7F"/>
        </w:tc>
      </w:tr>
      <w:tr w:rsidR="515D1E7F" w14:paraId="595F9C11"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A5C4385" w14:textId="47388B70" w:rsidR="515D1E7F" w:rsidRDefault="4831E9A2" w:rsidP="03FB3CAB">
            <w:pPr>
              <w:pStyle w:val="ListParagraph"/>
              <w:numPr>
                <w:ilvl w:val="0"/>
                <w:numId w:val="47"/>
              </w:numPr>
              <w:shd w:val="clear" w:color="auto" w:fill="FFFFFF" w:themeFill="background2"/>
              <w:rPr>
                <w:rFonts w:ascii="Arial" w:eastAsia="Arial" w:hAnsi="Arial" w:cs="Arial"/>
                <w:i/>
                <w:iCs/>
                <w:color w:val="34373C"/>
              </w:rPr>
            </w:pPr>
            <w:r w:rsidRPr="03FB3CAB">
              <w:rPr>
                <w:rFonts w:ascii="Arial" w:eastAsia="Arial" w:hAnsi="Arial" w:cs="Arial"/>
                <w:b/>
                <w:bCs/>
                <w:color w:val="161C24"/>
              </w:rPr>
              <w:t>Dashboard/Reporting</w:t>
            </w:r>
            <w:r w:rsidRPr="03FB3CAB">
              <w:rPr>
                <w:rFonts w:ascii="Arial" w:eastAsia="Arial" w:hAnsi="Arial" w:cs="Arial"/>
                <w:color w:val="161C24"/>
              </w:rPr>
              <w:t xml:space="preserve"> .</w:t>
            </w:r>
            <w:r w:rsidRPr="03FB3CAB">
              <w:rPr>
                <w:rFonts w:ascii="Arial" w:eastAsia="Arial" w:hAnsi="Arial" w:cs="Arial"/>
                <w:color w:val="34373C"/>
              </w:rPr>
              <w:t xml:space="preserve"> Provides learners with a clear and functional dashboard and learner record that makes engaging with all training content easy and inviting. Provides quickly</w:t>
            </w:r>
            <w:r w:rsidR="006A41DA">
              <w:rPr>
                <w:rFonts w:ascii="Arial" w:eastAsia="Arial" w:hAnsi="Arial" w:cs="Arial"/>
                <w:color w:val="34373C"/>
              </w:rPr>
              <w:t>,</w:t>
            </w:r>
            <w:r w:rsidRPr="03FB3CAB">
              <w:rPr>
                <w:rFonts w:ascii="Arial" w:eastAsia="Arial" w:hAnsi="Arial" w:cs="Arial"/>
                <w:color w:val="34373C"/>
              </w:rPr>
              <w:t xml:space="preserve"> a range of easily accessible intelligent reports in variety of formats to a range of </w:t>
            </w:r>
            <w:r w:rsidR="12F0F12D" w:rsidRPr="3CB9F682">
              <w:rPr>
                <w:rFonts w:ascii="Arial" w:eastAsia="Arial" w:hAnsi="Arial" w:cs="Arial"/>
                <w:color w:val="34373C"/>
              </w:rPr>
              <w:t>users</w:t>
            </w:r>
            <w:r w:rsidRPr="03FB3CAB">
              <w:rPr>
                <w:rFonts w:ascii="Arial" w:eastAsia="Arial" w:hAnsi="Arial" w:cs="Arial"/>
                <w:color w:val="34373C"/>
              </w:rPr>
              <w:t xml:space="preserve">/managers.  </w:t>
            </w:r>
            <w:r w:rsidR="35EB4933" w:rsidRPr="03FB3CAB">
              <w:rPr>
                <w:rFonts w:ascii="Arial" w:eastAsia="Arial" w:hAnsi="Arial" w:cs="Arial"/>
                <w:i/>
                <w:iCs/>
                <w:color w:val="34373C"/>
              </w:rPr>
              <w:t xml:space="preserve">(Demonstrate system capability to output </w:t>
            </w:r>
            <w:r w:rsidR="00D42816">
              <w:rPr>
                <w:rFonts w:ascii="Arial" w:eastAsia="Arial" w:hAnsi="Arial" w:cs="Arial"/>
                <w:i/>
                <w:iCs/>
                <w:color w:val="34373C"/>
              </w:rPr>
              <w:t>dashboard/</w:t>
            </w:r>
            <w:r w:rsidR="35EB4933" w:rsidRPr="03FB3CAB">
              <w:rPr>
                <w:rFonts w:ascii="Arial" w:eastAsia="Arial" w:hAnsi="Arial" w:cs="Arial"/>
                <w:i/>
                <w:iCs/>
                <w:color w:val="34373C"/>
              </w:rPr>
              <w:t xml:space="preserve">reports based on learning history, accessible to </w:t>
            </w:r>
            <w:r w:rsidR="00D87851">
              <w:rPr>
                <w:rFonts w:ascii="Arial" w:eastAsia="Arial" w:hAnsi="Arial" w:cs="Arial"/>
                <w:i/>
                <w:iCs/>
                <w:color w:val="34373C"/>
              </w:rPr>
              <w:t>learners, and</w:t>
            </w:r>
            <w:r w:rsidR="00573E47">
              <w:rPr>
                <w:rFonts w:ascii="Arial" w:eastAsia="Arial" w:hAnsi="Arial" w:cs="Arial"/>
                <w:i/>
                <w:iCs/>
                <w:color w:val="34373C"/>
              </w:rPr>
              <w:t xml:space="preserve"> man</w:t>
            </w:r>
            <w:r w:rsidR="00D87851">
              <w:rPr>
                <w:rFonts w:ascii="Arial" w:eastAsia="Arial" w:hAnsi="Arial" w:cs="Arial"/>
                <w:i/>
                <w:iCs/>
                <w:color w:val="34373C"/>
              </w:rPr>
              <w:t>a</w:t>
            </w:r>
            <w:r w:rsidR="00573E47">
              <w:rPr>
                <w:rFonts w:ascii="Arial" w:eastAsia="Arial" w:hAnsi="Arial" w:cs="Arial"/>
                <w:i/>
                <w:iCs/>
                <w:color w:val="34373C"/>
              </w:rPr>
              <w:t>gers of teams</w:t>
            </w:r>
            <w:r w:rsidR="35EB4933" w:rsidRPr="03FB3CAB">
              <w:rPr>
                <w:rFonts w:ascii="Arial" w:eastAsia="Arial" w:hAnsi="Arial" w:cs="Arial"/>
                <w:i/>
                <w:iCs/>
                <w:color w:val="34373C"/>
              </w:rPr>
              <w:t xml:space="preserve">. Demonstrate how </w:t>
            </w:r>
            <w:r w:rsidR="00D42816">
              <w:rPr>
                <w:rFonts w:ascii="Arial" w:eastAsia="Arial" w:hAnsi="Arial" w:cs="Arial"/>
                <w:i/>
                <w:iCs/>
                <w:color w:val="34373C"/>
              </w:rPr>
              <w:t xml:space="preserve">the </w:t>
            </w:r>
            <w:r w:rsidR="35EB4933" w:rsidRPr="03FB3CAB">
              <w:rPr>
                <w:rFonts w:ascii="Arial" w:eastAsia="Arial" w:hAnsi="Arial" w:cs="Arial"/>
                <w:i/>
                <w:iCs/>
                <w:color w:val="34373C"/>
              </w:rPr>
              <w:lastRenderedPageBreak/>
              <w:t xml:space="preserve">solution supports dashboards </w:t>
            </w:r>
            <w:r w:rsidR="00D87851">
              <w:rPr>
                <w:rFonts w:ascii="Arial" w:eastAsia="Arial" w:hAnsi="Arial" w:cs="Arial"/>
                <w:i/>
                <w:iCs/>
                <w:color w:val="34373C"/>
              </w:rPr>
              <w:t xml:space="preserve">and reports </w:t>
            </w:r>
            <w:r w:rsidR="0040775A">
              <w:rPr>
                <w:rFonts w:ascii="Arial" w:eastAsia="Arial" w:hAnsi="Arial" w:cs="Arial"/>
                <w:i/>
                <w:iCs/>
                <w:color w:val="34373C"/>
              </w:rPr>
              <w:t>and system admin</w:t>
            </w:r>
            <w:r w:rsidR="00986C52">
              <w:rPr>
                <w:rFonts w:ascii="Arial" w:eastAsia="Arial" w:hAnsi="Arial" w:cs="Arial"/>
                <w:i/>
                <w:iCs/>
                <w:color w:val="34373C"/>
              </w:rPr>
              <w:t>istrators</w:t>
            </w:r>
            <w:r w:rsidR="0040775A">
              <w:rPr>
                <w:rFonts w:ascii="Arial" w:eastAsia="Arial" w:hAnsi="Arial" w:cs="Arial"/>
                <w:i/>
                <w:iCs/>
                <w:color w:val="34373C"/>
              </w:rPr>
              <w:t>/</w:t>
            </w:r>
            <w:r w:rsidR="00986C52">
              <w:rPr>
                <w:rFonts w:ascii="Arial" w:eastAsia="Arial" w:hAnsi="Arial" w:cs="Arial"/>
                <w:i/>
                <w:iCs/>
                <w:color w:val="34373C"/>
              </w:rPr>
              <w:t>super users</w:t>
            </w:r>
            <w:r w:rsidR="35EB4933" w:rsidRPr="03FB3CAB">
              <w:rPr>
                <w:rFonts w:ascii="Arial" w:eastAsia="Arial" w:hAnsi="Arial" w:cs="Arial"/>
                <w:i/>
                <w:iCs/>
                <w:color w:val="34373C"/>
              </w:rPr>
              <w:t>).</w:t>
            </w:r>
          </w:p>
          <w:p w14:paraId="04DFA6EF" w14:textId="10592BE2" w:rsidR="515D1E7F" w:rsidRDefault="515D1E7F" w:rsidP="515D1E7F">
            <w:pPr>
              <w:pStyle w:val="ListParagraph"/>
            </w:pP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090B2C9D" w14:textId="102A0CB1" w:rsidR="515D1E7F" w:rsidRDefault="515D1E7F"/>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6DEDCD8" w14:textId="1F716305" w:rsidR="515D1E7F" w:rsidRDefault="515D1E7F"/>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76984D62" w14:textId="77777777" w:rsidR="515D1E7F" w:rsidRDefault="515D1E7F"/>
        </w:tc>
      </w:tr>
      <w:tr w:rsidR="03FB3CAB" w14:paraId="3AED6F2F"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453278F" w14:textId="00A8C0C0" w:rsidR="4831E9A2" w:rsidRDefault="4831E9A2" w:rsidP="03FB3CAB">
            <w:pPr>
              <w:pStyle w:val="ListParagraph"/>
              <w:numPr>
                <w:ilvl w:val="0"/>
                <w:numId w:val="47"/>
              </w:numPr>
              <w:rPr>
                <w:rFonts w:ascii="Arial" w:eastAsia="Arial" w:hAnsi="Arial" w:cs="Arial"/>
                <w:i/>
                <w:iCs/>
                <w:color w:val="34373C"/>
              </w:rPr>
            </w:pPr>
            <w:r w:rsidRPr="03FB3CAB">
              <w:rPr>
                <w:rFonts w:ascii="Arial" w:eastAsia="Arial" w:hAnsi="Arial" w:cs="Arial"/>
                <w:b/>
                <w:bCs/>
                <w:color w:val="161C24"/>
              </w:rPr>
              <w:t xml:space="preserve">Authoring capability </w:t>
            </w:r>
            <w:r w:rsidRPr="03FB3CAB">
              <w:rPr>
                <w:rFonts w:ascii="Arial" w:eastAsia="Arial" w:hAnsi="Arial" w:cs="Arial"/>
                <w:color w:val="161C24"/>
              </w:rPr>
              <w:t xml:space="preserve"> - </w:t>
            </w:r>
            <w:r w:rsidRPr="03FB3CAB">
              <w:rPr>
                <w:rFonts w:ascii="Arial" w:eastAsia="Arial" w:hAnsi="Arial" w:cs="Arial"/>
                <w:color w:val="34373C"/>
              </w:rPr>
              <w:t>needs to be intuitive for course designers and supportive of efficient creation of a variety of engaging content in line with the best practise, including collaboration spaces for learners to share and generate own content.</w:t>
            </w:r>
            <w:r w:rsidR="4523D76E" w:rsidRPr="03FB3CAB">
              <w:rPr>
                <w:rFonts w:ascii="Arial" w:eastAsia="Arial" w:hAnsi="Arial" w:cs="Arial"/>
                <w:color w:val="34373C"/>
              </w:rPr>
              <w:t xml:space="preserve"> </w:t>
            </w:r>
            <w:r w:rsidR="4523D76E" w:rsidRPr="03FB3CAB">
              <w:rPr>
                <w:rFonts w:ascii="Arial" w:eastAsia="Arial" w:hAnsi="Arial" w:cs="Arial"/>
                <w:i/>
                <w:iCs/>
                <w:color w:val="34373C"/>
              </w:rPr>
              <w:t>(</w:t>
            </w:r>
            <w:r w:rsidR="00A11654">
              <w:rPr>
                <w:rFonts w:ascii="Arial" w:eastAsia="Arial" w:hAnsi="Arial" w:cs="Arial"/>
                <w:i/>
                <w:iCs/>
                <w:color w:val="34373C"/>
              </w:rPr>
              <w:t xml:space="preserve">Demonstrate </w:t>
            </w:r>
            <w:r w:rsidR="00104158">
              <w:rPr>
                <w:rFonts w:ascii="Arial" w:eastAsia="Arial" w:hAnsi="Arial" w:cs="Arial"/>
                <w:i/>
                <w:iCs/>
                <w:color w:val="34373C"/>
              </w:rPr>
              <w:t xml:space="preserve">the </w:t>
            </w:r>
            <w:r w:rsidR="00F34EEC">
              <w:rPr>
                <w:rFonts w:ascii="Arial" w:eastAsia="Arial" w:hAnsi="Arial" w:cs="Arial"/>
                <w:i/>
                <w:iCs/>
                <w:color w:val="34373C"/>
              </w:rPr>
              <w:t xml:space="preserve">system’s functionality </w:t>
            </w:r>
            <w:r w:rsidR="00842A51">
              <w:rPr>
                <w:rFonts w:ascii="Arial" w:eastAsia="Arial" w:hAnsi="Arial" w:cs="Arial"/>
                <w:i/>
                <w:iCs/>
                <w:color w:val="34373C"/>
              </w:rPr>
              <w:t xml:space="preserve">and necessary steps </w:t>
            </w:r>
            <w:r w:rsidR="00FF10F8">
              <w:rPr>
                <w:rFonts w:ascii="Arial" w:eastAsia="Arial" w:hAnsi="Arial" w:cs="Arial"/>
                <w:i/>
                <w:iCs/>
                <w:color w:val="34373C"/>
              </w:rPr>
              <w:t xml:space="preserve">in the creation of </w:t>
            </w:r>
            <w:r w:rsidR="0080272B">
              <w:rPr>
                <w:rFonts w:ascii="Arial" w:eastAsia="Arial" w:hAnsi="Arial" w:cs="Arial"/>
                <w:i/>
                <w:iCs/>
                <w:color w:val="34373C"/>
              </w:rPr>
              <w:t xml:space="preserve">a </w:t>
            </w:r>
            <w:r w:rsidR="00FF10F8">
              <w:rPr>
                <w:rFonts w:ascii="Arial" w:eastAsia="Arial" w:hAnsi="Arial" w:cs="Arial"/>
                <w:i/>
                <w:iCs/>
                <w:color w:val="34373C"/>
              </w:rPr>
              <w:t>learning</w:t>
            </w:r>
            <w:r w:rsidR="0080272B">
              <w:rPr>
                <w:rFonts w:ascii="Arial" w:eastAsia="Arial" w:hAnsi="Arial" w:cs="Arial"/>
                <w:i/>
                <w:iCs/>
                <w:color w:val="34373C"/>
              </w:rPr>
              <w:t xml:space="preserve"> session</w:t>
            </w:r>
            <w:r w:rsidR="4523D76E" w:rsidRPr="03FB3CAB">
              <w:rPr>
                <w:rFonts w:ascii="Arial" w:eastAsia="Arial" w:hAnsi="Arial" w:cs="Arial"/>
                <w:i/>
                <w:iCs/>
                <w:color w:val="34373C"/>
              </w:rPr>
              <w:t>)</w:t>
            </w: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6276161" w14:textId="6D55550C" w:rsidR="03FB3CAB" w:rsidRDefault="03FB3CAB" w:rsidP="03FB3CAB"/>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702205A" w14:textId="2087E4C2" w:rsidR="03FB3CAB" w:rsidRDefault="03FB3CAB" w:rsidP="03FB3CAB"/>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A40951C" w14:textId="3F73A024" w:rsidR="03FB3CAB" w:rsidRDefault="03FB3CAB" w:rsidP="03FB3CAB"/>
        </w:tc>
      </w:tr>
      <w:tr w:rsidR="03FB3CAB" w14:paraId="12BAB751"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46B0661F" w14:textId="65F563F0" w:rsidR="4831E9A2" w:rsidRDefault="4831E9A2" w:rsidP="03FB3CAB">
            <w:pPr>
              <w:pStyle w:val="ListParagraph"/>
              <w:numPr>
                <w:ilvl w:val="0"/>
                <w:numId w:val="47"/>
              </w:numPr>
              <w:rPr>
                <w:i/>
                <w:iCs/>
              </w:rPr>
            </w:pPr>
            <w:r w:rsidRPr="03FB3CAB">
              <w:rPr>
                <w:rFonts w:ascii="Arial" w:eastAsia="Arial" w:hAnsi="Arial" w:cs="Arial"/>
                <w:b/>
                <w:bCs/>
                <w:color w:val="161C24"/>
              </w:rPr>
              <w:t>Assessment features</w:t>
            </w:r>
            <w:r w:rsidRPr="03FB3CAB">
              <w:rPr>
                <w:rFonts w:ascii="Arial" w:eastAsia="Arial" w:hAnsi="Arial" w:cs="Arial"/>
                <w:color w:val="161C24"/>
              </w:rPr>
              <w:t xml:space="preserve"> -  Assessments/quizzes </w:t>
            </w:r>
            <w:r w:rsidR="001D5A69">
              <w:rPr>
                <w:rFonts w:ascii="Arial" w:eastAsia="Arial" w:hAnsi="Arial" w:cs="Arial"/>
                <w:color w:val="161C24"/>
              </w:rPr>
              <w:t xml:space="preserve">that </w:t>
            </w:r>
            <w:r w:rsidRPr="03FB3CAB">
              <w:rPr>
                <w:rFonts w:ascii="Arial" w:eastAsia="Arial" w:hAnsi="Arial" w:cs="Arial"/>
                <w:color w:val="161C24"/>
              </w:rPr>
              <w:t>offer a range of question types with both automated and manual grading available, plus feedback options for users</w:t>
            </w:r>
            <w:r w:rsidR="73A146A1" w:rsidRPr="03FB3CAB">
              <w:rPr>
                <w:rFonts w:ascii="Arial" w:eastAsia="Arial" w:hAnsi="Arial" w:cs="Arial"/>
                <w:color w:val="161C24"/>
              </w:rPr>
              <w:t xml:space="preserve"> </w:t>
            </w:r>
            <w:r w:rsidR="73A146A1" w:rsidRPr="03FB3CAB">
              <w:rPr>
                <w:rFonts w:ascii="Arial" w:eastAsia="Arial" w:hAnsi="Arial" w:cs="Arial"/>
                <w:i/>
                <w:iCs/>
                <w:color w:val="161C24"/>
              </w:rPr>
              <w:t>(Explain</w:t>
            </w:r>
            <w:r w:rsidR="007F1690">
              <w:rPr>
                <w:rFonts w:ascii="Arial" w:eastAsia="Arial" w:hAnsi="Arial" w:cs="Arial"/>
                <w:i/>
                <w:iCs/>
                <w:color w:val="161C24"/>
              </w:rPr>
              <w:t xml:space="preserve">/demonstrate </w:t>
            </w:r>
            <w:r w:rsidR="00FD21FE">
              <w:rPr>
                <w:rFonts w:ascii="Arial" w:eastAsia="Arial" w:hAnsi="Arial" w:cs="Arial"/>
                <w:i/>
                <w:iCs/>
                <w:color w:val="161C24"/>
              </w:rPr>
              <w:t xml:space="preserve">the variety of </w:t>
            </w:r>
            <w:r w:rsidR="73A146A1" w:rsidRPr="03FB3CAB">
              <w:rPr>
                <w:rFonts w:ascii="Arial" w:eastAsia="Arial" w:hAnsi="Arial" w:cs="Arial"/>
                <w:i/>
                <w:iCs/>
                <w:color w:val="161C24"/>
              </w:rPr>
              <w:t>assessments</w:t>
            </w:r>
            <w:r w:rsidR="00FD21FE">
              <w:rPr>
                <w:rFonts w:ascii="Arial" w:eastAsia="Arial" w:hAnsi="Arial" w:cs="Arial"/>
                <w:i/>
                <w:iCs/>
                <w:color w:val="161C24"/>
              </w:rPr>
              <w:t xml:space="preserve"> available </w:t>
            </w:r>
            <w:r w:rsidR="73A146A1" w:rsidRPr="03FB3CAB">
              <w:rPr>
                <w:rFonts w:ascii="Arial" w:eastAsia="Arial" w:hAnsi="Arial" w:cs="Arial"/>
                <w:i/>
                <w:iCs/>
                <w:color w:val="161C24"/>
              </w:rPr>
              <w:t>within the solution. How is grading undertaken</w:t>
            </w:r>
            <w:r w:rsidR="00116B10">
              <w:rPr>
                <w:rFonts w:ascii="Arial" w:eastAsia="Arial" w:hAnsi="Arial" w:cs="Arial"/>
                <w:i/>
                <w:iCs/>
                <w:color w:val="161C24"/>
              </w:rPr>
              <w:t xml:space="preserve"> and</w:t>
            </w:r>
            <w:r w:rsidR="73A146A1" w:rsidRPr="03FB3CAB">
              <w:rPr>
                <w:rFonts w:ascii="Arial" w:eastAsia="Arial" w:hAnsi="Arial" w:cs="Arial"/>
                <w:i/>
                <w:iCs/>
                <w:color w:val="161C24"/>
              </w:rPr>
              <w:t xml:space="preserve"> does the system</w:t>
            </w:r>
            <w:r w:rsidR="009C4F62">
              <w:rPr>
                <w:rFonts w:ascii="Arial" w:eastAsia="Arial" w:hAnsi="Arial" w:cs="Arial"/>
                <w:i/>
                <w:iCs/>
                <w:color w:val="161C24"/>
              </w:rPr>
              <w:t xml:space="preserve"> </w:t>
            </w:r>
            <w:r w:rsidR="00EE1517">
              <w:rPr>
                <w:rFonts w:ascii="Arial" w:eastAsia="Arial" w:hAnsi="Arial" w:cs="Arial"/>
                <w:i/>
                <w:iCs/>
                <w:color w:val="161C24"/>
              </w:rPr>
              <w:t>include</w:t>
            </w:r>
            <w:r w:rsidR="001A5F4B">
              <w:rPr>
                <w:rFonts w:ascii="Arial" w:eastAsia="Arial" w:hAnsi="Arial" w:cs="Arial"/>
                <w:i/>
                <w:iCs/>
                <w:color w:val="161C24"/>
              </w:rPr>
              <w:t xml:space="preserve"> </w:t>
            </w:r>
            <w:r w:rsidR="001D5A69">
              <w:rPr>
                <w:rFonts w:ascii="Arial" w:eastAsia="Arial" w:hAnsi="Arial" w:cs="Arial"/>
                <w:i/>
                <w:iCs/>
                <w:color w:val="161C24"/>
              </w:rPr>
              <w:t>both automated and</w:t>
            </w:r>
            <w:r w:rsidR="001A5F4B">
              <w:rPr>
                <w:rFonts w:ascii="Arial" w:eastAsia="Arial" w:hAnsi="Arial" w:cs="Arial"/>
                <w:i/>
                <w:iCs/>
                <w:color w:val="161C24"/>
              </w:rPr>
              <w:t xml:space="preserve"> </w:t>
            </w:r>
            <w:r w:rsidR="73A146A1" w:rsidRPr="03FB3CAB">
              <w:rPr>
                <w:rFonts w:ascii="Arial" w:eastAsia="Arial" w:hAnsi="Arial" w:cs="Arial"/>
                <w:i/>
                <w:iCs/>
                <w:color w:val="161C24"/>
              </w:rPr>
              <w:t>manual</w:t>
            </w:r>
            <w:r w:rsidR="001A5F4B">
              <w:rPr>
                <w:rFonts w:ascii="Arial" w:eastAsia="Arial" w:hAnsi="Arial" w:cs="Arial"/>
                <w:i/>
                <w:iCs/>
                <w:color w:val="161C24"/>
              </w:rPr>
              <w:t xml:space="preserve"> verification</w:t>
            </w:r>
            <w:r w:rsidR="00EE1517">
              <w:rPr>
                <w:rFonts w:ascii="Arial" w:eastAsia="Arial" w:hAnsi="Arial" w:cs="Arial"/>
                <w:i/>
                <w:iCs/>
                <w:color w:val="161C24"/>
              </w:rPr>
              <w:t xml:space="preserve">/feedback </w:t>
            </w:r>
            <w:r w:rsidR="00116B10">
              <w:rPr>
                <w:rFonts w:ascii="Arial" w:eastAsia="Arial" w:hAnsi="Arial" w:cs="Arial"/>
                <w:i/>
                <w:iCs/>
                <w:color w:val="161C24"/>
              </w:rPr>
              <w:t>option</w:t>
            </w:r>
            <w:r w:rsidR="73A146A1" w:rsidRPr="03FB3CAB">
              <w:rPr>
                <w:rFonts w:ascii="Arial" w:eastAsia="Arial" w:hAnsi="Arial" w:cs="Arial"/>
                <w:i/>
                <w:iCs/>
                <w:color w:val="161C24"/>
              </w:rPr>
              <w:t xml:space="preserve"> )</w:t>
            </w: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D7B91AB" w14:textId="4B672BAB" w:rsidR="03FB3CAB" w:rsidRDefault="03FB3CAB" w:rsidP="03FB3CAB"/>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4D402C6" w14:textId="7FB4A0AF" w:rsidR="03FB3CAB" w:rsidRDefault="03FB3CAB" w:rsidP="03FB3CAB"/>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2FF700D" w14:textId="72EF4E16" w:rsidR="03FB3CAB" w:rsidRDefault="03FB3CAB" w:rsidP="03FB3CAB"/>
        </w:tc>
      </w:tr>
      <w:tr w:rsidR="03FB3CAB" w14:paraId="7DE90492"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7A8157F" w14:textId="319F5510" w:rsidR="4831E9A2" w:rsidRDefault="4831E9A2" w:rsidP="03FB3CAB">
            <w:pPr>
              <w:pStyle w:val="ListParagraph"/>
              <w:numPr>
                <w:ilvl w:val="0"/>
                <w:numId w:val="47"/>
              </w:numPr>
              <w:rPr>
                <w:rFonts w:ascii="Arial" w:eastAsia="Arial" w:hAnsi="Arial" w:cs="Arial"/>
                <w:i/>
                <w:iCs/>
                <w:color w:val="34373C"/>
              </w:rPr>
            </w:pPr>
            <w:r w:rsidRPr="03FB3CAB">
              <w:rPr>
                <w:rFonts w:ascii="Arial" w:eastAsia="Arial" w:hAnsi="Arial" w:cs="Arial"/>
                <w:b/>
                <w:bCs/>
                <w:color w:val="34373C"/>
              </w:rPr>
              <w:t>Administration of learning sessions</w:t>
            </w:r>
            <w:r w:rsidRPr="03FB3CAB">
              <w:rPr>
                <w:rFonts w:ascii="Arial" w:eastAsia="Arial" w:hAnsi="Arial" w:cs="Arial"/>
                <w:color w:val="34373C"/>
              </w:rPr>
              <w:t xml:space="preserve"> </w:t>
            </w:r>
            <w:r w:rsidR="00CB1685">
              <w:rPr>
                <w:rFonts w:ascii="Arial" w:eastAsia="Arial" w:hAnsi="Arial" w:cs="Arial"/>
                <w:color w:val="34373C"/>
              </w:rPr>
              <w:t>E</w:t>
            </w:r>
            <w:r w:rsidRPr="03FB3CAB">
              <w:rPr>
                <w:rFonts w:ascii="Arial" w:eastAsia="Arial" w:hAnsi="Arial" w:cs="Arial"/>
                <w:color w:val="34373C"/>
              </w:rPr>
              <w:t xml:space="preserve">stablishment of </w:t>
            </w:r>
            <w:r w:rsidR="00051491">
              <w:rPr>
                <w:rFonts w:ascii="Arial" w:eastAsia="Arial" w:hAnsi="Arial" w:cs="Arial"/>
                <w:color w:val="34373C"/>
              </w:rPr>
              <w:t>face to face</w:t>
            </w:r>
            <w:r w:rsidRPr="03FB3CAB">
              <w:rPr>
                <w:rFonts w:ascii="Arial" w:eastAsia="Arial" w:hAnsi="Arial" w:cs="Arial"/>
                <w:color w:val="34373C"/>
              </w:rPr>
              <w:t xml:space="preserve"> and virtual  sessions, enrolment (including self with permissions</w:t>
            </w:r>
            <w:r w:rsidR="00FA16EE">
              <w:rPr>
                <w:rFonts w:ascii="Arial" w:eastAsia="Arial" w:hAnsi="Arial" w:cs="Arial"/>
                <w:color w:val="34373C"/>
              </w:rPr>
              <w:t xml:space="preserve"> from manager</w:t>
            </w:r>
            <w:r w:rsidR="006549C6">
              <w:rPr>
                <w:rFonts w:ascii="Arial" w:eastAsia="Arial" w:hAnsi="Arial" w:cs="Arial"/>
                <w:color w:val="34373C"/>
              </w:rPr>
              <w:t>/</w:t>
            </w:r>
            <w:proofErr w:type="spellStart"/>
            <w:r w:rsidR="006549C6">
              <w:rPr>
                <w:rFonts w:ascii="Arial" w:eastAsia="Arial" w:hAnsi="Arial" w:cs="Arial"/>
                <w:color w:val="34373C"/>
              </w:rPr>
              <w:t>cse</w:t>
            </w:r>
            <w:proofErr w:type="spellEnd"/>
            <w:r w:rsidR="006549C6">
              <w:rPr>
                <w:rFonts w:ascii="Arial" w:eastAsia="Arial" w:hAnsi="Arial" w:cs="Arial"/>
                <w:color w:val="34373C"/>
              </w:rPr>
              <w:t xml:space="preserve"> administrators</w:t>
            </w:r>
            <w:r w:rsidR="00FA16EE">
              <w:rPr>
                <w:rFonts w:ascii="Arial" w:eastAsia="Arial" w:hAnsi="Arial" w:cs="Arial"/>
                <w:color w:val="34373C"/>
              </w:rPr>
              <w:t>)</w:t>
            </w:r>
            <w:r w:rsidRPr="03FB3CAB">
              <w:rPr>
                <w:rFonts w:ascii="Arial" w:eastAsia="Arial" w:hAnsi="Arial" w:cs="Arial"/>
                <w:color w:val="34373C"/>
              </w:rPr>
              <w:t xml:space="preserve"> and organisation of learners, issue of JIs</w:t>
            </w:r>
            <w:r w:rsidR="00487A3E">
              <w:rPr>
                <w:rFonts w:ascii="Arial" w:eastAsia="Arial" w:hAnsi="Arial" w:cs="Arial"/>
                <w:color w:val="34373C"/>
              </w:rPr>
              <w:t>,</w:t>
            </w:r>
            <w:r w:rsidRPr="03FB3CAB">
              <w:rPr>
                <w:rFonts w:ascii="Arial" w:eastAsia="Arial" w:hAnsi="Arial" w:cs="Arial"/>
                <w:color w:val="34373C"/>
              </w:rPr>
              <w:t xml:space="preserve"> attendance reports and evaluations is straightforward and time efficient.   </w:t>
            </w:r>
            <w:r w:rsidR="00F42005">
              <w:rPr>
                <w:rFonts w:ascii="Arial" w:eastAsia="Arial" w:hAnsi="Arial" w:cs="Arial"/>
                <w:color w:val="34373C"/>
              </w:rPr>
              <w:t>(</w:t>
            </w:r>
            <w:r w:rsidR="6B0BEEAF" w:rsidRPr="03FB3CAB">
              <w:rPr>
                <w:rFonts w:ascii="Arial" w:eastAsia="Arial" w:hAnsi="Arial" w:cs="Arial"/>
                <w:i/>
                <w:iCs/>
                <w:color w:val="34373C"/>
              </w:rPr>
              <w:t xml:space="preserve">Can you </w:t>
            </w:r>
            <w:r w:rsidR="00002CE0">
              <w:rPr>
                <w:rFonts w:ascii="Arial" w:eastAsia="Arial" w:hAnsi="Arial" w:cs="Arial"/>
                <w:i/>
                <w:iCs/>
                <w:color w:val="34373C"/>
              </w:rPr>
              <w:t>demonstrate</w:t>
            </w:r>
            <w:r w:rsidR="6B0BEEAF" w:rsidRPr="03FB3CAB">
              <w:rPr>
                <w:rFonts w:ascii="Arial" w:eastAsia="Arial" w:hAnsi="Arial" w:cs="Arial"/>
                <w:i/>
                <w:iCs/>
                <w:color w:val="34373C"/>
              </w:rPr>
              <w:t xml:space="preserve">/show </w:t>
            </w:r>
            <w:r w:rsidR="00002CE0">
              <w:rPr>
                <w:rFonts w:ascii="Arial" w:eastAsia="Arial" w:hAnsi="Arial" w:cs="Arial"/>
                <w:i/>
                <w:iCs/>
                <w:color w:val="34373C"/>
              </w:rPr>
              <w:t xml:space="preserve">the journey </w:t>
            </w:r>
            <w:r w:rsidR="00FE7560">
              <w:rPr>
                <w:rFonts w:ascii="Arial" w:eastAsia="Arial" w:hAnsi="Arial" w:cs="Arial"/>
                <w:i/>
                <w:iCs/>
                <w:color w:val="34373C"/>
              </w:rPr>
              <w:t xml:space="preserve">in </w:t>
            </w:r>
            <w:r w:rsidR="00116B10">
              <w:rPr>
                <w:rFonts w:ascii="Arial" w:eastAsia="Arial" w:hAnsi="Arial" w:cs="Arial"/>
                <w:i/>
                <w:iCs/>
                <w:color w:val="34373C"/>
              </w:rPr>
              <w:t>establishing a learning</w:t>
            </w:r>
            <w:r w:rsidR="00051491">
              <w:rPr>
                <w:rFonts w:ascii="Arial" w:eastAsia="Arial" w:hAnsi="Arial" w:cs="Arial"/>
                <w:i/>
                <w:iCs/>
                <w:color w:val="34373C"/>
              </w:rPr>
              <w:t xml:space="preserve"> session </w:t>
            </w:r>
            <w:r w:rsidR="00FE7560">
              <w:rPr>
                <w:rFonts w:ascii="Arial" w:eastAsia="Arial" w:hAnsi="Arial" w:cs="Arial"/>
                <w:i/>
                <w:iCs/>
                <w:color w:val="34373C"/>
              </w:rPr>
              <w:t xml:space="preserve">for administrators </w:t>
            </w:r>
            <w:r w:rsidR="00051491">
              <w:rPr>
                <w:rFonts w:ascii="Arial" w:eastAsia="Arial" w:hAnsi="Arial" w:cs="Arial"/>
                <w:i/>
                <w:iCs/>
                <w:color w:val="34373C"/>
              </w:rPr>
              <w:t xml:space="preserve">and </w:t>
            </w:r>
            <w:r w:rsidR="6B0BEEAF" w:rsidRPr="03FB3CAB">
              <w:rPr>
                <w:rFonts w:ascii="Arial" w:eastAsia="Arial" w:hAnsi="Arial" w:cs="Arial"/>
                <w:i/>
                <w:iCs/>
                <w:color w:val="34373C"/>
              </w:rPr>
              <w:t>enrol</w:t>
            </w:r>
            <w:r w:rsidR="00FE7560">
              <w:rPr>
                <w:rFonts w:ascii="Arial" w:eastAsia="Arial" w:hAnsi="Arial" w:cs="Arial"/>
                <w:i/>
                <w:iCs/>
                <w:color w:val="34373C"/>
              </w:rPr>
              <w:t>ling</w:t>
            </w:r>
            <w:r w:rsidR="6B0BEEAF" w:rsidRPr="03FB3CAB">
              <w:rPr>
                <w:rFonts w:ascii="Arial" w:eastAsia="Arial" w:hAnsi="Arial" w:cs="Arial"/>
                <w:i/>
                <w:iCs/>
                <w:color w:val="34373C"/>
              </w:rPr>
              <w:t xml:space="preserve"> for learners?</w:t>
            </w:r>
            <w:r w:rsidR="00FD7B44">
              <w:rPr>
                <w:rFonts w:ascii="Arial" w:eastAsia="Arial" w:hAnsi="Arial" w:cs="Arial"/>
                <w:i/>
                <w:iCs/>
                <w:color w:val="34373C"/>
              </w:rPr>
              <w:t>)</w:t>
            </w: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431F9E8" w14:textId="0C90B68B" w:rsidR="03FB3CAB" w:rsidRDefault="03FB3CAB" w:rsidP="03FB3CAB"/>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3C1F2176" w14:textId="1D0D5F56" w:rsidR="03FB3CAB" w:rsidRDefault="03FB3CAB" w:rsidP="03FB3CAB"/>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2A641FAE" w14:textId="170368BA" w:rsidR="03FB3CAB" w:rsidRDefault="03FB3CAB" w:rsidP="03FB3CAB"/>
        </w:tc>
      </w:tr>
      <w:tr w:rsidR="03FB3CAB" w14:paraId="6DC3B779" w14:textId="77777777" w:rsidTr="03FB3CAB">
        <w:trPr>
          <w:trHeight w:val="300"/>
        </w:trPr>
        <w:tc>
          <w:tcPr>
            <w:tcW w:w="5488"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598AA5D" w14:textId="02F81038" w:rsidR="4831E9A2" w:rsidRDefault="4831E9A2" w:rsidP="03FB3CAB">
            <w:pPr>
              <w:pStyle w:val="ListParagraph"/>
              <w:numPr>
                <w:ilvl w:val="0"/>
                <w:numId w:val="47"/>
              </w:numPr>
              <w:rPr>
                <w:rFonts w:ascii="Arial" w:eastAsia="Arial" w:hAnsi="Arial" w:cs="Arial"/>
                <w:i/>
                <w:iCs/>
                <w:color w:val="34373C"/>
              </w:rPr>
            </w:pPr>
            <w:r w:rsidRPr="03FB3CAB">
              <w:rPr>
                <w:rFonts w:ascii="Arial" w:eastAsia="Arial" w:hAnsi="Arial" w:cs="Arial"/>
                <w:b/>
                <w:bCs/>
                <w:color w:val="34373C"/>
              </w:rPr>
              <w:t>Delivery of learning</w:t>
            </w:r>
            <w:r w:rsidRPr="03FB3CAB">
              <w:rPr>
                <w:rFonts w:ascii="Arial" w:eastAsia="Arial" w:hAnsi="Arial" w:cs="Arial"/>
                <w:color w:val="34373C"/>
              </w:rPr>
              <w:t xml:space="preserve"> – supports a variety of delivery methods both </w:t>
            </w:r>
            <w:proofErr w:type="gramStart"/>
            <w:r w:rsidRPr="03FB3CAB">
              <w:rPr>
                <w:rFonts w:ascii="Arial" w:eastAsia="Arial" w:hAnsi="Arial" w:cs="Arial"/>
                <w:color w:val="34373C"/>
              </w:rPr>
              <w:t>on line</w:t>
            </w:r>
            <w:proofErr w:type="gramEnd"/>
            <w:r w:rsidRPr="03FB3CAB">
              <w:rPr>
                <w:rFonts w:ascii="Arial" w:eastAsia="Arial" w:hAnsi="Arial" w:cs="Arial"/>
                <w:color w:val="34373C"/>
              </w:rPr>
              <w:t xml:space="preserve"> and in </w:t>
            </w:r>
            <w:r w:rsidRPr="03FB3CAB">
              <w:rPr>
                <w:rFonts w:ascii="Arial" w:eastAsia="Arial" w:hAnsi="Arial" w:cs="Arial"/>
                <w:color w:val="34373C"/>
              </w:rPr>
              <w:lastRenderedPageBreak/>
              <w:t xml:space="preserve">person.  </w:t>
            </w:r>
            <w:r w:rsidR="5F529633" w:rsidRPr="03FB3CAB">
              <w:rPr>
                <w:rFonts w:ascii="Arial" w:eastAsia="Arial" w:hAnsi="Arial" w:cs="Arial"/>
                <w:i/>
                <w:iCs/>
                <w:color w:val="34373C"/>
              </w:rPr>
              <w:t>(</w:t>
            </w:r>
            <w:r w:rsidR="00F42005">
              <w:rPr>
                <w:rFonts w:ascii="Arial" w:eastAsia="Arial" w:hAnsi="Arial" w:cs="Arial"/>
                <w:i/>
                <w:iCs/>
                <w:color w:val="34373C"/>
              </w:rPr>
              <w:t xml:space="preserve">Demonstrate </w:t>
            </w:r>
            <w:r w:rsidR="00AF5300">
              <w:rPr>
                <w:rFonts w:ascii="Arial" w:eastAsia="Arial" w:hAnsi="Arial" w:cs="Arial"/>
                <w:i/>
                <w:iCs/>
                <w:color w:val="34373C"/>
              </w:rPr>
              <w:t>w</w:t>
            </w:r>
            <w:r w:rsidR="5F529633" w:rsidRPr="03FB3CAB">
              <w:rPr>
                <w:rFonts w:ascii="Arial" w:eastAsia="Arial" w:hAnsi="Arial" w:cs="Arial"/>
                <w:i/>
                <w:iCs/>
                <w:color w:val="34373C"/>
              </w:rPr>
              <w:t>hat learning methods are supported by the platform</w:t>
            </w:r>
            <w:r w:rsidR="00FD7B44">
              <w:rPr>
                <w:rFonts w:ascii="Arial" w:eastAsia="Arial" w:hAnsi="Arial" w:cs="Arial"/>
                <w:i/>
                <w:iCs/>
                <w:color w:val="34373C"/>
              </w:rPr>
              <w:t>:</w:t>
            </w:r>
            <w:r w:rsidR="5F529633" w:rsidRPr="03FB3CAB">
              <w:rPr>
                <w:rFonts w:ascii="Arial" w:eastAsia="Arial" w:hAnsi="Arial" w:cs="Arial"/>
                <w:i/>
                <w:iCs/>
                <w:color w:val="34373C"/>
              </w:rPr>
              <w:t xml:space="preserve"> Large attendee online sessions</w:t>
            </w:r>
            <w:r w:rsidR="009E484C">
              <w:rPr>
                <w:rFonts w:ascii="Arial" w:eastAsia="Arial" w:hAnsi="Arial" w:cs="Arial"/>
                <w:i/>
                <w:iCs/>
                <w:color w:val="34373C"/>
              </w:rPr>
              <w:t>, le</w:t>
            </w:r>
            <w:r w:rsidR="00BD6D7A">
              <w:rPr>
                <w:rFonts w:ascii="Arial" w:eastAsia="Arial" w:hAnsi="Arial" w:cs="Arial"/>
                <w:i/>
                <w:iCs/>
                <w:color w:val="34373C"/>
              </w:rPr>
              <w:t>a</w:t>
            </w:r>
            <w:r w:rsidR="009E484C">
              <w:rPr>
                <w:rFonts w:ascii="Arial" w:eastAsia="Arial" w:hAnsi="Arial" w:cs="Arial"/>
                <w:i/>
                <w:iCs/>
                <w:color w:val="34373C"/>
              </w:rPr>
              <w:t xml:space="preserve">rner </w:t>
            </w:r>
            <w:r w:rsidR="00E94F8E">
              <w:rPr>
                <w:rFonts w:ascii="Arial" w:eastAsia="Arial" w:hAnsi="Arial" w:cs="Arial"/>
                <w:i/>
                <w:iCs/>
                <w:color w:val="34373C"/>
              </w:rPr>
              <w:t>collabor</w:t>
            </w:r>
            <w:r w:rsidR="009E484C">
              <w:rPr>
                <w:rFonts w:ascii="Arial" w:eastAsia="Arial" w:hAnsi="Arial" w:cs="Arial"/>
                <w:i/>
                <w:iCs/>
                <w:color w:val="34373C"/>
              </w:rPr>
              <w:t>a</w:t>
            </w:r>
            <w:r w:rsidR="00E94F8E">
              <w:rPr>
                <w:rFonts w:ascii="Arial" w:eastAsia="Arial" w:hAnsi="Arial" w:cs="Arial"/>
                <w:i/>
                <w:iCs/>
                <w:color w:val="34373C"/>
              </w:rPr>
              <w:t>tion</w:t>
            </w:r>
            <w:r w:rsidR="00BD6D7A">
              <w:rPr>
                <w:rFonts w:ascii="Arial" w:eastAsia="Arial" w:hAnsi="Arial" w:cs="Arial"/>
                <w:i/>
                <w:iCs/>
                <w:color w:val="34373C"/>
              </w:rPr>
              <w:t xml:space="preserve">/knowledge </w:t>
            </w:r>
            <w:r w:rsidR="00E94F8E">
              <w:rPr>
                <w:rFonts w:ascii="Arial" w:eastAsia="Arial" w:hAnsi="Arial" w:cs="Arial"/>
                <w:i/>
                <w:iCs/>
                <w:color w:val="34373C"/>
              </w:rPr>
              <w:t>spaces</w:t>
            </w:r>
            <w:r w:rsidR="00017245">
              <w:rPr>
                <w:rFonts w:ascii="Arial" w:eastAsia="Arial" w:hAnsi="Arial" w:cs="Arial"/>
                <w:i/>
                <w:iCs/>
                <w:color w:val="34373C"/>
              </w:rPr>
              <w:t>/coaching platform</w:t>
            </w:r>
            <w:r w:rsidR="00FD7B44">
              <w:rPr>
                <w:rFonts w:ascii="Arial" w:eastAsia="Arial" w:hAnsi="Arial" w:cs="Arial"/>
                <w:i/>
                <w:iCs/>
                <w:color w:val="34373C"/>
              </w:rPr>
              <w:t>?</w:t>
            </w:r>
            <w:r w:rsidR="5F529633" w:rsidRPr="03FB3CAB">
              <w:rPr>
                <w:rFonts w:ascii="Arial" w:eastAsia="Arial" w:hAnsi="Arial" w:cs="Arial"/>
                <w:i/>
                <w:iCs/>
                <w:color w:val="34373C"/>
              </w:rPr>
              <w:t xml:space="preserve"> Does the solution support face-to-face learning and facilitation?)</w:t>
            </w:r>
          </w:p>
        </w:tc>
        <w:tc>
          <w:tcPr>
            <w:tcW w:w="240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1E36B951" w14:textId="1AA40378" w:rsidR="03FB3CAB" w:rsidRDefault="03FB3CAB" w:rsidP="03FB3CAB"/>
        </w:tc>
        <w:tc>
          <w:tcPr>
            <w:tcW w:w="33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569D3B3E" w14:textId="40A0F48A" w:rsidR="03FB3CAB" w:rsidRDefault="03FB3CAB" w:rsidP="03FB3CAB"/>
        </w:tc>
        <w:tc>
          <w:tcPr>
            <w:tcW w:w="2760" w:type="dxa"/>
            <w:tcBorders>
              <w:top w:val="single" w:sz="12" w:space="0" w:color="000000" w:themeColor="text2"/>
              <w:left w:val="single" w:sz="12" w:space="0" w:color="000000" w:themeColor="text2"/>
              <w:bottom w:val="single" w:sz="12" w:space="0" w:color="000000" w:themeColor="text2"/>
              <w:right w:val="single" w:sz="12" w:space="0" w:color="000000" w:themeColor="text2"/>
            </w:tcBorders>
          </w:tcPr>
          <w:p w14:paraId="63C8F912" w14:textId="73196E76" w:rsidR="03FB3CAB" w:rsidRDefault="03FB3CAB" w:rsidP="03FB3CAB"/>
        </w:tc>
      </w:tr>
    </w:tbl>
    <w:p w14:paraId="66658B38" w14:textId="760287F0" w:rsidR="007B2E4B" w:rsidRDefault="007B2E4B" w:rsidP="00722786">
      <w:pPr>
        <w:pStyle w:val="BodyText1"/>
        <w:spacing w:after="0"/>
        <w:rPr>
          <w:b/>
          <w:bCs/>
          <w:color w:val="auto"/>
        </w:rPr>
        <w:sectPr w:rsidR="007B2E4B" w:rsidSect="007B2E4B">
          <w:pgSz w:w="16838" w:h="11906" w:orient="landscape" w:code="9"/>
          <w:pgMar w:top="1134" w:right="1701" w:bottom="1134" w:left="1134" w:header="567" w:footer="340" w:gutter="0"/>
          <w:cols w:space="720"/>
        </w:sectPr>
      </w:pPr>
    </w:p>
    <w:p w14:paraId="2757FBAF" w14:textId="4781F014" w:rsidR="00EA3C46" w:rsidRDefault="00AA2417" w:rsidP="00EA3C46">
      <w:pPr>
        <w:pStyle w:val="BodyText1"/>
        <w:numPr>
          <w:ilvl w:val="0"/>
          <w:numId w:val="4"/>
        </w:numPr>
        <w:ind w:left="357" w:hanging="357"/>
        <w:rPr>
          <w:color w:val="auto"/>
        </w:rPr>
      </w:pPr>
      <w:r w:rsidRPr="00E21BD9">
        <w:rPr>
          <w:color w:val="auto"/>
        </w:rPr>
        <w:lastRenderedPageBreak/>
        <w:t>The Supplier</w:t>
      </w:r>
      <w:r w:rsidR="00203A2B">
        <w:rPr>
          <w:color w:val="auto"/>
        </w:rPr>
        <w:t>’s</w:t>
      </w:r>
      <w:r w:rsidRPr="00E21BD9">
        <w:rPr>
          <w:color w:val="auto"/>
        </w:rPr>
        <w:t xml:space="preserve"> </w:t>
      </w:r>
      <w:r w:rsidR="002E6B23" w:rsidRPr="00E21BD9">
        <w:rPr>
          <w:color w:val="auto"/>
        </w:rPr>
        <w:t xml:space="preserve">pricing proposal </w:t>
      </w:r>
      <w:r w:rsidR="003F2AC9">
        <w:rPr>
          <w:color w:val="auto"/>
        </w:rPr>
        <w:t>must</w:t>
      </w:r>
      <w:r w:rsidR="003F2AC9" w:rsidRPr="00E21BD9">
        <w:rPr>
          <w:color w:val="auto"/>
        </w:rPr>
        <w:t xml:space="preserve"> </w:t>
      </w:r>
      <w:r w:rsidR="002E6B23" w:rsidRPr="00E21BD9">
        <w:rPr>
          <w:color w:val="auto"/>
        </w:rPr>
        <w:t>be included in the Commercial Envelope</w:t>
      </w:r>
      <w:r w:rsidRPr="00E21BD9">
        <w:rPr>
          <w:color w:val="auto"/>
        </w:rPr>
        <w:t xml:space="preserve"> via the Portal</w:t>
      </w:r>
      <w:r w:rsidR="002E6B23" w:rsidRPr="00E21BD9">
        <w:rPr>
          <w:color w:val="auto"/>
        </w:rPr>
        <w:t xml:space="preserve">. This information </w:t>
      </w:r>
      <w:r w:rsidR="00203A2B">
        <w:rPr>
          <w:color w:val="auto"/>
        </w:rPr>
        <w:t xml:space="preserve">must </w:t>
      </w:r>
      <w:r w:rsidR="002E6B23" w:rsidRPr="00E21BD9">
        <w:rPr>
          <w:color w:val="auto"/>
        </w:rPr>
        <w:t xml:space="preserve">be provided </w:t>
      </w:r>
      <w:r w:rsidR="001F2551" w:rsidRPr="00EF0849">
        <w:rPr>
          <w:color w:val="auto"/>
        </w:rPr>
        <w:t>in Excel format</w:t>
      </w:r>
      <w:r w:rsidR="00EA3C46">
        <w:rPr>
          <w:color w:val="auto"/>
        </w:rPr>
        <w:t>, in the template provided.</w:t>
      </w:r>
    </w:p>
    <w:p w14:paraId="406305E0" w14:textId="5A07022A" w:rsidR="00810A7F" w:rsidRDefault="00810A7F" w:rsidP="00EA3C46">
      <w:pPr>
        <w:pStyle w:val="BodyText1"/>
        <w:numPr>
          <w:ilvl w:val="0"/>
          <w:numId w:val="4"/>
        </w:numPr>
        <w:ind w:left="357" w:hanging="357"/>
        <w:rPr>
          <w:color w:val="auto"/>
        </w:rPr>
      </w:pPr>
      <w:r>
        <w:rPr>
          <w:color w:val="auto"/>
        </w:rPr>
        <w:t>The pricing element consists of 30% of the total score available.</w:t>
      </w:r>
    </w:p>
    <w:p w14:paraId="6EDC0FDB" w14:textId="5FCF5342" w:rsidR="00EA3C46" w:rsidRPr="00EA3C46" w:rsidRDefault="00EA3C46" w:rsidP="00EA3C46">
      <w:pPr>
        <w:pStyle w:val="BodyText1"/>
        <w:numPr>
          <w:ilvl w:val="0"/>
          <w:numId w:val="4"/>
        </w:numPr>
        <w:ind w:left="357" w:hanging="357"/>
        <w:rPr>
          <w:color w:val="auto"/>
        </w:rPr>
      </w:pPr>
      <w:r>
        <w:rPr>
          <w:color w:val="auto"/>
        </w:rPr>
        <w:t>Th</w:t>
      </w:r>
      <w:r w:rsidR="00E21D70">
        <w:rPr>
          <w:color w:val="auto"/>
        </w:rPr>
        <w:t xml:space="preserve">e pricing document provided as Appendix </w:t>
      </w:r>
      <w:r w:rsidR="00EF7A6B">
        <w:rPr>
          <w:color w:val="auto"/>
        </w:rPr>
        <w:t>J</w:t>
      </w:r>
      <w:r w:rsidR="00E21D70">
        <w:rPr>
          <w:color w:val="auto"/>
        </w:rPr>
        <w:t xml:space="preserve"> has suggested categories of spend. If the solution you are proposing requires further cost </w:t>
      </w:r>
      <w:proofErr w:type="gramStart"/>
      <w:r w:rsidR="00E21D70">
        <w:rPr>
          <w:color w:val="auto"/>
        </w:rPr>
        <w:t>categories</w:t>
      </w:r>
      <w:proofErr w:type="gramEnd"/>
      <w:r w:rsidR="00E21D70">
        <w:rPr>
          <w:color w:val="auto"/>
        </w:rPr>
        <w:t xml:space="preserve"> </w:t>
      </w:r>
      <w:r w:rsidR="00E21D70">
        <w:rPr>
          <w:color w:val="auto"/>
          <w:u w:val="single"/>
        </w:rPr>
        <w:t>please include these in the pricing proposal</w:t>
      </w:r>
      <w:r w:rsidR="00E21D70">
        <w:rPr>
          <w:color w:val="auto"/>
        </w:rPr>
        <w:t xml:space="preserve">. </w:t>
      </w:r>
    </w:p>
    <w:p w14:paraId="65EAC8F1" w14:textId="77E72E26" w:rsidR="006A0750" w:rsidRPr="00687890" w:rsidRDefault="007542BA" w:rsidP="00EA3C46">
      <w:pPr>
        <w:pStyle w:val="BodyText1"/>
        <w:numPr>
          <w:ilvl w:val="0"/>
          <w:numId w:val="4"/>
        </w:numPr>
        <w:rPr>
          <w:color w:val="auto"/>
        </w:rPr>
      </w:pPr>
      <w:r>
        <w:rPr>
          <w:color w:val="auto"/>
        </w:rPr>
        <w:t>The pricing proposal must</w:t>
      </w:r>
      <w:r w:rsidR="00EF0849" w:rsidRPr="00EF0849">
        <w:rPr>
          <w:color w:val="auto"/>
        </w:rPr>
        <w:t xml:space="preserve"> show the </w:t>
      </w:r>
      <w:r w:rsidR="009C2152">
        <w:rPr>
          <w:color w:val="auto"/>
        </w:rPr>
        <w:t xml:space="preserve">full </w:t>
      </w:r>
      <w:r w:rsidR="00EF0849" w:rsidRPr="00EF0849">
        <w:rPr>
          <w:color w:val="auto"/>
        </w:rPr>
        <w:t xml:space="preserve">cost of </w:t>
      </w:r>
      <w:r w:rsidR="00477465">
        <w:rPr>
          <w:color w:val="auto"/>
        </w:rPr>
        <w:t>delivery</w:t>
      </w:r>
      <w:r w:rsidR="0097698F">
        <w:rPr>
          <w:color w:val="auto"/>
        </w:rPr>
        <w:t>:</w:t>
      </w:r>
      <w:r w:rsidR="00477465">
        <w:rPr>
          <w:color w:val="auto"/>
        </w:rPr>
        <w:t xml:space="preserve"> </w:t>
      </w:r>
      <w:r w:rsidR="00A36B45">
        <w:rPr>
          <w:color w:val="auto"/>
        </w:rPr>
        <w:t>any software or hardware costs</w:t>
      </w:r>
      <w:r w:rsidR="00E41B58">
        <w:rPr>
          <w:color w:val="auto"/>
        </w:rPr>
        <w:t xml:space="preserve">, </w:t>
      </w:r>
      <w:r w:rsidR="00B31072">
        <w:rPr>
          <w:color w:val="auto"/>
        </w:rPr>
        <w:t xml:space="preserve">any </w:t>
      </w:r>
      <w:r w:rsidR="00E41B58">
        <w:rPr>
          <w:color w:val="auto"/>
        </w:rPr>
        <w:t>on</w:t>
      </w:r>
      <w:r w:rsidR="00B31072">
        <w:rPr>
          <w:color w:val="auto"/>
        </w:rPr>
        <w:t>-</w:t>
      </w:r>
      <w:r w:rsidR="00E41B58">
        <w:rPr>
          <w:color w:val="auto"/>
        </w:rPr>
        <w:t xml:space="preserve">going </w:t>
      </w:r>
      <w:r w:rsidR="00B31072">
        <w:rPr>
          <w:color w:val="auto"/>
        </w:rPr>
        <w:t xml:space="preserve">licence costs across the </w:t>
      </w:r>
      <w:proofErr w:type="gramStart"/>
      <w:r w:rsidR="00B31072">
        <w:rPr>
          <w:color w:val="auto"/>
        </w:rPr>
        <w:t>3 year</w:t>
      </w:r>
      <w:proofErr w:type="gramEnd"/>
      <w:r w:rsidR="00B31072">
        <w:rPr>
          <w:color w:val="auto"/>
        </w:rPr>
        <w:t xml:space="preserve"> initial period</w:t>
      </w:r>
      <w:r w:rsidR="009C2152">
        <w:rPr>
          <w:color w:val="auto"/>
        </w:rPr>
        <w:t xml:space="preserve">, costs of any associated </w:t>
      </w:r>
      <w:r w:rsidR="003F477E">
        <w:rPr>
          <w:color w:val="auto"/>
        </w:rPr>
        <w:t xml:space="preserve">necessary system </w:t>
      </w:r>
      <w:r w:rsidR="009C2152">
        <w:rPr>
          <w:color w:val="auto"/>
        </w:rPr>
        <w:t>training</w:t>
      </w:r>
      <w:r w:rsidR="003F477E">
        <w:rPr>
          <w:color w:val="auto"/>
        </w:rPr>
        <w:t xml:space="preserve"> </w:t>
      </w:r>
      <w:r w:rsidR="00B31072">
        <w:rPr>
          <w:color w:val="auto"/>
        </w:rPr>
        <w:t xml:space="preserve"> </w:t>
      </w:r>
      <w:r w:rsidR="00EF0849" w:rsidRPr="00687890">
        <w:rPr>
          <w:color w:val="auto"/>
        </w:rPr>
        <w:t>and the expected total cost of ownership post</w:t>
      </w:r>
      <w:r w:rsidR="007B3D2C" w:rsidRPr="00687890">
        <w:rPr>
          <w:color w:val="auto"/>
        </w:rPr>
        <w:t>-</w:t>
      </w:r>
      <w:r w:rsidR="00EF0849" w:rsidRPr="00687890">
        <w:rPr>
          <w:color w:val="auto"/>
        </w:rPr>
        <w:t>deployment.</w:t>
      </w:r>
      <w:r w:rsidR="00A230A2" w:rsidRPr="00687890">
        <w:rPr>
          <w:color w:val="auto"/>
        </w:rPr>
        <w:t xml:space="preserve"> </w:t>
      </w:r>
    </w:p>
    <w:p w14:paraId="36C1A062" w14:textId="77777777" w:rsidR="002E598B" w:rsidRPr="009F639A" w:rsidRDefault="002E598B" w:rsidP="002840CF">
      <w:pPr>
        <w:pStyle w:val="BodyText1"/>
        <w:numPr>
          <w:ilvl w:val="0"/>
          <w:numId w:val="4"/>
        </w:numPr>
        <w:ind w:left="357" w:hanging="357"/>
        <w:rPr>
          <w:color w:val="auto"/>
        </w:rPr>
      </w:pPr>
      <w:r w:rsidRPr="00C54C3A">
        <w:rPr>
          <w:color w:val="auto"/>
        </w:rPr>
        <w:t>Before Tender</w:t>
      </w:r>
      <w:r>
        <w:rPr>
          <w:color w:val="auto"/>
        </w:rPr>
        <w:t>s</w:t>
      </w:r>
      <w:r w:rsidRPr="00C54C3A">
        <w:rPr>
          <w:color w:val="auto"/>
        </w:rPr>
        <w:t xml:space="preserve"> are assessed against the award criteria, the Authority will disregard </w:t>
      </w:r>
      <w:r>
        <w:rPr>
          <w:color w:val="auto"/>
        </w:rPr>
        <w:t>any</w:t>
      </w:r>
      <w:r w:rsidRPr="00C54C3A">
        <w:rPr>
          <w:color w:val="auto"/>
        </w:rPr>
        <w:t xml:space="preserve"> Tender from an excluded </w:t>
      </w:r>
      <w:r>
        <w:rPr>
          <w:color w:val="auto"/>
        </w:rPr>
        <w:t>s</w:t>
      </w:r>
      <w:r w:rsidRPr="00C54C3A">
        <w:rPr>
          <w:color w:val="auto"/>
        </w:rPr>
        <w:t xml:space="preserve">upplier and may decide to disregard </w:t>
      </w:r>
      <w:r>
        <w:rPr>
          <w:color w:val="auto"/>
        </w:rPr>
        <w:t>any</w:t>
      </w:r>
      <w:r w:rsidRPr="00C54C3A">
        <w:rPr>
          <w:color w:val="auto"/>
        </w:rPr>
        <w:t xml:space="preserve"> Tender from an excludable </w:t>
      </w:r>
      <w:r>
        <w:rPr>
          <w:color w:val="auto"/>
        </w:rPr>
        <w:t>s</w:t>
      </w:r>
      <w:r w:rsidRPr="00C54C3A">
        <w:rPr>
          <w:color w:val="auto"/>
        </w:rPr>
        <w:t>upplier. The Authority will also check whether each of the conditions of participation are satisfied and disregard any Tender</w:t>
      </w:r>
      <w:r>
        <w:rPr>
          <w:color w:val="auto"/>
        </w:rPr>
        <w:t xml:space="preserve"> from a Supplier who does not </w:t>
      </w:r>
      <w:r w:rsidRPr="009F639A">
        <w:rPr>
          <w:color w:val="auto"/>
        </w:rPr>
        <w:t xml:space="preserve">satisfy </w:t>
      </w:r>
      <w:proofErr w:type="gramStart"/>
      <w:r w:rsidRPr="009F639A">
        <w:rPr>
          <w:color w:val="auto"/>
        </w:rPr>
        <w:t>all of</w:t>
      </w:r>
      <w:proofErr w:type="gramEnd"/>
      <w:r w:rsidRPr="009F639A">
        <w:rPr>
          <w:color w:val="auto"/>
        </w:rPr>
        <w:t xml:space="preserve"> the conditions of participation.</w:t>
      </w:r>
    </w:p>
    <w:p w14:paraId="20534D1A" w14:textId="07852034" w:rsidR="002E598B" w:rsidRDefault="002E598B" w:rsidP="002840CF">
      <w:pPr>
        <w:pStyle w:val="BodyText1"/>
        <w:numPr>
          <w:ilvl w:val="0"/>
          <w:numId w:val="4"/>
        </w:numPr>
        <w:ind w:left="357" w:hanging="357"/>
        <w:rPr>
          <w:color w:val="FF0000"/>
        </w:rPr>
      </w:pPr>
      <w:r w:rsidRPr="009F639A">
        <w:rPr>
          <w:color w:val="auto"/>
        </w:rPr>
        <w:t xml:space="preserve">The Authority reserves the right to seek clarification from Suppliers in connection with their PSQ Responses or </w:t>
      </w:r>
      <w:r w:rsidR="00FA6944" w:rsidRPr="009F639A">
        <w:rPr>
          <w:color w:val="auto"/>
        </w:rPr>
        <w:t>Tenders</w:t>
      </w:r>
      <w:r w:rsidR="00FA6944">
        <w:rPr>
          <w:color w:val="auto"/>
        </w:rPr>
        <w:t>.</w:t>
      </w:r>
      <w:r w:rsidRPr="009F639A">
        <w:rPr>
          <w:color w:val="auto"/>
        </w:rPr>
        <w:t xml:space="preserve"> The Authority may request a Supplier to submit</w:t>
      </w:r>
      <w:r w:rsidR="009F4670">
        <w:rPr>
          <w:color w:val="auto"/>
        </w:rPr>
        <w:t xml:space="preserve"> or</w:t>
      </w:r>
      <w:r w:rsidRPr="009F639A">
        <w:rPr>
          <w:color w:val="auto"/>
        </w:rPr>
        <w:t xml:space="preserve"> clarify the information or documentation provided in connection with their PSQ Response or Tender</w:t>
      </w:r>
      <w:r w:rsidRPr="0082475E">
        <w:rPr>
          <w:color w:val="FF0000"/>
        </w:rPr>
        <w:t xml:space="preserve">. </w:t>
      </w:r>
    </w:p>
    <w:p w14:paraId="699C1E1F" w14:textId="77777777" w:rsidR="00B40343" w:rsidRDefault="00B40343" w:rsidP="00B40343">
      <w:pPr>
        <w:pStyle w:val="BodyText1"/>
        <w:numPr>
          <w:ilvl w:val="0"/>
          <w:numId w:val="4"/>
        </w:numPr>
        <w:ind w:left="357" w:hanging="357"/>
        <w:rPr>
          <w:color w:val="auto"/>
        </w:rPr>
      </w:pPr>
      <w:r>
        <w:rPr>
          <w:color w:val="auto"/>
        </w:rPr>
        <w:t xml:space="preserve">The scoring for this tender opportunity will be undertaken in the following manner: </w:t>
      </w:r>
    </w:p>
    <w:p w14:paraId="253C792F" w14:textId="2407BA39" w:rsidR="00B40343" w:rsidRPr="0060675E" w:rsidRDefault="00AE1473" w:rsidP="00B40343">
      <w:pPr>
        <w:pStyle w:val="BodyText1"/>
        <w:numPr>
          <w:ilvl w:val="1"/>
          <w:numId w:val="4"/>
        </w:numPr>
        <w:rPr>
          <w:color w:val="auto"/>
        </w:rPr>
      </w:pPr>
      <w:r w:rsidRPr="0060675E">
        <w:rPr>
          <w:color w:val="auto"/>
        </w:rPr>
        <w:t xml:space="preserve">Each question has a maximum mark of 25. </w:t>
      </w:r>
    </w:p>
    <w:p w14:paraId="257A2AC0" w14:textId="59FED391" w:rsidR="00C271CB" w:rsidRPr="0060675E" w:rsidRDefault="00C271CB" w:rsidP="00B40343">
      <w:pPr>
        <w:pStyle w:val="BodyText1"/>
        <w:numPr>
          <w:ilvl w:val="1"/>
          <w:numId w:val="4"/>
        </w:numPr>
        <w:rPr>
          <w:color w:val="auto"/>
        </w:rPr>
      </w:pPr>
      <w:r w:rsidRPr="0060675E">
        <w:rPr>
          <w:color w:val="auto"/>
        </w:rPr>
        <w:t xml:space="preserve">The scoring scheme for the qualitative questions is included in the </w:t>
      </w:r>
      <w:r w:rsidR="008F794F" w:rsidRPr="0060675E">
        <w:rPr>
          <w:color w:val="auto"/>
        </w:rPr>
        <w:t>table on page 33.</w:t>
      </w:r>
    </w:p>
    <w:p w14:paraId="2224F492" w14:textId="036DFDB5" w:rsidR="00B40343" w:rsidRDefault="00B40343" w:rsidP="515D1E7F">
      <w:pPr>
        <w:pStyle w:val="BodyText1"/>
        <w:numPr>
          <w:ilvl w:val="1"/>
          <w:numId w:val="4"/>
        </w:numPr>
        <w:rPr>
          <w:color w:val="auto"/>
        </w:rPr>
      </w:pPr>
      <w:r w:rsidRPr="515D1E7F">
        <w:rPr>
          <w:color w:val="auto"/>
        </w:rPr>
        <w:t xml:space="preserve">The total number of marks available from scored questions is: </w:t>
      </w:r>
      <w:r w:rsidR="00AE1473" w:rsidRPr="515D1E7F">
        <w:rPr>
          <w:color w:val="auto"/>
        </w:rPr>
        <w:t>300</w:t>
      </w:r>
      <w:r w:rsidR="714B8A6C" w:rsidRPr="515D1E7F">
        <w:rPr>
          <w:color w:val="auto"/>
        </w:rPr>
        <w:t xml:space="preserve"> </w:t>
      </w:r>
    </w:p>
    <w:p w14:paraId="27BEC4B9" w14:textId="77777777" w:rsidR="00B40343" w:rsidRDefault="00B40343" w:rsidP="00B40343">
      <w:pPr>
        <w:pStyle w:val="BodyText1"/>
        <w:numPr>
          <w:ilvl w:val="1"/>
          <w:numId w:val="4"/>
        </w:numPr>
        <w:rPr>
          <w:color w:val="auto"/>
        </w:rPr>
      </w:pPr>
      <w:r>
        <w:rPr>
          <w:color w:val="auto"/>
        </w:rPr>
        <w:t>The tenderer which receives the most marks will be awarded a score of 100.</w:t>
      </w:r>
    </w:p>
    <w:p w14:paraId="5C8DB4D6" w14:textId="77777777" w:rsidR="00B40343" w:rsidRDefault="00B40343" w:rsidP="00B40343">
      <w:pPr>
        <w:pStyle w:val="BodyText1"/>
        <w:numPr>
          <w:ilvl w:val="1"/>
          <w:numId w:val="4"/>
        </w:numPr>
        <w:rPr>
          <w:color w:val="auto"/>
        </w:rPr>
      </w:pPr>
      <w:r>
        <w:rPr>
          <w:color w:val="auto"/>
        </w:rPr>
        <w:t>Percentages and weighted scores will be integers only.</w:t>
      </w:r>
    </w:p>
    <w:p w14:paraId="435F6875" w14:textId="77777777" w:rsidR="00B40343" w:rsidRDefault="00B40343" w:rsidP="00B40343">
      <w:pPr>
        <w:pStyle w:val="BodyText1"/>
        <w:numPr>
          <w:ilvl w:val="1"/>
          <w:numId w:val="4"/>
        </w:numPr>
        <w:rPr>
          <w:color w:val="auto"/>
        </w:rPr>
      </w:pPr>
      <w:r>
        <w:rPr>
          <w:color w:val="auto"/>
        </w:rPr>
        <w:t xml:space="preserve">All total scores will be converted into percentage points using the following formula:    </w:t>
      </w:r>
    </w:p>
    <w:p w14:paraId="3E372DDD" w14:textId="77777777" w:rsidR="00B40343" w:rsidRDefault="00B40343" w:rsidP="00B40343">
      <w:pPr>
        <w:pStyle w:val="BodyText1"/>
        <w:ind w:left="1440"/>
        <w:rPr>
          <w:color w:val="auto"/>
        </w:rPr>
      </w:pPr>
      <w:r>
        <w:rPr>
          <w:color w:val="auto"/>
        </w:rPr>
        <w:t xml:space="preserve">           (tenderer score/total available score)*100</w:t>
      </w:r>
    </w:p>
    <w:p w14:paraId="65E75D8F" w14:textId="77777777" w:rsidR="00B40343" w:rsidRDefault="00B40343" w:rsidP="00B40343">
      <w:pPr>
        <w:pStyle w:val="BodyText1"/>
        <w:numPr>
          <w:ilvl w:val="1"/>
          <w:numId w:val="4"/>
        </w:numPr>
        <w:rPr>
          <w:color w:val="auto"/>
        </w:rPr>
      </w:pPr>
      <w:r>
        <w:rPr>
          <w:color w:val="auto"/>
        </w:rPr>
        <w:t>The weighting for the scored questions is 70%</w:t>
      </w:r>
    </w:p>
    <w:p w14:paraId="77FD34D3" w14:textId="77777777" w:rsidR="00B40343" w:rsidRDefault="00B40343" w:rsidP="00B40343">
      <w:pPr>
        <w:pStyle w:val="BodyText1"/>
        <w:numPr>
          <w:ilvl w:val="1"/>
          <w:numId w:val="4"/>
        </w:numPr>
        <w:rPr>
          <w:color w:val="auto"/>
        </w:rPr>
      </w:pPr>
      <w:r>
        <w:rPr>
          <w:color w:val="auto"/>
        </w:rPr>
        <w:t>The weighted score will be determined using the following formula:</w:t>
      </w:r>
    </w:p>
    <w:p w14:paraId="47E088D9" w14:textId="77777777" w:rsidR="00B40343" w:rsidRDefault="00B40343" w:rsidP="00B40343">
      <w:pPr>
        <w:pStyle w:val="BodyText1"/>
        <w:ind w:left="2160"/>
        <w:rPr>
          <w:color w:val="auto"/>
        </w:rPr>
      </w:pPr>
      <w:r>
        <w:rPr>
          <w:color w:val="auto"/>
        </w:rPr>
        <w:t>(Percentage score/100)*70</w:t>
      </w:r>
    </w:p>
    <w:p w14:paraId="0BEED2F6" w14:textId="77777777" w:rsidR="00B40343" w:rsidRDefault="00B40343" w:rsidP="00B40343">
      <w:pPr>
        <w:pStyle w:val="BodyText1"/>
        <w:ind w:left="1440"/>
        <w:rPr>
          <w:color w:val="auto"/>
        </w:rPr>
      </w:pPr>
      <w:r>
        <w:rPr>
          <w:color w:val="auto"/>
        </w:rPr>
        <w:t xml:space="preserve">Worked example: A supplier scoring 205 total marks would receive the following weighted score: </w:t>
      </w:r>
    </w:p>
    <w:p w14:paraId="641FF0F2" w14:textId="08CD31C6" w:rsidR="00B40343" w:rsidRDefault="00B40343" w:rsidP="00B40343">
      <w:pPr>
        <w:pStyle w:val="BodyText1"/>
        <w:ind w:left="1440"/>
        <w:rPr>
          <w:color w:val="auto"/>
        </w:rPr>
      </w:pPr>
      <w:r>
        <w:rPr>
          <w:color w:val="auto"/>
        </w:rPr>
        <w:t>(205/</w:t>
      </w:r>
      <w:r w:rsidR="00453A23">
        <w:rPr>
          <w:color w:val="auto"/>
        </w:rPr>
        <w:t>300</w:t>
      </w:r>
      <w:r>
        <w:rPr>
          <w:color w:val="auto"/>
        </w:rPr>
        <w:t>)*100 = 6</w:t>
      </w:r>
      <w:r w:rsidR="001B4ED8">
        <w:rPr>
          <w:color w:val="auto"/>
        </w:rPr>
        <w:t>7</w:t>
      </w:r>
      <w:r>
        <w:rPr>
          <w:color w:val="auto"/>
        </w:rPr>
        <w:t>%</w:t>
      </w:r>
    </w:p>
    <w:p w14:paraId="386B5BFE" w14:textId="3750F58F" w:rsidR="00B40343" w:rsidRPr="00EF0849" w:rsidRDefault="00B40343" w:rsidP="00B40343">
      <w:pPr>
        <w:pStyle w:val="BodyText1"/>
        <w:ind w:left="1440"/>
        <w:rPr>
          <w:color w:val="auto"/>
        </w:rPr>
      </w:pPr>
      <w:r>
        <w:rPr>
          <w:color w:val="auto"/>
        </w:rPr>
        <w:lastRenderedPageBreak/>
        <w:t>(69/100)*70 = 4</w:t>
      </w:r>
      <w:r w:rsidR="001B4ED8">
        <w:rPr>
          <w:color w:val="auto"/>
        </w:rPr>
        <w:t>7</w:t>
      </w:r>
      <w:r>
        <w:rPr>
          <w:color w:val="auto"/>
        </w:rPr>
        <w:t xml:space="preserve"> is the weighted score for this section of the ITT evaluation</w:t>
      </w:r>
    </w:p>
    <w:p w14:paraId="011A50D8" w14:textId="3458F759" w:rsidR="00B40343" w:rsidRPr="003F3E2E" w:rsidRDefault="003F3E2E" w:rsidP="002840CF">
      <w:pPr>
        <w:pStyle w:val="BodyText1"/>
        <w:numPr>
          <w:ilvl w:val="0"/>
          <w:numId w:val="4"/>
        </w:numPr>
        <w:ind w:left="357" w:hanging="357"/>
        <w:rPr>
          <w:color w:val="FF0000"/>
        </w:rPr>
      </w:pPr>
      <w:r>
        <w:rPr>
          <w:color w:val="auto"/>
        </w:rPr>
        <w:t>The scoring for the pricing element will be undertaken as follows:</w:t>
      </w:r>
    </w:p>
    <w:p w14:paraId="673C708B" w14:textId="011CDE17" w:rsidR="003F3E2E" w:rsidRPr="00283FBA" w:rsidRDefault="003F3E2E" w:rsidP="003F3E2E">
      <w:pPr>
        <w:pStyle w:val="BodyText1"/>
        <w:numPr>
          <w:ilvl w:val="1"/>
          <w:numId w:val="4"/>
        </w:numPr>
        <w:rPr>
          <w:color w:val="auto"/>
        </w:rPr>
      </w:pPr>
      <w:r w:rsidRPr="00283FBA">
        <w:rPr>
          <w:color w:val="auto"/>
        </w:rPr>
        <w:t xml:space="preserve">The Agency will evaluate the </w:t>
      </w:r>
      <w:r w:rsidRPr="00283FBA">
        <w:rPr>
          <w:color w:val="auto"/>
          <w:u w:val="single"/>
        </w:rPr>
        <w:t xml:space="preserve">total cost of the </w:t>
      </w:r>
      <w:r w:rsidR="00C56A42" w:rsidRPr="00283FBA">
        <w:rPr>
          <w:color w:val="auto"/>
          <w:u w:val="single"/>
        </w:rPr>
        <w:t>solution(s) proposed.</w:t>
      </w:r>
      <w:r w:rsidR="00C56A42" w:rsidRPr="00283FBA">
        <w:rPr>
          <w:color w:val="auto"/>
        </w:rPr>
        <w:t xml:space="preserve"> </w:t>
      </w:r>
    </w:p>
    <w:p w14:paraId="285D4D71" w14:textId="52185DF4" w:rsidR="00C56A42" w:rsidRPr="00283FBA" w:rsidRDefault="00C56A42" w:rsidP="003F3E2E">
      <w:pPr>
        <w:pStyle w:val="BodyText1"/>
        <w:numPr>
          <w:ilvl w:val="1"/>
          <w:numId w:val="4"/>
        </w:numPr>
        <w:rPr>
          <w:color w:val="auto"/>
        </w:rPr>
      </w:pPr>
      <w:r w:rsidRPr="00283FBA">
        <w:rPr>
          <w:color w:val="auto"/>
        </w:rPr>
        <w:t xml:space="preserve">This figure </w:t>
      </w:r>
      <w:r w:rsidRPr="00283FBA">
        <w:rPr>
          <w:color w:val="auto"/>
          <w:u w:val="single"/>
        </w:rPr>
        <w:t>must</w:t>
      </w:r>
      <w:r w:rsidRPr="00283FBA">
        <w:rPr>
          <w:b/>
          <w:bCs/>
          <w:color w:val="auto"/>
        </w:rPr>
        <w:t xml:space="preserve"> </w:t>
      </w:r>
      <w:r w:rsidRPr="00283FBA">
        <w:rPr>
          <w:color w:val="auto"/>
        </w:rPr>
        <w:t xml:space="preserve">be present in the Pricing Appendix. </w:t>
      </w:r>
      <w:r w:rsidR="00C016F2" w:rsidRPr="00283FBA">
        <w:rPr>
          <w:color w:val="auto"/>
        </w:rPr>
        <w:t>The total cost to the Agency must be over five years on a 3 + 1 + 1 basis.</w:t>
      </w:r>
    </w:p>
    <w:p w14:paraId="26E383FF" w14:textId="15FEB84E" w:rsidR="00C016F2" w:rsidRPr="00283FBA" w:rsidRDefault="00156F23" w:rsidP="003F3E2E">
      <w:pPr>
        <w:pStyle w:val="BodyText1"/>
        <w:numPr>
          <w:ilvl w:val="1"/>
          <w:numId w:val="4"/>
        </w:numPr>
        <w:rPr>
          <w:color w:val="auto"/>
        </w:rPr>
      </w:pPr>
      <w:r w:rsidRPr="00283FBA">
        <w:rPr>
          <w:color w:val="auto"/>
        </w:rPr>
        <w:t>The formula for attributing scores will be:</w:t>
      </w:r>
    </w:p>
    <w:p w14:paraId="2E2B79BE" w14:textId="321D4EE3" w:rsidR="00156F23" w:rsidRPr="00283FBA" w:rsidRDefault="00156F23" w:rsidP="00156F23">
      <w:pPr>
        <w:pStyle w:val="BodyText1"/>
        <w:numPr>
          <w:ilvl w:val="2"/>
          <w:numId w:val="4"/>
        </w:numPr>
        <w:rPr>
          <w:color w:val="auto"/>
        </w:rPr>
      </w:pPr>
      <w:r w:rsidRPr="00283FBA">
        <w:rPr>
          <w:color w:val="auto"/>
        </w:rPr>
        <w:t>(lowest total cost</w:t>
      </w:r>
      <w:r w:rsidR="00333E2C" w:rsidRPr="00283FBA">
        <w:rPr>
          <w:color w:val="auto"/>
        </w:rPr>
        <w:t>/supplier total cost</w:t>
      </w:r>
      <w:r w:rsidRPr="00283FBA">
        <w:rPr>
          <w:color w:val="auto"/>
        </w:rPr>
        <w:t>)*100</w:t>
      </w:r>
      <w:r w:rsidR="00333E2C" w:rsidRPr="00283FBA">
        <w:rPr>
          <w:color w:val="auto"/>
        </w:rPr>
        <w:t xml:space="preserve"> to give a percentage. This percentage will then be attributed a weighted score:</w:t>
      </w:r>
    </w:p>
    <w:p w14:paraId="1A1F0EE1" w14:textId="7EDEE118" w:rsidR="00333E2C" w:rsidRPr="00283FBA" w:rsidRDefault="003F6E9C" w:rsidP="00156F23">
      <w:pPr>
        <w:pStyle w:val="BodyText1"/>
        <w:numPr>
          <w:ilvl w:val="2"/>
          <w:numId w:val="4"/>
        </w:numPr>
        <w:rPr>
          <w:color w:val="auto"/>
        </w:rPr>
      </w:pPr>
      <w:r w:rsidRPr="00283FBA">
        <w:rPr>
          <w:color w:val="auto"/>
        </w:rPr>
        <w:t>(percentage score/100)*30 to provide a score weighted to 30% of the overall marks.</w:t>
      </w:r>
    </w:p>
    <w:p w14:paraId="6C1FF04B" w14:textId="612D083E" w:rsidR="003F6E9C" w:rsidRPr="00283FBA" w:rsidRDefault="003F6E9C" w:rsidP="00156F23">
      <w:pPr>
        <w:pStyle w:val="BodyText1"/>
        <w:numPr>
          <w:ilvl w:val="2"/>
          <w:numId w:val="4"/>
        </w:numPr>
        <w:rPr>
          <w:color w:val="auto"/>
        </w:rPr>
      </w:pPr>
      <w:r w:rsidRPr="00283FBA">
        <w:rPr>
          <w:color w:val="auto"/>
        </w:rPr>
        <w:t>Worked example:</w:t>
      </w:r>
    </w:p>
    <w:p w14:paraId="42AF3031" w14:textId="076C00D4" w:rsidR="003F6E9C" w:rsidRPr="00283FBA" w:rsidRDefault="00CC5458" w:rsidP="003F6E9C">
      <w:pPr>
        <w:pStyle w:val="BodyText1"/>
        <w:ind w:left="2880"/>
        <w:rPr>
          <w:color w:val="auto"/>
        </w:rPr>
      </w:pPr>
      <w:r w:rsidRPr="00283FBA">
        <w:rPr>
          <w:color w:val="auto"/>
        </w:rPr>
        <w:t>(98000/98000)*100 = 100%</w:t>
      </w:r>
    </w:p>
    <w:p w14:paraId="43109C1F" w14:textId="085027A5" w:rsidR="00CC5458" w:rsidRPr="00283FBA" w:rsidRDefault="00CC5458" w:rsidP="00CC5458">
      <w:pPr>
        <w:pStyle w:val="BodyText1"/>
        <w:ind w:left="2880"/>
        <w:rPr>
          <w:color w:val="auto"/>
        </w:rPr>
      </w:pPr>
      <w:r w:rsidRPr="00283FBA">
        <w:rPr>
          <w:color w:val="auto"/>
        </w:rPr>
        <w:t>(</w:t>
      </w:r>
      <w:r w:rsidR="00635A66" w:rsidRPr="00283FBA">
        <w:rPr>
          <w:color w:val="auto"/>
        </w:rPr>
        <w:t>100</w:t>
      </w:r>
      <w:r w:rsidRPr="00283FBA">
        <w:rPr>
          <w:color w:val="auto"/>
        </w:rPr>
        <w:t>/100)*30 = 30</w:t>
      </w:r>
    </w:p>
    <w:p w14:paraId="6BA03843" w14:textId="25F402E7" w:rsidR="00CC5458" w:rsidRPr="00283FBA" w:rsidRDefault="00CC5458" w:rsidP="00CC5458">
      <w:pPr>
        <w:pStyle w:val="BodyText1"/>
        <w:ind w:left="2880"/>
        <w:rPr>
          <w:color w:val="auto"/>
        </w:rPr>
      </w:pPr>
      <w:r w:rsidRPr="00283FBA">
        <w:rPr>
          <w:color w:val="auto"/>
        </w:rPr>
        <w:t xml:space="preserve">(98000/210000)*100 = </w:t>
      </w:r>
      <w:r w:rsidR="00635A66" w:rsidRPr="00283FBA">
        <w:rPr>
          <w:color w:val="auto"/>
        </w:rPr>
        <w:t>47%</w:t>
      </w:r>
    </w:p>
    <w:p w14:paraId="203A4971" w14:textId="7A2D5A4C" w:rsidR="00283FBA" w:rsidRDefault="00635A66" w:rsidP="00283FBA">
      <w:pPr>
        <w:pStyle w:val="BodyText1"/>
        <w:ind w:left="2880"/>
        <w:rPr>
          <w:color w:val="auto"/>
        </w:rPr>
      </w:pPr>
      <w:r w:rsidRPr="00283FBA">
        <w:rPr>
          <w:color w:val="auto"/>
        </w:rPr>
        <w:t xml:space="preserve">(47/100)*30 = </w:t>
      </w:r>
      <w:r w:rsidR="00283FBA" w:rsidRPr="00283FBA">
        <w:rPr>
          <w:color w:val="auto"/>
        </w:rPr>
        <w:t>14</w:t>
      </w:r>
    </w:p>
    <w:p w14:paraId="215757D8" w14:textId="18576BFE" w:rsidR="00283FBA" w:rsidRDefault="00A27439" w:rsidP="00A27439">
      <w:pPr>
        <w:pStyle w:val="BodyText1"/>
        <w:numPr>
          <w:ilvl w:val="0"/>
          <w:numId w:val="4"/>
        </w:numPr>
        <w:rPr>
          <w:color w:val="auto"/>
        </w:rPr>
      </w:pPr>
      <w:r>
        <w:rPr>
          <w:color w:val="auto"/>
        </w:rPr>
        <w:t xml:space="preserve">The two weighted scores, for Quality and Price will then be added together to provide a final score. </w:t>
      </w:r>
    </w:p>
    <w:p w14:paraId="09EC7F2D" w14:textId="5343DA62" w:rsidR="00060811" w:rsidRPr="00283FBA" w:rsidRDefault="00060811" w:rsidP="00A27439">
      <w:pPr>
        <w:pStyle w:val="BodyText1"/>
        <w:numPr>
          <w:ilvl w:val="0"/>
          <w:numId w:val="4"/>
        </w:numPr>
        <w:rPr>
          <w:color w:val="auto"/>
        </w:rPr>
      </w:pPr>
      <w:r>
        <w:rPr>
          <w:color w:val="auto"/>
        </w:rPr>
        <w:t>A supplier scoring a weighted score of 4</w:t>
      </w:r>
      <w:r w:rsidR="001B4ED8">
        <w:rPr>
          <w:color w:val="auto"/>
        </w:rPr>
        <w:t>7</w:t>
      </w:r>
      <w:r>
        <w:rPr>
          <w:color w:val="auto"/>
        </w:rPr>
        <w:t xml:space="preserve"> on the Quality section and 14 on the Pricing section would therefore receive a final score of </w:t>
      </w:r>
      <w:r w:rsidR="00C2222C">
        <w:rPr>
          <w:color w:val="auto"/>
        </w:rPr>
        <w:t>6</w:t>
      </w:r>
      <w:r w:rsidR="001B4ED8">
        <w:rPr>
          <w:color w:val="auto"/>
        </w:rPr>
        <w:t>1</w:t>
      </w:r>
      <w:r w:rsidR="00C2222C">
        <w:rPr>
          <w:color w:val="auto"/>
        </w:rPr>
        <w:t>.</w:t>
      </w:r>
    </w:p>
    <w:p w14:paraId="43520F37" w14:textId="77777777" w:rsidR="002147DD" w:rsidRPr="002147DD" w:rsidRDefault="002147DD" w:rsidP="00DF644D">
      <w:pPr>
        <w:pStyle w:val="Heading1"/>
        <w:numPr>
          <w:ilvl w:val="0"/>
          <w:numId w:val="0"/>
        </w:numPr>
      </w:pPr>
      <w:bookmarkStart w:id="23" w:name="_Toc214868675"/>
      <w:r>
        <w:lastRenderedPageBreak/>
        <w:t>Appendix A: Procurement terms and conditions</w:t>
      </w:r>
      <w:bookmarkEnd w:id="23"/>
    </w:p>
    <w:p w14:paraId="05363159" w14:textId="77777777" w:rsidR="00656A63" w:rsidRPr="00656A63" w:rsidRDefault="00656A63" w:rsidP="00656A63"/>
    <w:p w14:paraId="3E1E8BCB" w14:textId="0158ABEC" w:rsidR="00DF644D" w:rsidRPr="002D5063" w:rsidRDefault="00DF644D" w:rsidP="005963DA">
      <w:pPr>
        <w:pStyle w:val="Heading2"/>
        <w:numPr>
          <w:ilvl w:val="0"/>
          <w:numId w:val="0"/>
        </w:numPr>
      </w:pPr>
      <w:bookmarkStart w:id="24" w:name="_Toc214868676"/>
      <w:r w:rsidRPr="002D5063">
        <w:t>Procedural requirements</w:t>
      </w:r>
      <w:bookmarkEnd w:id="24"/>
    </w:p>
    <w:p w14:paraId="34E5CA48" w14:textId="77777777" w:rsidR="00DF644D" w:rsidRDefault="00DF644D" w:rsidP="002840CF">
      <w:pPr>
        <w:pStyle w:val="BodyText1"/>
        <w:numPr>
          <w:ilvl w:val="0"/>
          <w:numId w:val="5"/>
        </w:numPr>
        <w:ind w:left="357" w:hanging="357"/>
      </w:pPr>
      <w: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Default="00DF644D" w:rsidP="005963DA">
      <w:pPr>
        <w:pStyle w:val="Heading2"/>
        <w:numPr>
          <w:ilvl w:val="0"/>
          <w:numId w:val="0"/>
        </w:numPr>
      </w:pPr>
      <w:bookmarkStart w:id="25" w:name="_Toc214868677"/>
      <w:r>
        <w:t>Central Digital Platform</w:t>
      </w:r>
      <w:bookmarkEnd w:id="25"/>
    </w:p>
    <w:p w14:paraId="57301456" w14:textId="30BBB3D7" w:rsidR="00DF644D" w:rsidRDefault="218D97C9" w:rsidP="002840CF">
      <w:pPr>
        <w:pStyle w:val="BodyText1"/>
        <w:numPr>
          <w:ilvl w:val="0"/>
          <w:numId w:val="5"/>
        </w:numPr>
        <w:ind w:left="357" w:hanging="357"/>
      </w:pPr>
      <w:r>
        <w:t xml:space="preserve">Suppliers that wish to participate in this Procurement are responsible for ensuring that the Central Digital Platform </w:t>
      </w:r>
      <w:r w:rsidRPr="00BF7619">
        <w:t xml:space="preserve">contains complete, accurate and up-to-date information about their organisation and any Associated Suppliers which are relevant for the purposes of this Procurement. </w:t>
      </w:r>
      <w:r w:rsidR="003F2AC9">
        <w:t xml:space="preserve">A </w:t>
      </w:r>
      <w:r w:rsidRPr="00BF7619">
        <w:t xml:space="preserve">Supplier must notify the Authority immediately if it is unable to register on the Central Digital Platform and/or </w:t>
      </w:r>
      <w:r w:rsidR="003F2AC9">
        <w:t xml:space="preserve">to </w:t>
      </w:r>
      <w:r w:rsidRPr="00BF7619">
        <w:t>provide accurate and up-to-date information via the Central Digital Platform.</w:t>
      </w:r>
      <w:r>
        <w:t xml:space="preserve"> </w:t>
      </w:r>
    </w:p>
    <w:p w14:paraId="6A891203" w14:textId="77777777" w:rsidR="00DF644D" w:rsidRDefault="00DF644D" w:rsidP="00D952C6">
      <w:pPr>
        <w:pStyle w:val="Heading3"/>
      </w:pPr>
      <w:r>
        <w:t>Transparency</w:t>
      </w:r>
    </w:p>
    <w:p w14:paraId="2784F713" w14:textId="6A56AABE" w:rsidR="00DF644D" w:rsidRDefault="00DF644D" w:rsidP="002840CF">
      <w:pPr>
        <w:pStyle w:val="BodyText1"/>
        <w:numPr>
          <w:ilvl w:val="0"/>
          <w:numId w:val="5"/>
        </w:numPr>
        <w:ind w:left="357" w:hanging="357"/>
      </w:pPr>
      <w:r>
        <w:t xml:space="preserve">Suppliers should note that, in accordance with general transparency obligations and procurement law obligations under the Act, the Authority routinely publishes details of its procurement processes and </w:t>
      </w:r>
      <w:r w:rsidRPr="00BF7619">
        <w:t xml:space="preserve">awarded contracts. This includes, but is not limited to, the contract value, the identity of the successful Supplier, </w:t>
      </w:r>
      <w:r w:rsidR="009F7E90" w:rsidRPr="00BF7619">
        <w:t>the identity of any unsuccessful Suppliers</w:t>
      </w:r>
      <w:r w:rsidR="00DC340F" w:rsidRPr="00BF7619">
        <w:t xml:space="preserve"> </w:t>
      </w:r>
      <w:r w:rsidR="00DC340F" w:rsidRPr="00BF7619">
        <w:rPr>
          <w:color w:val="auto"/>
        </w:rPr>
        <w:t>(</w:t>
      </w:r>
      <w:r w:rsidR="00323AD2" w:rsidRPr="00BF7619">
        <w:rPr>
          <w:color w:val="auto"/>
        </w:rPr>
        <w:t>for public contracts with an estimated value of more than £5 million</w:t>
      </w:r>
      <w:r w:rsidR="00DC340F" w:rsidRPr="00BF7619">
        <w:rPr>
          <w:color w:val="auto"/>
        </w:rPr>
        <w:t>)</w:t>
      </w:r>
      <w:r w:rsidR="00AD61D7" w:rsidRPr="00BF7619">
        <w:rPr>
          <w:color w:val="auto"/>
        </w:rPr>
        <w:t>,</w:t>
      </w:r>
      <w:r w:rsidR="00AD61D7" w:rsidRPr="00BF7619">
        <w:t xml:space="preserve"> </w:t>
      </w:r>
      <w:r w:rsidRPr="00BF7619">
        <w:t>compliance with payment</w:t>
      </w:r>
      <w:r>
        <w:t xml:space="preserve"> obligations and contract performance. Compliance with these obligations may involve the Authority taking steps without consultation with Suppliers. Where required under the Act, a copy of the </w:t>
      </w:r>
      <w:r w:rsidR="003F2AC9">
        <w:t xml:space="preserve">Contract </w:t>
      </w:r>
      <w:r>
        <w:t xml:space="preserve">will be published (subject to making any reasonable and proportionate redactions permitted under the Act). </w:t>
      </w:r>
    </w:p>
    <w:p w14:paraId="330762A7" w14:textId="0AADF9C5" w:rsidR="00DF644D" w:rsidRDefault="00DF644D" w:rsidP="002840CF">
      <w:pPr>
        <w:pStyle w:val="BodyText1"/>
        <w:numPr>
          <w:ilvl w:val="0"/>
          <w:numId w:val="5"/>
        </w:numPr>
        <w:ind w:left="357" w:hanging="357"/>
      </w:pPr>
      <w:r>
        <w:t xml:space="preserve">All central government departments and their executive agencies and non-departmental public bodies are subject to controls and reporting within government. </w:t>
      </w:r>
      <w:proofErr w:type="gramStart"/>
      <w:r>
        <w:t>In particular, they</w:t>
      </w:r>
      <w:proofErr w:type="gramEnd"/>
      <w:r>
        <w:t xml:space="preserve">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p>
    <w:p w14:paraId="3D6076D6" w14:textId="77777777" w:rsidR="00DF644D" w:rsidRDefault="00DF644D" w:rsidP="002840CF">
      <w:pPr>
        <w:pStyle w:val="BodyText1"/>
        <w:numPr>
          <w:ilvl w:val="0"/>
          <w:numId w:val="5"/>
        </w:numPr>
        <w:ind w:left="357" w:hanging="357"/>
      </w:pPr>
      <w: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Default="00DF644D" w:rsidP="005963DA">
      <w:pPr>
        <w:pStyle w:val="Heading2"/>
        <w:numPr>
          <w:ilvl w:val="0"/>
          <w:numId w:val="0"/>
        </w:numPr>
      </w:pPr>
      <w:bookmarkStart w:id="26" w:name="_Toc214868678"/>
      <w:r>
        <w:lastRenderedPageBreak/>
        <w:t>Modifying the Procurement</w:t>
      </w:r>
      <w:bookmarkEnd w:id="26"/>
    </w:p>
    <w:p w14:paraId="168A724E" w14:textId="77777777" w:rsidR="00DF644D" w:rsidRDefault="00DF644D" w:rsidP="002840CF">
      <w:pPr>
        <w:pStyle w:val="BodyText1"/>
        <w:numPr>
          <w:ilvl w:val="0"/>
          <w:numId w:val="5"/>
        </w:numPr>
        <w:ind w:left="357" w:hanging="357"/>
      </w:pPr>
      <w:r>
        <w:t>Neither the Tender Notice, this document nor any information given as part of the Procurement shall be regarded as a commitment or representation on the part of the Authority (or any other person) to enter into a contractual agreement.</w:t>
      </w:r>
    </w:p>
    <w:p w14:paraId="584FD634" w14:textId="3828BC85" w:rsidR="00DF644D" w:rsidRPr="0082475E" w:rsidRDefault="00DF644D" w:rsidP="002840CF">
      <w:pPr>
        <w:pStyle w:val="BodyText1"/>
        <w:numPr>
          <w:ilvl w:val="0"/>
          <w:numId w:val="5"/>
        </w:numPr>
        <w:ind w:left="357" w:hanging="357"/>
      </w:pPr>
      <w:r w:rsidRPr="0082475E">
        <w:t xml:space="preserve">The Authority reserves the right to cancel the Procurement at any point and/or to choose not to award any contract </w:t>
      </w:r>
      <w:proofErr w:type="gramStart"/>
      <w:r w:rsidRPr="0082475E">
        <w:t>as a result of</w:t>
      </w:r>
      <w:proofErr w:type="gramEnd"/>
      <w:r w:rsidRPr="0082475E">
        <w:t xml:space="preserve"> this Procurement</w:t>
      </w:r>
      <w:r w:rsidR="0082475E" w:rsidRPr="0082475E">
        <w:t>.</w:t>
      </w:r>
    </w:p>
    <w:p w14:paraId="09D967C1" w14:textId="5A6D365A" w:rsidR="00DF644D" w:rsidRDefault="00DF644D" w:rsidP="002840CF">
      <w:pPr>
        <w:pStyle w:val="BodyText1"/>
        <w:numPr>
          <w:ilvl w:val="0"/>
          <w:numId w:val="5"/>
        </w:numPr>
        <w:ind w:left="357" w:hanging="357"/>
      </w:pPr>
      <w:r>
        <w:t xml:space="preserve">Suppliers will remain responsible for all costs and expenses incurred by them, their staff, and their advisers or by any third party acting under their instructions in connection with this Procurement. For the avoidance of doubt, the Authority </w:t>
      </w:r>
      <w:r w:rsidR="00607FDE">
        <w:t xml:space="preserve">will </w:t>
      </w:r>
      <w:r>
        <w:t xml:space="preserve">not </w:t>
      </w:r>
      <w:r w:rsidR="00607FDE">
        <w:t xml:space="preserve">be </w:t>
      </w:r>
      <w:r>
        <w:t>liable for any costs or expenditure resulting from any cancellation or amendment of this Procurement.</w:t>
      </w:r>
    </w:p>
    <w:p w14:paraId="746E08F0" w14:textId="77777777" w:rsidR="00DF644D" w:rsidRDefault="00DF644D" w:rsidP="002840CF">
      <w:pPr>
        <w:pStyle w:val="BodyText1"/>
        <w:numPr>
          <w:ilvl w:val="0"/>
          <w:numId w:val="5"/>
        </w:numPr>
        <w:ind w:left="357" w:hanging="357"/>
      </w:pPr>
      <w:r>
        <w:t>The Authority reserves the right at any time:</w:t>
      </w:r>
    </w:p>
    <w:p w14:paraId="3C59D75F" w14:textId="76954C13" w:rsidR="00DF644D" w:rsidRDefault="00DF644D" w:rsidP="002D5063">
      <w:pPr>
        <w:pStyle w:val="BodyText1"/>
        <w:ind w:left="714" w:hanging="357"/>
      </w:pPr>
      <w:r>
        <w:t>a.</w:t>
      </w:r>
      <w:r>
        <w:tab/>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2A5E70D3" w:rsidR="00DF644D" w:rsidRDefault="00DF644D" w:rsidP="002D5063">
      <w:pPr>
        <w:pStyle w:val="BodyText1"/>
        <w:ind w:left="714" w:hanging="357"/>
      </w:pPr>
      <w:r>
        <w:t>b.</w:t>
      </w:r>
      <w:r>
        <w:tab/>
        <w:t xml:space="preserve">to require a Supplier to clarify their proposal(s) and/or </w:t>
      </w:r>
      <w:r w:rsidR="00203A2B">
        <w:t xml:space="preserve">Tender or PSQ Response </w:t>
      </w:r>
      <w:r>
        <w:t xml:space="preserve">in writing and/or provide additional information – failure by a Supplier to respond adequately may result in their </w:t>
      </w:r>
      <w:r w:rsidR="00203A2B">
        <w:t>T</w:t>
      </w:r>
      <w:r>
        <w:t>ender being rejected</w:t>
      </w:r>
    </w:p>
    <w:p w14:paraId="1A7F8417" w14:textId="77777777" w:rsidR="00DF644D" w:rsidRDefault="00DF644D" w:rsidP="002D5063">
      <w:pPr>
        <w:pStyle w:val="BodyText1"/>
        <w:ind w:left="714" w:hanging="357"/>
      </w:pPr>
      <w:r>
        <w:t>c.</w:t>
      </w:r>
      <w:r>
        <w:tab/>
        <w:t xml:space="preserve">to alter the Procurement Timetable for this Procurement [including the right to award different lots at different times] </w:t>
      </w:r>
    </w:p>
    <w:p w14:paraId="28FB32DC" w14:textId="06D4724B" w:rsidR="00DF644D" w:rsidRDefault="00DF644D" w:rsidP="002D5063">
      <w:pPr>
        <w:pStyle w:val="BodyText1"/>
        <w:ind w:left="714" w:hanging="357"/>
      </w:pPr>
      <w:r>
        <w:t>d.</w:t>
      </w:r>
      <w:r>
        <w:tab/>
        <w:t xml:space="preserve">to rewind and re-run any part of the Procurement on the same or </w:t>
      </w:r>
      <w:r w:rsidR="00607FDE">
        <w:t xml:space="preserve">an </w:t>
      </w:r>
      <w:r>
        <w:t>alternative basis</w:t>
      </w:r>
    </w:p>
    <w:p w14:paraId="7FC8B695" w14:textId="43A9B81D" w:rsidR="004B21D5" w:rsidRDefault="00DF644D" w:rsidP="00393987">
      <w:pPr>
        <w:pStyle w:val="BodyText1"/>
        <w:ind w:left="714" w:hanging="357"/>
      </w:pPr>
      <w:r>
        <w:t>e.</w:t>
      </w:r>
      <w:r>
        <w:tab/>
        <w:t xml:space="preserve">to amend </w:t>
      </w:r>
      <w:r w:rsidR="00607FDE">
        <w:t xml:space="preserve">its requirements in relation to </w:t>
      </w:r>
      <w:r>
        <w:t>the Procurement</w:t>
      </w:r>
      <w:r w:rsidR="00607FDE">
        <w:t>,</w:t>
      </w:r>
      <w:r>
        <w:t xml:space="preserve"> as described herein </w:t>
      </w:r>
    </w:p>
    <w:p w14:paraId="381910D6" w14:textId="39A26E29" w:rsidR="00E45C90" w:rsidRDefault="002C5FF2">
      <w:pPr>
        <w:pStyle w:val="BodyText1"/>
        <w:numPr>
          <w:ilvl w:val="0"/>
          <w:numId w:val="5"/>
        </w:numPr>
        <w:ind w:left="357" w:hanging="357"/>
      </w:pPr>
      <w:r>
        <w:t>If the Au</w:t>
      </w:r>
      <w:r w:rsidR="009D6226">
        <w:t xml:space="preserve">thority </w:t>
      </w:r>
      <w:r w:rsidR="007D7E0B">
        <w:t xml:space="preserve">modifies the </w:t>
      </w:r>
      <w:r w:rsidR="003265E6">
        <w:t>Procurement,</w:t>
      </w:r>
      <w:r w:rsidR="007D7E0B">
        <w:t xml:space="preserve"> it will inform al</w:t>
      </w:r>
      <w:r w:rsidR="000C709F">
        <w:t xml:space="preserve">l Suppliers simultaneously via </w:t>
      </w:r>
      <w:r w:rsidR="00FB0A3D">
        <w:t xml:space="preserve">the Portal and will assume all Suppliers have taken account of the amendments when submitting their </w:t>
      </w:r>
      <w:r w:rsidR="00203A2B">
        <w:t>T</w:t>
      </w:r>
      <w:r w:rsidR="001D7FEF">
        <w:t>ender</w:t>
      </w:r>
      <w:r w:rsidR="00203A2B">
        <w:t xml:space="preserve"> and PSQ Response</w:t>
      </w:r>
      <w:r w:rsidR="001074CF">
        <w:t>.</w:t>
      </w:r>
    </w:p>
    <w:p w14:paraId="33D73D98" w14:textId="77777777" w:rsidR="00DF644D" w:rsidRDefault="00DF644D" w:rsidP="005963DA">
      <w:pPr>
        <w:pStyle w:val="Heading2"/>
        <w:numPr>
          <w:ilvl w:val="0"/>
          <w:numId w:val="0"/>
        </w:numPr>
      </w:pPr>
      <w:bookmarkStart w:id="27" w:name="_Toc214868679"/>
      <w:r>
        <w:t>Option to direct award</w:t>
      </w:r>
      <w:bookmarkEnd w:id="27"/>
    </w:p>
    <w:p w14:paraId="724DFC53" w14:textId="4CBA59C2" w:rsidR="004E321A" w:rsidRPr="0082475E" w:rsidRDefault="0082475E" w:rsidP="002840CF">
      <w:pPr>
        <w:pStyle w:val="BodyText1"/>
        <w:numPr>
          <w:ilvl w:val="0"/>
          <w:numId w:val="5"/>
        </w:numPr>
        <w:ind w:left="357" w:hanging="357"/>
        <w:rPr>
          <w:color w:val="auto"/>
        </w:rPr>
      </w:pPr>
      <w:r w:rsidRPr="0082475E">
        <w:rPr>
          <w:color w:val="auto"/>
        </w:rPr>
        <w:t>I</w:t>
      </w:r>
      <w:r>
        <w:rPr>
          <w:color w:val="auto"/>
        </w:rPr>
        <w:t>n accordance with the Procurement Act 2023 sch. 5 paragraph 5a - i</w:t>
      </w:r>
      <w:r w:rsidRPr="0082475E">
        <w:rPr>
          <w:color w:val="auto"/>
        </w:rPr>
        <w:t>f, during the tender process, the Agency discovers that a potential tenderer possesses an exclusive right to sell certain IP which is the only possible solution it reserves the right to Direct Award to the potential tenderer which holds this exclusive right.</w:t>
      </w:r>
    </w:p>
    <w:p w14:paraId="5FB215D6" w14:textId="77777777" w:rsidR="00DF644D" w:rsidRDefault="00DF644D" w:rsidP="005963DA">
      <w:pPr>
        <w:pStyle w:val="Heading2"/>
        <w:numPr>
          <w:ilvl w:val="0"/>
          <w:numId w:val="0"/>
        </w:numPr>
      </w:pPr>
      <w:bookmarkStart w:id="28" w:name="_Toc214868680"/>
      <w:r>
        <w:t>Confidentiality and publicity</w:t>
      </w:r>
      <w:bookmarkEnd w:id="28"/>
    </w:p>
    <w:p w14:paraId="4DFC95F2" w14:textId="77777777" w:rsidR="00DF644D" w:rsidRDefault="00DF644D" w:rsidP="002840CF">
      <w:pPr>
        <w:pStyle w:val="BodyText1"/>
        <w:numPr>
          <w:ilvl w:val="0"/>
          <w:numId w:val="5"/>
        </w:numPr>
        <w:ind w:left="357" w:hanging="357"/>
      </w:pPr>
      <w:r>
        <w:t xml:space="preserve">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lastRenderedPageBreak/>
        <w:t>Authority, provided that such person has given an undertaking prior to the receipt of the relevant information (and for the benefit of the Authority) to keep such information confidential.</w:t>
      </w:r>
    </w:p>
    <w:p w14:paraId="6E1151A2" w14:textId="77777777" w:rsidR="00DF644D" w:rsidRDefault="00DF644D" w:rsidP="002840CF">
      <w:pPr>
        <w:pStyle w:val="BodyText1"/>
        <w:numPr>
          <w:ilvl w:val="0"/>
          <w:numId w:val="5"/>
        </w:numPr>
        <w:ind w:left="357" w:hanging="357"/>
      </w:pPr>
      <w:r>
        <w:t>Suppliers must not take part in any publicity activities with any part of the media about this Procurement without obtaining the express prior written agreement of the Authority.</w:t>
      </w:r>
      <w:r w:rsidR="003F6CC0">
        <w:t xml:space="preserve"> </w:t>
      </w:r>
      <w:r>
        <w:t>When requesting prior written agreement, Suppliers are required to detail the proposed media coverage including format and content of any publicity.</w:t>
      </w:r>
    </w:p>
    <w:p w14:paraId="2975A332" w14:textId="77777777" w:rsidR="00DF644D" w:rsidRDefault="00DF644D" w:rsidP="00D952C6">
      <w:pPr>
        <w:pStyle w:val="Heading3"/>
      </w:pPr>
      <w:r>
        <w:t>Non-disclosure agreement</w:t>
      </w:r>
    </w:p>
    <w:p w14:paraId="21028BDC" w14:textId="5FC7E322" w:rsidR="00DF644D" w:rsidRDefault="007B2DC3" w:rsidP="002840CF">
      <w:pPr>
        <w:pStyle w:val="BodyText1"/>
        <w:numPr>
          <w:ilvl w:val="0"/>
          <w:numId w:val="5"/>
        </w:numPr>
        <w:ind w:left="357" w:hanging="357"/>
      </w:pPr>
      <w:r>
        <w:t>Not used</w:t>
      </w:r>
    </w:p>
    <w:p w14:paraId="79BC3077" w14:textId="77777777" w:rsidR="00DF644D" w:rsidRDefault="00DF644D" w:rsidP="00D952C6">
      <w:pPr>
        <w:pStyle w:val="Heading3"/>
      </w:pPr>
      <w:r>
        <w:t xml:space="preserve">Freedom of information and environmental information </w:t>
      </w:r>
    </w:p>
    <w:p w14:paraId="439C3240" w14:textId="77777777" w:rsidR="00DF644D" w:rsidRDefault="00DF644D" w:rsidP="002840CF">
      <w:pPr>
        <w:pStyle w:val="BodyText1"/>
        <w:numPr>
          <w:ilvl w:val="0"/>
          <w:numId w:val="5"/>
        </w:numPr>
        <w:ind w:left="357" w:hanging="357"/>
      </w:pPr>
      <w:r>
        <w:t xml:space="preserve">The Authority is subject to the Freedom of Information Act 2000 (FOIA) and the Environmental Information Regulations 2004 (EIR). All information submitted to the Authority may be disclosed in response to a request made pursuant to the FOIA or the EIR. </w:t>
      </w:r>
    </w:p>
    <w:p w14:paraId="5A40A62D" w14:textId="77777777" w:rsidR="00DF644D" w:rsidRDefault="00DF644D" w:rsidP="002840CF">
      <w:pPr>
        <w:pStyle w:val="BodyText1"/>
        <w:numPr>
          <w:ilvl w:val="0"/>
          <w:numId w:val="5"/>
        </w:numPr>
        <w:ind w:left="357" w:hanging="357"/>
      </w:pPr>
      <w:r>
        <w:t>In respect of any information submitted by a Supplier that it considers to be commercially sensitive, the Supplier should:</w:t>
      </w:r>
    </w:p>
    <w:p w14:paraId="7D33FFE2" w14:textId="77777777" w:rsidR="00DF644D" w:rsidRDefault="00DF644D" w:rsidP="002D5063">
      <w:pPr>
        <w:pStyle w:val="BodyText1"/>
        <w:ind w:left="714" w:hanging="357"/>
      </w:pPr>
      <w:r>
        <w:t>a.</w:t>
      </w:r>
      <w:r>
        <w:tab/>
        <w:t>clearly identify which information is considered commercially sensitive and complete the table contained within Appendix H</w:t>
      </w:r>
    </w:p>
    <w:p w14:paraId="4EEC84C0" w14:textId="77777777" w:rsidR="00DF644D" w:rsidRDefault="00DF644D" w:rsidP="002D5063">
      <w:pPr>
        <w:pStyle w:val="BodyText1"/>
        <w:ind w:left="714" w:hanging="357"/>
      </w:pPr>
      <w:r>
        <w:t>b.</w:t>
      </w:r>
      <w:r>
        <w:tab/>
      </w:r>
      <w:proofErr w:type="gramStart"/>
      <w:r>
        <w:t>explain</w:t>
      </w:r>
      <w:proofErr w:type="gramEnd"/>
      <w:r>
        <w:t xml:space="preserve"> the potential implications of disclosure of such information </w:t>
      </w:r>
    </w:p>
    <w:p w14:paraId="62AD9922" w14:textId="20729AE7" w:rsidR="00DF644D" w:rsidRDefault="00DF644D" w:rsidP="002D5063">
      <w:pPr>
        <w:pStyle w:val="BodyText1"/>
        <w:ind w:left="714" w:hanging="357"/>
      </w:pPr>
      <w:r>
        <w:t>c.</w:t>
      </w:r>
      <w:r>
        <w:tab/>
      </w:r>
      <w:proofErr w:type="gramStart"/>
      <w:r>
        <w:t>provide</w:t>
      </w:r>
      <w:proofErr w:type="gramEnd"/>
      <w:r>
        <w:t xml:space="preserve"> an estimate of the </w:t>
      </w:r>
      <w:proofErr w:type="gramStart"/>
      <w:r>
        <w:t>period of time</w:t>
      </w:r>
      <w:proofErr w:type="gramEnd"/>
      <w:r>
        <w:t xml:space="preserve"> for which the Supplier considers that such information will remain commercially sensitive</w:t>
      </w:r>
      <w:r w:rsidR="009D6BE8">
        <w:t>.</w:t>
      </w:r>
    </w:p>
    <w:p w14:paraId="38D88FF5" w14:textId="77777777" w:rsidR="00DF644D" w:rsidRDefault="00DF644D" w:rsidP="002840CF">
      <w:pPr>
        <w:pStyle w:val="BodyText1"/>
        <w:numPr>
          <w:ilvl w:val="0"/>
          <w:numId w:val="5"/>
        </w:numPr>
        <w:ind w:left="357" w:hanging="357"/>
      </w:pPr>
      <w:r>
        <w:t>The Authority will endeavour to:</w:t>
      </w:r>
    </w:p>
    <w:p w14:paraId="67178557" w14:textId="77777777" w:rsidR="00DF644D" w:rsidRDefault="00DF644D" w:rsidP="002D5063">
      <w:pPr>
        <w:pStyle w:val="BodyText1"/>
        <w:ind w:left="714" w:hanging="357"/>
      </w:pPr>
      <w:r>
        <w:t>a.</w:t>
      </w:r>
      <w:r>
        <w:tab/>
      </w:r>
      <w:proofErr w:type="gramStart"/>
      <w:r>
        <w:t>hold</w:t>
      </w:r>
      <w:proofErr w:type="gramEnd"/>
      <w:r>
        <w:t xml:space="preserve"> confidential all information submitted by a Supplier that it identifies as being commercially sensitive</w:t>
      </w:r>
    </w:p>
    <w:p w14:paraId="0C63448F" w14:textId="05E3DF34" w:rsidR="00DF644D" w:rsidRDefault="00DF644D" w:rsidP="002D5063">
      <w:pPr>
        <w:pStyle w:val="BodyText1"/>
        <w:ind w:left="714" w:hanging="357"/>
      </w:pPr>
      <w:r>
        <w:t>b.</w:t>
      </w:r>
      <w:r>
        <w:tab/>
      </w:r>
      <w:proofErr w:type="gramStart"/>
      <w:r>
        <w:t>consult</w:t>
      </w:r>
      <w:proofErr w:type="gramEnd"/>
      <w:r>
        <w:t xml:space="preserve"> with a Supplier about commercially sensitive information before </w:t>
      </w:r>
      <w:proofErr w:type="gramStart"/>
      <w:r>
        <w:t>making a decision</w:t>
      </w:r>
      <w:proofErr w:type="gramEnd"/>
      <w:r>
        <w:t xml:space="preserve"> on any FOIA requests and EIR requests received</w:t>
      </w:r>
      <w:r w:rsidR="009D6BE8">
        <w:t>.</w:t>
      </w:r>
      <w:r>
        <w:t xml:space="preserve"> </w:t>
      </w:r>
    </w:p>
    <w:p w14:paraId="5749CF48" w14:textId="77777777" w:rsidR="00DF644D" w:rsidRDefault="00DF644D" w:rsidP="002840CF">
      <w:pPr>
        <w:pStyle w:val="BodyText1"/>
        <w:numPr>
          <w:ilvl w:val="0"/>
          <w:numId w:val="5"/>
        </w:numPr>
        <w:ind w:left="357" w:hanging="357"/>
      </w:pPr>
      <w: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Default="00DF644D" w:rsidP="005963DA">
      <w:pPr>
        <w:pStyle w:val="Heading2"/>
        <w:numPr>
          <w:ilvl w:val="0"/>
          <w:numId w:val="0"/>
        </w:numPr>
      </w:pPr>
      <w:bookmarkStart w:id="29" w:name="_Toc214868681"/>
      <w:r>
        <w:t>Requirements on sub-contractors and consortium</w:t>
      </w:r>
      <w:bookmarkEnd w:id="29"/>
    </w:p>
    <w:p w14:paraId="6C23AD6B" w14:textId="77777777" w:rsidR="00DF644D" w:rsidRPr="007B2DC3" w:rsidRDefault="00DF644D" w:rsidP="002840CF">
      <w:pPr>
        <w:pStyle w:val="BodyText1"/>
        <w:numPr>
          <w:ilvl w:val="0"/>
          <w:numId w:val="5"/>
        </w:numPr>
        <w:ind w:left="357" w:hanging="357"/>
      </w:pPr>
      <w:r>
        <w:t xml:space="preserve">If requested to do so by the Authority, a Supplier will be required to </w:t>
      </w:r>
      <w:proofErr w:type="gramStart"/>
      <w:r>
        <w:t>enter into</w:t>
      </w:r>
      <w:proofErr w:type="gramEnd"/>
      <w:r>
        <w:t xml:space="preserve"> a legal arrangement with other members of a consortium or with any parties which are relied on </w:t>
      </w:r>
      <w:proofErr w:type="gramStart"/>
      <w:r>
        <w:t>in order to</w:t>
      </w:r>
      <w:proofErr w:type="gramEnd"/>
      <w:r>
        <w:t xml:space="preserve"> satisfy the conditions of participation relating to this Procurement (in accordance with section 72 of the Act). Acceptance of this request shall be considered </w:t>
      </w:r>
      <w:r>
        <w:lastRenderedPageBreak/>
        <w:t xml:space="preserve">a mandatory requirement and failure to accept the same may result in the Supplier’s </w:t>
      </w:r>
      <w:r w:rsidRPr="007B2DC3">
        <w:t>exclusion from the Procurement.</w:t>
      </w:r>
    </w:p>
    <w:p w14:paraId="2FC0DE1A" w14:textId="77777777" w:rsidR="00DF644D" w:rsidRPr="007B2DC3" w:rsidRDefault="00DF644D" w:rsidP="005963DA">
      <w:pPr>
        <w:pStyle w:val="Heading2"/>
        <w:numPr>
          <w:ilvl w:val="0"/>
          <w:numId w:val="0"/>
        </w:numPr>
      </w:pPr>
      <w:bookmarkStart w:id="30" w:name="_Toc214868682"/>
      <w:r w:rsidRPr="007B2DC3">
        <w:t>Parent company guarantee or other securities</w:t>
      </w:r>
      <w:bookmarkEnd w:id="30"/>
    </w:p>
    <w:p w14:paraId="15156B6E" w14:textId="433B9D56" w:rsidR="00DF644D" w:rsidRPr="007B2DC3" w:rsidRDefault="00DF644D" w:rsidP="002840CF">
      <w:pPr>
        <w:pStyle w:val="BodyText1"/>
        <w:numPr>
          <w:ilvl w:val="0"/>
          <w:numId w:val="5"/>
        </w:numPr>
        <w:ind w:left="357" w:hanging="357"/>
      </w:pPr>
      <w:r w:rsidRPr="007B2DC3">
        <w:t>The Authority reserves the right to require a parent company guarantee or alternative equivalent form of security should the Supplier be successful in this Procurement.</w:t>
      </w:r>
    </w:p>
    <w:p w14:paraId="71C72895" w14:textId="77777777" w:rsidR="00DF644D" w:rsidRDefault="00DF644D" w:rsidP="002840CF">
      <w:pPr>
        <w:pStyle w:val="BodyText1"/>
        <w:numPr>
          <w:ilvl w:val="0"/>
          <w:numId w:val="5"/>
        </w:numPr>
        <w:ind w:left="357" w:hanging="357"/>
      </w:pPr>
      <w: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Default="00DF644D" w:rsidP="002840CF">
      <w:pPr>
        <w:pStyle w:val="BodyText1"/>
        <w:numPr>
          <w:ilvl w:val="0"/>
          <w:numId w:val="5"/>
        </w:numPr>
        <w:ind w:left="357" w:hanging="357"/>
      </w:pPr>
      <w: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Default="00DF644D" w:rsidP="005963DA">
      <w:pPr>
        <w:pStyle w:val="Heading2"/>
        <w:numPr>
          <w:ilvl w:val="0"/>
          <w:numId w:val="0"/>
        </w:numPr>
      </w:pPr>
      <w:bookmarkStart w:id="31" w:name="_Toc214868683"/>
      <w:r>
        <w:t>Non-collusion, non-canvassing</w:t>
      </w:r>
      <w:bookmarkEnd w:id="31"/>
    </w:p>
    <w:p w14:paraId="37B43A6D" w14:textId="6BCABBF1" w:rsidR="00DF644D" w:rsidRDefault="00DF644D" w:rsidP="002840CF">
      <w:pPr>
        <w:pStyle w:val="BodyText1"/>
        <w:numPr>
          <w:ilvl w:val="0"/>
          <w:numId w:val="5"/>
        </w:numPr>
        <w:ind w:left="357" w:hanging="357"/>
      </w:pPr>
      <w:r>
        <w:t xml:space="preserve">Any attempt by a Supplier or </w:t>
      </w:r>
      <w:r w:rsidR="009D6BE8">
        <w:t xml:space="preserve">its </w:t>
      </w:r>
      <w:r>
        <w:t>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Default="00DF644D" w:rsidP="002840CF">
      <w:pPr>
        <w:pStyle w:val="BodyText1"/>
        <w:numPr>
          <w:ilvl w:val="0"/>
          <w:numId w:val="5"/>
        </w:numPr>
        <w:ind w:left="357" w:hanging="357"/>
      </w:pPr>
      <w:r>
        <w:t>Specifically, Suppliers must not directly or indirectly at any time:</w:t>
      </w:r>
    </w:p>
    <w:p w14:paraId="59CEC553" w14:textId="55ECCD54" w:rsidR="00DF644D" w:rsidRDefault="00DF644D" w:rsidP="0061744B">
      <w:pPr>
        <w:pStyle w:val="BodyText1"/>
        <w:ind w:left="714" w:hanging="357"/>
      </w:pPr>
      <w:r>
        <w:t>a.</w:t>
      </w:r>
      <w:r>
        <w:tab/>
        <w:t>devise or amend the content of their submissions in accordance with any agreement or arrangement with any other person, other than in good faith with a person who is a proposed partner, subcontractor, consortium member</w:t>
      </w:r>
      <w:r w:rsidR="009D6BE8">
        <w:t>,</w:t>
      </w:r>
      <w:r>
        <w:t xml:space="preserve"> insurance provider or provider of finance</w:t>
      </w:r>
    </w:p>
    <w:p w14:paraId="6C74F19E" w14:textId="4DB2C300" w:rsidR="00DF644D" w:rsidRDefault="00DF644D" w:rsidP="0061744B">
      <w:pPr>
        <w:pStyle w:val="BodyText1"/>
        <w:ind w:left="714" w:hanging="357"/>
      </w:pPr>
      <w:r>
        <w:t>b.</w:t>
      </w:r>
      <w:r>
        <w:tab/>
      </w:r>
      <w:proofErr w:type="gramStart"/>
      <w:r>
        <w:t>enter</w:t>
      </w:r>
      <w:proofErr w:type="gramEnd"/>
      <w:r>
        <w:t xml:space="preserve"> into any agreement or arrangement with any other person as to the form or content of any other submission or</w:t>
      </w:r>
      <w:r w:rsidR="009D6BE8">
        <w:t xml:space="preserve"> pay or</w:t>
      </w:r>
      <w:r>
        <w:t xml:space="preserve"> offer to pay any sum of money or valuable consideration to any person to effect changes to the form or content of any other submission</w:t>
      </w:r>
    </w:p>
    <w:p w14:paraId="5D662CE3" w14:textId="77777777" w:rsidR="00DF644D" w:rsidRDefault="00DF644D" w:rsidP="0061744B">
      <w:pPr>
        <w:pStyle w:val="BodyText1"/>
        <w:ind w:left="714" w:hanging="357"/>
      </w:pPr>
      <w:r>
        <w:t>c.</w:t>
      </w:r>
      <w:r>
        <w:tab/>
      </w:r>
      <w:proofErr w:type="gramStart"/>
      <w:r>
        <w:t>enter</w:t>
      </w:r>
      <w:proofErr w:type="gramEnd"/>
      <w:r>
        <w:t xml:space="preserve"> into any agreement or arrangement with any other person that has the effect of prohibiting or excluding that person from submitting a response in this Procurement</w:t>
      </w:r>
    </w:p>
    <w:p w14:paraId="33D4EF49" w14:textId="77777777" w:rsidR="00DF644D" w:rsidRDefault="00DF644D" w:rsidP="0061744B">
      <w:pPr>
        <w:pStyle w:val="BodyText1"/>
        <w:ind w:left="714" w:hanging="357"/>
      </w:pPr>
      <w:r>
        <w:t>d.</w:t>
      </w:r>
      <w:r>
        <w:tab/>
      </w:r>
      <w:proofErr w:type="gramStart"/>
      <w:r>
        <w:t>canvass</w:t>
      </w:r>
      <w:proofErr w:type="gramEnd"/>
      <w:r>
        <w:t xml:space="preserve"> any employees, members or agents of the Authority in relation to this Procurement</w:t>
      </w:r>
    </w:p>
    <w:p w14:paraId="0AEC8FCD" w14:textId="77777777" w:rsidR="00DF644D" w:rsidRDefault="00DF644D" w:rsidP="0061744B">
      <w:pPr>
        <w:pStyle w:val="BodyText1"/>
        <w:ind w:left="714" w:hanging="357"/>
      </w:pPr>
      <w:r>
        <w:t>e.</w:t>
      </w:r>
      <w:r>
        <w:tab/>
        <w:t>attempt to obtain information from any of the employees, members or agents of the Authority or their advisors concerning another Supplier or submission</w:t>
      </w:r>
    </w:p>
    <w:p w14:paraId="30555B81" w14:textId="332D316F" w:rsidR="00DF644D" w:rsidRDefault="00DF644D" w:rsidP="0061744B">
      <w:pPr>
        <w:pStyle w:val="BodyText1"/>
        <w:ind w:left="714" w:hanging="357"/>
      </w:pPr>
      <w:r>
        <w:t>f.</w:t>
      </w:r>
      <w:r>
        <w:tab/>
      </w:r>
      <w:proofErr w:type="gramStart"/>
      <w:r>
        <w:t>carry</w:t>
      </w:r>
      <w:proofErr w:type="gramEnd"/>
      <w:r>
        <w:t xml:space="preserve"> out any other co-operation or collusion with another Supplier or any other person which the Authority considers capable of undermining fair competition</w:t>
      </w:r>
      <w:r w:rsidR="009D6BE8">
        <w:t>.</w:t>
      </w:r>
    </w:p>
    <w:p w14:paraId="55A427E6" w14:textId="77777777" w:rsidR="00DF644D" w:rsidRDefault="00DF644D" w:rsidP="002840CF">
      <w:pPr>
        <w:pStyle w:val="BodyText1"/>
        <w:numPr>
          <w:ilvl w:val="0"/>
          <w:numId w:val="5"/>
        </w:numPr>
        <w:ind w:left="357" w:hanging="357"/>
      </w:pPr>
      <w:r>
        <w:lastRenderedPageBreak/>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Default="00DF644D" w:rsidP="00D952C6">
      <w:pPr>
        <w:pStyle w:val="Heading3"/>
      </w:pPr>
      <w:r>
        <w:t>Conflicts of interest</w:t>
      </w:r>
    </w:p>
    <w:p w14:paraId="08988506" w14:textId="3F0A48B1" w:rsidR="00DF644D" w:rsidRDefault="0086469D" w:rsidP="002840CF">
      <w:pPr>
        <w:pStyle w:val="BodyText1"/>
        <w:numPr>
          <w:ilvl w:val="0"/>
          <w:numId w:val="5"/>
        </w:numPr>
        <w:ind w:left="357" w:hanging="357"/>
      </w:pPr>
      <w:r w:rsidRPr="00AA207D">
        <w:rPr>
          <w:rFonts w:ascii="Arial" w:hAnsi="Arial" w:cs="Arial"/>
        </w:rPr>
        <w:t xml:space="preserve">The Authority is under a duty to identify and keep under review any actual or potential conflicts of interest amongst the persons acting on its behalf in this </w:t>
      </w:r>
      <w:r>
        <w:rPr>
          <w:rFonts w:ascii="Arial" w:hAnsi="Arial" w:cs="Arial"/>
        </w:rPr>
        <w:t>Procurement</w:t>
      </w:r>
      <w:r w:rsidRPr="00AA207D">
        <w:rPr>
          <w:rFonts w:ascii="Arial" w:hAnsi="Arial" w:cs="Arial"/>
        </w:rPr>
        <w:t xml:space="preserve"> and to take reasonable steps to ensure that any conflict of interest does not put any Supplier at an unfair advantage or disadvantage.</w:t>
      </w:r>
      <w:r>
        <w:rPr>
          <w:rFonts w:ascii="Arial" w:hAnsi="Arial" w:cs="Arial"/>
        </w:rPr>
        <w:t xml:space="preserve"> </w:t>
      </w:r>
      <w:r w:rsidR="00DF644D">
        <w:t xml:space="preserve">Suppliers must notify the Authority immediately of any actual, potential or perceived conflict of interest. </w:t>
      </w:r>
    </w:p>
    <w:p w14:paraId="5E33E51C" w14:textId="77777777" w:rsidR="00DF644D" w:rsidRDefault="00DF644D" w:rsidP="002840CF">
      <w:pPr>
        <w:pStyle w:val="BodyText1"/>
        <w:numPr>
          <w:ilvl w:val="0"/>
          <w:numId w:val="5"/>
        </w:numPr>
        <w:ind w:left="357" w:hanging="357"/>
      </w:pPr>
      <w:r>
        <w:t>In the event of any actual, potential or perceived conflict of interest, the Authority shall in its absolute discretion decide on the appropriate course of action. The Authority reserves the right to:</w:t>
      </w:r>
    </w:p>
    <w:p w14:paraId="07E94A47" w14:textId="6F8D3403" w:rsidR="00DF644D" w:rsidRDefault="00DF644D" w:rsidP="0061744B">
      <w:pPr>
        <w:pStyle w:val="BodyText1"/>
        <w:ind w:left="714" w:hanging="357"/>
      </w:pPr>
      <w:r>
        <w:t>a.</w:t>
      </w:r>
      <w:r>
        <w:tab/>
      </w:r>
      <w:proofErr w:type="gramStart"/>
      <w:r>
        <w:t>exclude</w:t>
      </w:r>
      <w:proofErr w:type="gramEnd"/>
      <w:r>
        <w:t xml:space="preserve"> any Supplier that fails to notify the Authority of an actual, potential or perceived conflict of interest, or where an actual conflict of interest exists</w:t>
      </w:r>
      <w:r w:rsidR="0086469D">
        <w:t xml:space="preserve"> which cannot be avoided</w:t>
      </w:r>
    </w:p>
    <w:p w14:paraId="1BD336E0" w14:textId="2BD7049D" w:rsidR="00DF644D" w:rsidRDefault="00DF644D" w:rsidP="0061744B">
      <w:pPr>
        <w:pStyle w:val="BodyText1"/>
        <w:ind w:left="714" w:hanging="357"/>
      </w:pPr>
      <w:r>
        <w:t>b.</w:t>
      </w:r>
      <w:r>
        <w:tab/>
      </w:r>
      <w:proofErr w:type="gramStart"/>
      <w:r>
        <w:t>request</w:t>
      </w:r>
      <w:proofErr w:type="gramEnd"/>
      <w:r>
        <w:t xml:space="preserve"> further information from any Supplier and require any Supplier to take reasonable steps to mitigate a conflict of interest. This may include requiring any Supplier to enter into a specific conflict of interest agreement with the Authority. Failure to </w:t>
      </w:r>
      <w:r w:rsidR="00203A2B">
        <w:t>take the steps requested by the Authority</w:t>
      </w:r>
      <w:r>
        <w:t xml:space="preserve"> may result in the Supplier being excluded from participating in, or progressing as part of, the </w:t>
      </w:r>
      <w:r w:rsidR="00203A2B">
        <w:t xml:space="preserve">procurement </w:t>
      </w:r>
      <w:r>
        <w:t>process</w:t>
      </w:r>
      <w:r w:rsidR="0086469D">
        <w:t>.</w:t>
      </w:r>
      <w:r>
        <w:t xml:space="preserve"> </w:t>
      </w:r>
    </w:p>
    <w:p w14:paraId="10ECE1E1" w14:textId="2B1DEA56" w:rsidR="00DF644D" w:rsidRDefault="00DF644D" w:rsidP="002840CF">
      <w:pPr>
        <w:pStyle w:val="BodyText1"/>
        <w:numPr>
          <w:ilvl w:val="0"/>
          <w:numId w:val="5"/>
        </w:numPr>
        <w:ind w:left="357" w:hanging="357"/>
      </w:pPr>
      <w:r>
        <w:t xml:space="preserve">The Authority strongly encourages Suppliers to contact the Authority as soon as possible using the Portal should </w:t>
      </w:r>
      <w:r w:rsidR="0086469D">
        <w:t xml:space="preserve">they </w:t>
      </w:r>
      <w:r>
        <w:t xml:space="preserve">have any concerns regarding actual, potential or perceived conflicts of interest. </w:t>
      </w:r>
    </w:p>
    <w:p w14:paraId="6AA2388C" w14:textId="77777777" w:rsidR="00DF644D" w:rsidRDefault="00DF644D" w:rsidP="00D952C6">
      <w:pPr>
        <w:pStyle w:val="Heading3"/>
      </w:pPr>
      <w:r>
        <w:t>Conflict assessments</w:t>
      </w:r>
    </w:p>
    <w:p w14:paraId="6C603B75" w14:textId="4BDB1742" w:rsidR="00DF644D" w:rsidRDefault="00DF644D" w:rsidP="002840CF">
      <w:pPr>
        <w:pStyle w:val="BodyText1"/>
        <w:numPr>
          <w:ilvl w:val="0"/>
          <w:numId w:val="5"/>
        </w:numPr>
        <w:ind w:left="357" w:hanging="357"/>
      </w:pPr>
      <w:r>
        <w:t>The Authority confirms that, prior to the issue of the Tender Notice in this Procurement, a conflict assessment has been prepared in accordance with the Act.</w:t>
      </w:r>
    </w:p>
    <w:p w14:paraId="42D5E739" w14:textId="77777777" w:rsidR="00DF644D" w:rsidRDefault="00DF644D" w:rsidP="00D952C6">
      <w:pPr>
        <w:pStyle w:val="Heading3"/>
      </w:pPr>
      <w:r>
        <w:t xml:space="preserve">Intellectual property </w:t>
      </w:r>
    </w:p>
    <w:p w14:paraId="231448F4" w14:textId="7A552F85" w:rsidR="00DF644D" w:rsidRDefault="00DF644D" w:rsidP="002840CF">
      <w:pPr>
        <w:pStyle w:val="BodyText1"/>
        <w:numPr>
          <w:ilvl w:val="0"/>
          <w:numId w:val="5"/>
        </w:numPr>
        <w:ind w:left="357" w:hanging="357"/>
      </w:pPr>
      <w:r>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Suppliers </w:t>
      </w:r>
      <w:r w:rsidR="0086469D">
        <w:t xml:space="preserve">must </w:t>
      </w:r>
      <w:r>
        <w:t>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5C3F8AE9" w14:textId="3F7E5EDC" w:rsidR="00DF644D" w:rsidRDefault="00DF644D" w:rsidP="005963DA">
      <w:pPr>
        <w:pStyle w:val="Heading2"/>
        <w:numPr>
          <w:ilvl w:val="0"/>
          <w:numId w:val="0"/>
        </w:numPr>
      </w:pPr>
      <w:bookmarkStart w:id="32" w:name="_Toc214868684"/>
      <w:r>
        <w:t>Ethical walls agreement</w:t>
      </w:r>
      <w:bookmarkEnd w:id="32"/>
    </w:p>
    <w:p w14:paraId="6FF58B37" w14:textId="5A550617" w:rsidR="007B2DC3" w:rsidRDefault="007B2DC3" w:rsidP="007B2DC3">
      <w:pPr>
        <w:pStyle w:val="BodyText1"/>
        <w:numPr>
          <w:ilvl w:val="0"/>
          <w:numId w:val="5"/>
        </w:numPr>
        <w:ind w:left="357" w:hanging="357"/>
      </w:pPr>
      <w:r>
        <w:t>Not used</w:t>
      </w:r>
    </w:p>
    <w:p w14:paraId="09A548C0" w14:textId="77777777" w:rsidR="007B2DC3" w:rsidRPr="007B2DC3" w:rsidRDefault="007B2DC3" w:rsidP="007B2DC3"/>
    <w:p w14:paraId="00208B87" w14:textId="77777777" w:rsidR="00DF644D" w:rsidRDefault="00DF644D" w:rsidP="004A5BF8">
      <w:pPr>
        <w:pStyle w:val="Heading3"/>
      </w:pPr>
      <w:r>
        <w:lastRenderedPageBreak/>
        <w:t>Anti-competitive behaviour</w:t>
      </w:r>
    </w:p>
    <w:p w14:paraId="7B9569D8" w14:textId="77777777" w:rsidR="00DF644D" w:rsidRDefault="00DF644D" w:rsidP="002840CF">
      <w:pPr>
        <w:pStyle w:val="BodyText1"/>
        <w:numPr>
          <w:ilvl w:val="0"/>
          <w:numId w:val="5"/>
        </w:numPr>
        <w:ind w:left="357" w:hanging="357"/>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2840CF">
      <w:pPr>
        <w:pStyle w:val="BodyText1"/>
        <w:numPr>
          <w:ilvl w:val="0"/>
          <w:numId w:val="5"/>
        </w:numPr>
        <w:ind w:left="357" w:hanging="357"/>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74AA372A" w:rsidR="00DF644D" w:rsidRDefault="00DF644D" w:rsidP="002840CF">
      <w:pPr>
        <w:pStyle w:val="BodyText1"/>
        <w:numPr>
          <w:ilvl w:val="0"/>
          <w:numId w:val="5"/>
        </w:numPr>
        <w:ind w:left="357" w:hanging="357"/>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41134137" w14:textId="067E091E" w:rsidR="00255AE1" w:rsidRDefault="00255AE1" w:rsidP="00241DBB">
      <w:pPr>
        <w:pStyle w:val="Heading3"/>
      </w:pPr>
      <w:r>
        <w:t>The Authority’s right to reject</w:t>
      </w:r>
    </w:p>
    <w:p w14:paraId="32B1B643" w14:textId="60B64110" w:rsidR="00255AE1" w:rsidRDefault="00255AE1" w:rsidP="002840CF">
      <w:pPr>
        <w:pStyle w:val="BodyText1"/>
        <w:numPr>
          <w:ilvl w:val="0"/>
          <w:numId w:val="5"/>
        </w:numPr>
      </w:pPr>
      <w:r>
        <w:t>The Authority reserves the right to reject or disqualify a Supplier, its associated persons or intended sub-contractors at any time during the Procurement procedure where:</w:t>
      </w:r>
    </w:p>
    <w:p w14:paraId="66A9FEF4" w14:textId="5EBB9272" w:rsidR="00255AE1" w:rsidRDefault="00255AE1" w:rsidP="002840CF">
      <w:pPr>
        <w:pStyle w:val="BodyText1"/>
        <w:numPr>
          <w:ilvl w:val="1"/>
          <w:numId w:val="5"/>
        </w:numPr>
      </w:pPr>
      <w:r>
        <w:t>any PSQ Response or Tender is submitted late, is completed incorrectly, is materially incomplete or fails to meet the Authority’s submission requirements which have been notified to the relevant Supplier;</w:t>
      </w:r>
    </w:p>
    <w:p w14:paraId="22A6D5F2" w14:textId="49DE707C" w:rsidR="00255AE1" w:rsidRDefault="00255AE1" w:rsidP="002840CF">
      <w:pPr>
        <w:pStyle w:val="BodyText1"/>
        <w:numPr>
          <w:ilvl w:val="1"/>
          <w:numId w:val="5"/>
        </w:numPr>
      </w:pPr>
      <w:r>
        <w:t>the Supplier is unable to satisfy conditions of participation at any stage during the Procurement;</w:t>
      </w:r>
    </w:p>
    <w:p w14:paraId="756A6FB1" w14:textId="7DCFCC3D" w:rsidR="00255AE1" w:rsidRDefault="00255AE1" w:rsidP="002840CF">
      <w:pPr>
        <w:pStyle w:val="BodyText1"/>
        <w:numPr>
          <w:ilvl w:val="1"/>
          <w:numId w:val="5"/>
        </w:numPr>
      </w:pPr>
      <w:r>
        <w:t>the Supplier, or any of its associated persons or intended sub-contractors is guilty of material misrepresentation in relation to any representation and submissions made in connection with this Procurement including in the (but not limited to) Supplier’s PSQ Response, Tender and any clarification responses; or</w:t>
      </w:r>
    </w:p>
    <w:p w14:paraId="0F4BBDC8" w14:textId="1242A48B" w:rsidR="00255AE1" w:rsidRDefault="00255AE1" w:rsidP="002840CF">
      <w:pPr>
        <w:pStyle w:val="BodyText1"/>
        <w:numPr>
          <w:ilvl w:val="1"/>
          <w:numId w:val="5"/>
        </w:numPr>
      </w:pPr>
      <w:r>
        <w:t>the Supplier, or any of its associated persons or intended sub-contractors, contravenes any of the terms and conditions set out in this document or any other document issued by the Authority in connection with this Procurement, or in any updated and additional instructions issued by the Authority.</w:t>
      </w:r>
    </w:p>
    <w:p w14:paraId="4174484B" w14:textId="26B9A44B" w:rsidR="00255AE1" w:rsidRDefault="00255AE1" w:rsidP="002840CF">
      <w:pPr>
        <w:pStyle w:val="BodyText1"/>
        <w:numPr>
          <w:ilvl w:val="0"/>
          <w:numId w:val="5"/>
        </w:numPr>
      </w:pPr>
      <w:r>
        <w:t>The disqualification of a Supplier or any of its associated persons or intended sub-contractors will not prejudice any other civil remedy available to the Authority and will not prejudice any criminal liability that such conduct may attract.</w:t>
      </w:r>
    </w:p>
    <w:p w14:paraId="5ED0F48F" w14:textId="77777777" w:rsidR="00DF644D" w:rsidRDefault="00DF644D" w:rsidP="004A5BF8">
      <w:pPr>
        <w:pStyle w:val="Heading3"/>
      </w:pPr>
      <w:r>
        <w:t xml:space="preserve">Contract </w:t>
      </w:r>
    </w:p>
    <w:p w14:paraId="11430352" w14:textId="503305DF" w:rsidR="00DF644D" w:rsidRDefault="00DF644D" w:rsidP="002840CF">
      <w:pPr>
        <w:pStyle w:val="BodyText1"/>
        <w:numPr>
          <w:ilvl w:val="0"/>
          <w:numId w:val="5"/>
        </w:numPr>
        <w:ind w:left="357" w:hanging="357"/>
      </w:pPr>
      <w:r>
        <w:t xml:space="preserve">A </w:t>
      </w:r>
      <w:r w:rsidR="00203A2B">
        <w:t xml:space="preserve">Tender </w:t>
      </w:r>
      <w:r>
        <w:t xml:space="preserve">is an offer to </w:t>
      </w:r>
      <w:proofErr w:type="gramStart"/>
      <w:r>
        <w:t>enter into</w:t>
      </w:r>
      <w:proofErr w:type="gramEnd"/>
      <w:r>
        <w:t xml:space="preserve"> a contract on the terms of the contents of the </w:t>
      </w:r>
      <w:r w:rsidR="00203A2B">
        <w:t xml:space="preserve">Tender </w:t>
      </w:r>
      <w:r w:rsidR="0086469D">
        <w:t>and the Contract</w:t>
      </w:r>
      <w:r>
        <w:t xml:space="preserve">. Notification of an award decision does not constitute acceptance by the Authority. Any document submitted by a Supplier shall only have contractual effect when it is contained within an executed written contract. </w:t>
      </w:r>
    </w:p>
    <w:p w14:paraId="52E30D72" w14:textId="2619CFEB" w:rsidR="00DF644D" w:rsidRDefault="00DF644D" w:rsidP="002840CF">
      <w:pPr>
        <w:pStyle w:val="BodyText1"/>
        <w:numPr>
          <w:ilvl w:val="0"/>
          <w:numId w:val="5"/>
        </w:numPr>
        <w:ind w:left="357" w:hanging="357"/>
      </w:pPr>
      <w:r>
        <w:lastRenderedPageBreak/>
        <w:t xml:space="preserve">The Supplier’s </w:t>
      </w:r>
      <w:r w:rsidR="00203A2B">
        <w:t xml:space="preserve">Tender </w:t>
      </w:r>
      <w:r>
        <w:t xml:space="preserve">must remain valid for acceptance for a period of </w:t>
      </w:r>
      <w:r w:rsidR="007B2DC3">
        <w:t>90 days</w:t>
      </w:r>
      <w:r>
        <w:t xml:space="preserve"> from the date of its submission or</w:t>
      </w:r>
      <w:r w:rsidR="004935C6">
        <w:t>, if later,</w:t>
      </w:r>
      <w:r>
        <w:t xml:space="preserve"> until any procurement challenge/s have been resolved. </w:t>
      </w:r>
    </w:p>
    <w:p w14:paraId="6B87B224" w14:textId="77777777" w:rsidR="00DF644D" w:rsidRDefault="00DF644D" w:rsidP="004A5BF8">
      <w:pPr>
        <w:pStyle w:val="Heading3"/>
      </w:pPr>
      <w:r>
        <w:t xml:space="preserve">Supplier withdrawal </w:t>
      </w:r>
    </w:p>
    <w:p w14:paraId="4FCA0637" w14:textId="4077B068" w:rsidR="00DF644D" w:rsidRDefault="00DF644D" w:rsidP="002840CF">
      <w:pPr>
        <w:pStyle w:val="BodyText1"/>
        <w:numPr>
          <w:ilvl w:val="0"/>
          <w:numId w:val="5"/>
        </w:numPr>
        <w:ind w:left="357" w:hanging="357"/>
      </w:pPr>
      <w:r>
        <w:t>Suppliers may withdraw from the Procurement at any time before the tender</w:t>
      </w:r>
      <w:r w:rsidR="001025C2">
        <w:t xml:space="preserve"> </w:t>
      </w:r>
      <w:r>
        <w:t>submission deadline by providing written notification to the Authority via the Portal.</w:t>
      </w:r>
      <w:r w:rsidR="004935C6">
        <w:t xml:space="preserve">  </w:t>
      </w:r>
    </w:p>
    <w:p w14:paraId="3B6AF4D5" w14:textId="0897DB90" w:rsidR="00DF644D" w:rsidRDefault="00DF644D" w:rsidP="004A5BF8">
      <w:pPr>
        <w:pStyle w:val="Heading3"/>
      </w:pPr>
      <w:r>
        <w:t>Supplier eligibility</w:t>
      </w:r>
    </w:p>
    <w:p w14:paraId="113F5AFC" w14:textId="77777777" w:rsidR="00DF644D" w:rsidRDefault="00DF644D" w:rsidP="002840CF">
      <w:pPr>
        <w:pStyle w:val="BodyText1"/>
        <w:numPr>
          <w:ilvl w:val="0"/>
          <w:numId w:val="5"/>
        </w:numPr>
        <w:ind w:left="357" w:hanging="357"/>
      </w:pPr>
      <w:r>
        <w:t xml:space="preserve">Suppliers are reminded that the eligibility requirements in this document, Tender Notice and all other associated tender documents </w:t>
      </w:r>
      <w:proofErr w:type="gramStart"/>
      <w:r>
        <w:t>apply to the Procurement at all times</w:t>
      </w:r>
      <w:proofErr w:type="gramEnd"/>
      <w:r>
        <w:t>.</w:t>
      </w:r>
    </w:p>
    <w:p w14:paraId="46923396" w14:textId="00D5A64F" w:rsidR="00DF644D" w:rsidRDefault="218D97C9" w:rsidP="002840CF">
      <w:pPr>
        <w:pStyle w:val="BodyText1"/>
        <w:numPr>
          <w:ilvl w:val="0"/>
          <w:numId w:val="5"/>
        </w:numPr>
        <w:ind w:left="357" w:hanging="357"/>
      </w:pPr>
      <w:r>
        <w:t xml:space="preserve">The Authority reserves the right to require any Supplier to provide such further information as the Authority may require (and for the avoidance of doubt, the Authority may make multiple requests) as to any issue addressed in the </w:t>
      </w:r>
      <w:r w:rsidR="008436CA">
        <w:t>procurement process</w:t>
      </w:r>
      <w:r>
        <w:t xml:space="preserve">, including, but not limited to, the economic and financial standing of the Supplier at any stage of the Procurement and prior to the notification of the award decision and/or the award of the </w:t>
      </w:r>
      <w:r w:rsidR="004935C6">
        <w:t>Contract</w:t>
      </w:r>
      <w:r>
        <w:t>.</w:t>
      </w:r>
    </w:p>
    <w:p w14:paraId="71D1EA9D" w14:textId="77777777" w:rsidR="00DF644D" w:rsidRDefault="00DF644D" w:rsidP="002840CF">
      <w:pPr>
        <w:pStyle w:val="BodyText1"/>
        <w:numPr>
          <w:ilvl w:val="0"/>
          <w:numId w:val="5"/>
        </w:numPr>
        <w:ind w:left="357" w:hanging="357"/>
      </w:pPr>
      <w:r>
        <w:t>The Authority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4A5BF8">
      <w:pPr>
        <w:pStyle w:val="Heading3"/>
      </w:pPr>
      <w:r>
        <w:t xml:space="preserve">Supplier warranties </w:t>
      </w:r>
    </w:p>
    <w:p w14:paraId="500EE54F" w14:textId="77777777" w:rsidR="00DF644D" w:rsidRDefault="00DF644D" w:rsidP="002840CF">
      <w:pPr>
        <w:pStyle w:val="BodyText1"/>
        <w:numPr>
          <w:ilvl w:val="0"/>
          <w:numId w:val="5"/>
        </w:numPr>
        <w:ind w:left="357" w:hanging="357"/>
      </w:pPr>
      <w:r>
        <w:t>In responding to this invitation, the Supplier warrants, represents and undertakes to the Authority that:</w:t>
      </w:r>
    </w:p>
    <w:p w14:paraId="667FD59F" w14:textId="77777777" w:rsidR="00DF644D" w:rsidRDefault="00DF644D" w:rsidP="0061744B">
      <w:pPr>
        <w:pStyle w:val="BodyText1"/>
        <w:ind w:left="714" w:hanging="357"/>
      </w:pPr>
      <w:r>
        <w:t>a.</w:t>
      </w:r>
      <w:r>
        <w:tab/>
        <w:t>it understands and has complied with the conditions set out in this document</w:t>
      </w:r>
    </w:p>
    <w:p w14:paraId="5133315E" w14:textId="77777777" w:rsidR="00DF644D" w:rsidRDefault="00DF644D" w:rsidP="0061744B">
      <w:pPr>
        <w:pStyle w:val="BodyText1"/>
        <w:ind w:left="714" w:hanging="357"/>
      </w:pPr>
      <w:r>
        <w:t>b.</w:t>
      </w:r>
      <w: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61744B">
      <w:pPr>
        <w:pStyle w:val="BodyText1"/>
        <w:ind w:left="714" w:hanging="357"/>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0DFCB42F" w:rsidR="00DF644D" w:rsidRDefault="00DF644D" w:rsidP="0061744B">
      <w:pPr>
        <w:pStyle w:val="BodyText1"/>
        <w:ind w:left="714" w:hanging="357"/>
      </w:pPr>
      <w:r>
        <w:lastRenderedPageBreak/>
        <w:t>d.</w:t>
      </w:r>
      <w:r>
        <w:tab/>
        <w:t xml:space="preserve">it has full power and authority to respond to this document and to perform the obligations in relation to the </w:t>
      </w:r>
      <w:r w:rsidR="004935C6">
        <w:t xml:space="preserve">Contract </w:t>
      </w:r>
      <w:r>
        <w:t>and will, if requested, promptly produce evidence of such to the Authority</w:t>
      </w:r>
      <w:r w:rsidR="004935C6">
        <w:t>.</w:t>
      </w:r>
      <w:r>
        <w:t xml:space="preserve"> </w:t>
      </w:r>
    </w:p>
    <w:p w14:paraId="0AD432B2" w14:textId="77777777" w:rsidR="00DF644D" w:rsidRDefault="00DF644D" w:rsidP="002840CF">
      <w:pPr>
        <w:pStyle w:val="BodyText1"/>
        <w:numPr>
          <w:ilvl w:val="0"/>
          <w:numId w:val="5"/>
        </w:numPr>
        <w:ind w:left="357" w:hanging="357"/>
      </w:pPr>
      <w:r>
        <w:t>Suppliers should note that the potential consequences of providing incomplete, inaccurate or misleading information include that:</w:t>
      </w:r>
    </w:p>
    <w:p w14:paraId="09A98BA4" w14:textId="77777777" w:rsidR="00DF644D" w:rsidRDefault="00DF644D" w:rsidP="0061744B">
      <w:pPr>
        <w:pStyle w:val="BodyText1"/>
        <w:ind w:left="714" w:hanging="357"/>
      </w:pPr>
      <w:r>
        <w:t>a.</w:t>
      </w:r>
      <w:r>
        <w:tab/>
        <w:t>the Authority may exclude the Supplier from participating in this Procurement</w:t>
      </w:r>
    </w:p>
    <w:p w14:paraId="485ED62A" w14:textId="289AB818" w:rsidR="00DF644D" w:rsidRDefault="00DF644D" w:rsidP="0061744B">
      <w:pPr>
        <w:pStyle w:val="BodyText1"/>
        <w:ind w:left="714" w:hanging="357"/>
      </w:pPr>
      <w:r>
        <w:t>b.</w:t>
      </w:r>
      <w:r>
        <w:tab/>
        <w:t>the Supplier may be excluded from bidding for contracts under Schedule 7, Paragraph 13 of the Act</w:t>
      </w:r>
    </w:p>
    <w:p w14:paraId="794ADCF3" w14:textId="77777777" w:rsidR="00DF644D" w:rsidRDefault="00DF644D" w:rsidP="0061744B">
      <w:pPr>
        <w:pStyle w:val="BodyText1"/>
        <w:ind w:left="714" w:hanging="357"/>
      </w:pPr>
      <w:r>
        <w:t>c.</w:t>
      </w:r>
      <w:r>
        <w:tab/>
        <w:t>the Authority may rescind any resulting contract under the Misrepresentation Act 1967 and may sue the Supplier for damages</w:t>
      </w:r>
    </w:p>
    <w:p w14:paraId="1BD2E710" w14:textId="1116C16A" w:rsidR="00BF6E1F" w:rsidRPr="00BF6E1F" w:rsidRDefault="00DF644D" w:rsidP="0062648A">
      <w:pPr>
        <w:pStyle w:val="BodyText1"/>
        <w:ind w:left="714" w:hanging="357"/>
      </w:pPr>
      <w:r>
        <w:t>d.</w:t>
      </w:r>
      <w: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r w:rsidR="004935C6">
        <w:t>.</w:t>
      </w:r>
    </w:p>
    <w:p w14:paraId="75636577" w14:textId="7418A8D7" w:rsidR="00DF644D" w:rsidRDefault="00DF644D" w:rsidP="004A5BF8">
      <w:pPr>
        <w:pStyle w:val="Heading3"/>
      </w:pPr>
      <w:r>
        <w:t>Third parties</w:t>
      </w:r>
    </w:p>
    <w:p w14:paraId="01388277" w14:textId="77777777" w:rsidR="00DF644D" w:rsidRDefault="00DF644D" w:rsidP="002840CF">
      <w:pPr>
        <w:pStyle w:val="BodyText1"/>
        <w:numPr>
          <w:ilvl w:val="0"/>
          <w:numId w:val="5"/>
        </w:numPr>
        <w:ind w:left="357" w:hanging="357"/>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4A5BF8">
      <w:pPr>
        <w:pStyle w:val="Heading3"/>
      </w:pPr>
      <w:r>
        <w:t>Applicable law</w:t>
      </w:r>
    </w:p>
    <w:p w14:paraId="29B320D3" w14:textId="77777777" w:rsidR="00DF644D" w:rsidRDefault="00DF644D" w:rsidP="002840CF">
      <w:pPr>
        <w:pStyle w:val="BodyText1"/>
        <w:numPr>
          <w:ilvl w:val="0"/>
          <w:numId w:val="5"/>
        </w:numPr>
        <w:ind w:left="357" w:hanging="357"/>
      </w:pPr>
      <w:r>
        <w:t xml:space="preserve">The law of England is applicable to this Procurement. </w:t>
      </w:r>
    </w:p>
    <w:p w14:paraId="57FF048F" w14:textId="77777777" w:rsidR="002147DD" w:rsidRPr="00170C6F" w:rsidRDefault="00DF644D" w:rsidP="002840CF">
      <w:pPr>
        <w:pStyle w:val="BodyText1"/>
        <w:numPr>
          <w:ilvl w:val="0"/>
          <w:numId w:val="5"/>
        </w:numPr>
        <w:ind w:left="357" w:hanging="357"/>
      </w:pPr>
      <w:r>
        <w:t>Suppliers must agree to submit to the exclusive jurisdiction of the Courts of England and Wales in relation to any dispute arising out of or in connection with this Procurement.</w:t>
      </w:r>
    </w:p>
    <w:p w14:paraId="2689FC4D" w14:textId="77777777" w:rsidR="00BC5C9E" w:rsidRDefault="00BC5C9E" w:rsidP="00BC5C9E"/>
    <w:p w14:paraId="3BCD4B67" w14:textId="77777777" w:rsidR="002F07FC" w:rsidRDefault="002F07FC" w:rsidP="00BC5C9E"/>
    <w:p w14:paraId="2085C05E" w14:textId="77777777" w:rsidR="002F07FC" w:rsidRDefault="002F07FC" w:rsidP="00BC5C9E"/>
    <w:p w14:paraId="1DB3F331" w14:textId="77777777" w:rsidR="002F07FC" w:rsidRDefault="002F07FC" w:rsidP="00BC5C9E"/>
    <w:p w14:paraId="25A38E47" w14:textId="77777777" w:rsidR="002F07FC" w:rsidRDefault="002F07FC" w:rsidP="00BC5C9E"/>
    <w:p w14:paraId="0F70DFB5" w14:textId="77777777" w:rsidR="002F07FC" w:rsidRDefault="002F07FC" w:rsidP="00BC5C9E"/>
    <w:p w14:paraId="56500F2C" w14:textId="77777777" w:rsidR="002F07FC" w:rsidRDefault="002F07FC" w:rsidP="00BC5C9E"/>
    <w:p w14:paraId="28CCDBD3" w14:textId="77777777" w:rsidR="002F07FC" w:rsidRDefault="002F07FC" w:rsidP="00BC5C9E"/>
    <w:p w14:paraId="53E276D1" w14:textId="77777777" w:rsidR="002F07FC" w:rsidRDefault="002F07FC" w:rsidP="00BC5C9E"/>
    <w:p w14:paraId="457B9261" w14:textId="77777777" w:rsidR="002F07FC" w:rsidRDefault="002F07FC" w:rsidP="00BC5C9E"/>
    <w:p w14:paraId="7C9F90E6" w14:textId="77777777" w:rsidR="002F07FC" w:rsidRDefault="002F07FC" w:rsidP="00BC5C9E"/>
    <w:p w14:paraId="642E4056" w14:textId="756C8BAE" w:rsidR="00781E82" w:rsidRDefault="00AF0C58" w:rsidP="00781E82">
      <w:pPr>
        <w:pStyle w:val="Heading1"/>
        <w:numPr>
          <w:ilvl w:val="0"/>
          <w:numId w:val="0"/>
        </w:numPr>
      </w:pPr>
      <w:bookmarkStart w:id="33" w:name="_Toc214868685"/>
      <w:r>
        <w:lastRenderedPageBreak/>
        <w:t>Appendix</w:t>
      </w:r>
      <w:r w:rsidR="00BC5C9E">
        <w:t xml:space="preserve"> </w:t>
      </w:r>
      <w:r w:rsidR="00826365">
        <w:t>B:</w:t>
      </w:r>
      <w:r>
        <w:t xml:space="preserve"> </w:t>
      </w:r>
      <w:r w:rsidR="002147DD">
        <w:t>The Authority’s detailed requirement</w:t>
      </w:r>
      <w:bookmarkEnd w:id="33"/>
    </w:p>
    <w:p w14:paraId="16C2F933" w14:textId="77777777" w:rsidR="00166E22" w:rsidRPr="00241516" w:rsidRDefault="00166E22" w:rsidP="00235863">
      <w:pPr>
        <w:pStyle w:val="Standard"/>
        <w:ind w:left="360"/>
        <w:rPr>
          <w:sz w:val="24"/>
          <w:szCs w:val="24"/>
        </w:rPr>
      </w:pPr>
      <w:r>
        <w:rPr>
          <w:sz w:val="24"/>
          <w:szCs w:val="24"/>
        </w:rPr>
        <w:t xml:space="preserve">The Agency is seeking to let a contract for </w:t>
      </w:r>
      <w:r w:rsidRPr="00241516">
        <w:rPr>
          <w:sz w:val="24"/>
          <w:szCs w:val="24"/>
        </w:rPr>
        <w:t>a three-year period, with two twelve-month optional extensions (for a total possible five-year contract term) to one Supplier.</w:t>
      </w:r>
      <w:r w:rsidRPr="00241516">
        <w:rPr>
          <w:sz w:val="24"/>
          <w:szCs w:val="24"/>
        </w:rPr>
        <w:br/>
      </w:r>
    </w:p>
    <w:p w14:paraId="50DECC54" w14:textId="77777777" w:rsidR="00166E22" w:rsidRPr="00CF198D" w:rsidRDefault="00166E22" w:rsidP="00235863">
      <w:pPr>
        <w:pStyle w:val="ListParagraph"/>
        <w:ind w:left="360"/>
        <w:rPr>
          <w:rFonts w:ascii="Arial" w:hAnsi="Arial" w:cs="Arial"/>
        </w:rPr>
      </w:pPr>
      <w:r w:rsidRPr="00CF198D">
        <w:rPr>
          <w:rFonts w:ascii="Arial" w:hAnsi="Arial" w:cs="Arial"/>
        </w:rPr>
        <w:t xml:space="preserve">The MHRA is looking to implement an all-in-one digital solution that combines the capabilities of Learning Experience platform and the administrative function of a Learning Management System.  We are seeking a solution that would provide a </w:t>
      </w:r>
      <w:r w:rsidRPr="00CF198D">
        <w:rPr>
          <w:rFonts w:ascii="Arial" w:eastAsia="Arial" w:hAnsi="Arial" w:cs="Arial"/>
        </w:rPr>
        <w:t xml:space="preserve">“one stop shop” for the agency’s 1500 colleagues to be able to plan, identify, undertake and monitor both assigned learning as well as self-directed/paced learning and to support learner collaboration.  The system should have the functionality to design and host content and be capable of scheduling and hosting in person learning via virtual classrooms.  There is a corporate need to provide assurance through the capturing and maintenance of learner/learning records on learning undertaken and assessments successfully completed. </w:t>
      </w:r>
      <w:r w:rsidRPr="00CF198D">
        <w:rPr>
          <w:rFonts w:ascii="Arial" w:hAnsi="Arial" w:cs="Arial"/>
        </w:rPr>
        <w:t xml:space="preserve">The solution will be key to supporting our ambitions of becoming a learning organisation and our agency value of creating an environment where learning and innovation thrive.  </w:t>
      </w:r>
    </w:p>
    <w:p w14:paraId="0E519234" w14:textId="77777777" w:rsidR="00166E22" w:rsidRPr="00F61390" w:rsidRDefault="00166E22" w:rsidP="00166E22">
      <w:pPr>
        <w:pStyle w:val="ListParagraph"/>
        <w:ind w:left="360"/>
        <w:rPr>
          <w:rFonts w:ascii="Arial" w:eastAsia="Arial" w:hAnsi="Arial" w:cs="Arial"/>
        </w:rPr>
      </w:pPr>
    </w:p>
    <w:p w14:paraId="6A6286A4" w14:textId="77777777" w:rsidR="00166E22" w:rsidRPr="005A1A38" w:rsidRDefault="00166E22" w:rsidP="00166E22">
      <w:pPr>
        <w:pStyle w:val="Standard"/>
      </w:pPr>
    </w:p>
    <w:p w14:paraId="47AD8131" w14:textId="77777777" w:rsidR="00166E22" w:rsidRDefault="00166E22" w:rsidP="00166E22">
      <w:pPr>
        <w:ind w:left="357"/>
      </w:pPr>
      <w:r>
        <w:rPr>
          <w:rFonts w:ascii="Arial" w:hAnsi="Arial" w:cs="Arial"/>
        </w:rPr>
        <w:t>The agency</w:t>
      </w:r>
      <w:r w:rsidRPr="004455C0">
        <w:rPr>
          <w:rFonts w:ascii="Arial" w:hAnsi="Arial" w:cs="Arial"/>
        </w:rPr>
        <w:t xml:space="preserve"> does not </w:t>
      </w:r>
      <w:r>
        <w:rPr>
          <w:rFonts w:ascii="Arial" w:hAnsi="Arial" w:cs="Arial"/>
        </w:rPr>
        <w:t xml:space="preserve">currently </w:t>
      </w:r>
      <w:r w:rsidRPr="004455C0">
        <w:rPr>
          <w:rFonts w:ascii="Arial" w:hAnsi="Arial" w:cs="Arial"/>
        </w:rPr>
        <w:t>have a learning management system in place and</w:t>
      </w:r>
      <w:r>
        <w:rPr>
          <w:rFonts w:ascii="Arial" w:hAnsi="Arial" w:cs="Arial"/>
        </w:rPr>
        <w:t xml:space="preserve"> colleagues access</w:t>
      </w:r>
      <w:r w:rsidRPr="004455C0">
        <w:rPr>
          <w:rFonts w:ascii="Arial" w:hAnsi="Arial" w:cs="Arial"/>
        </w:rPr>
        <w:t xml:space="preserve"> learning solutions via a variety of internal</w:t>
      </w:r>
      <w:r>
        <w:rPr>
          <w:rFonts w:ascii="Arial" w:hAnsi="Arial" w:cs="Arial"/>
        </w:rPr>
        <w:t>ly delivered</w:t>
      </w:r>
      <w:r w:rsidRPr="004455C0">
        <w:rPr>
          <w:rFonts w:ascii="Arial" w:hAnsi="Arial" w:cs="Arial"/>
        </w:rPr>
        <w:t xml:space="preserve"> and external provision and in a variety of different formats (face to face, </w:t>
      </w:r>
      <w:r>
        <w:rPr>
          <w:rFonts w:ascii="Arial" w:hAnsi="Arial" w:cs="Arial"/>
        </w:rPr>
        <w:t xml:space="preserve">virtual learning via MS Team and </w:t>
      </w:r>
      <w:proofErr w:type="spellStart"/>
      <w:r>
        <w:rPr>
          <w:rFonts w:ascii="Arial" w:hAnsi="Arial" w:cs="Arial"/>
        </w:rPr>
        <w:t>elearning</w:t>
      </w:r>
      <w:proofErr w:type="spellEnd"/>
      <w:r>
        <w:rPr>
          <w:rFonts w:ascii="Arial" w:hAnsi="Arial" w:cs="Arial"/>
        </w:rPr>
        <w:t xml:space="preserve"> via cross government and other providers</w:t>
      </w:r>
      <w:r w:rsidRPr="004455C0">
        <w:rPr>
          <w:rFonts w:ascii="Arial" w:hAnsi="Arial" w:cs="Arial"/>
        </w:rPr>
        <w:t>)</w:t>
      </w:r>
      <w:r>
        <w:rPr>
          <w:rFonts w:ascii="Arial" w:hAnsi="Arial" w:cs="Arial"/>
        </w:rPr>
        <w:t xml:space="preserve">. </w:t>
      </w:r>
      <w:r w:rsidRPr="004455C0">
        <w:rPr>
          <w:rFonts w:ascii="Arial" w:hAnsi="Arial" w:cs="Arial"/>
        </w:rPr>
        <w:t>Learner enrolment on some internally delivered learning interventions is currently via Taleo learn</w:t>
      </w:r>
      <w:r>
        <w:rPr>
          <w:rFonts w:ascii="Arial" w:hAnsi="Arial" w:cs="Arial"/>
        </w:rPr>
        <w:t>.  L</w:t>
      </w:r>
      <w:r w:rsidRPr="004455C0">
        <w:rPr>
          <w:rFonts w:ascii="Arial" w:hAnsi="Arial" w:cs="Arial"/>
        </w:rPr>
        <w:t xml:space="preserve">earning/learner records </w:t>
      </w:r>
      <w:r>
        <w:rPr>
          <w:rFonts w:ascii="Arial" w:hAnsi="Arial" w:cs="Arial"/>
        </w:rPr>
        <w:t xml:space="preserve">are maintained, accessed and collated </w:t>
      </w:r>
      <w:r w:rsidRPr="004455C0">
        <w:rPr>
          <w:rFonts w:ascii="Arial" w:hAnsi="Arial" w:cs="Arial"/>
        </w:rPr>
        <w:t>in a variety of different ways</w:t>
      </w:r>
      <w:r>
        <w:rPr>
          <w:rFonts w:ascii="Arial" w:hAnsi="Arial" w:cs="Arial"/>
        </w:rPr>
        <w:t xml:space="preserve"> by individuals, business areas and corporately </w:t>
      </w:r>
      <w:r w:rsidRPr="004455C0">
        <w:rPr>
          <w:rFonts w:ascii="Arial" w:hAnsi="Arial" w:cs="Arial"/>
        </w:rPr>
        <w:t xml:space="preserve">and </w:t>
      </w:r>
      <w:r>
        <w:rPr>
          <w:rFonts w:ascii="Arial" w:hAnsi="Arial" w:cs="Arial"/>
        </w:rPr>
        <w:t xml:space="preserve">held </w:t>
      </w:r>
      <w:r w:rsidRPr="004455C0">
        <w:rPr>
          <w:rFonts w:ascii="Arial" w:hAnsi="Arial" w:cs="Arial"/>
        </w:rPr>
        <w:t xml:space="preserve">in different locations.   </w:t>
      </w:r>
      <w:r>
        <w:rPr>
          <w:rFonts w:ascii="Arial" w:hAnsi="Arial" w:cs="Arial"/>
        </w:rPr>
        <w:t xml:space="preserve">A future </w:t>
      </w:r>
      <w:r>
        <w:rPr>
          <w:rFonts w:ascii="Arial" w:eastAsia="Arial" w:hAnsi="Arial" w:cs="Arial"/>
        </w:rPr>
        <w:t>system should provide for effective record keeping</w:t>
      </w:r>
      <w:r w:rsidRPr="004C2543">
        <w:rPr>
          <w:rFonts w:ascii="Arial" w:eastAsia="Arial" w:hAnsi="Arial" w:cs="Arial"/>
        </w:rPr>
        <w:t>,</w:t>
      </w:r>
      <w:r>
        <w:rPr>
          <w:rFonts w:ascii="Arial" w:eastAsia="Arial" w:hAnsi="Arial" w:cs="Arial"/>
        </w:rPr>
        <w:t xml:space="preserve"> ease of reporting, establishment of learning sessions and enable us </w:t>
      </w:r>
      <w:r w:rsidRPr="004C2543">
        <w:rPr>
          <w:rFonts w:ascii="Arial" w:eastAsia="Arial" w:hAnsi="Arial" w:cs="Arial"/>
        </w:rPr>
        <w:t xml:space="preserve">to </w:t>
      </w:r>
      <w:r>
        <w:rPr>
          <w:rFonts w:ascii="Arial" w:eastAsia="Arial" w:hAnsi="Arial" w:cs="Arial"/>
        </w:rPr>
        <w:t xml:space="preserve">design and </w:t>
      </w:r>
      <w:r w:rsidRPr="004C2543">
        <w:rPr>
          <w:rFonts w:ascii="Arial" w:eastAsia="Arial" w:hAnsi="Arial" w:cs="Arial"/>
        </w:rPr>
        <w:t>deliver best practice internal content</w:t>
      </w:r>
      <w:r>
        <w:rPr>
          <w:rFonts w:ascii="Arial" w:eastAsia="Arial" w:hAnsi="Arial" w:cs="Arial"/>
        </w:rPr>
        <w:t xml:space="preserve"> and sessions and to sign post to relevant external resources and content</w:t>
      </w:r>
      <w:r w:rsidRPr="004C2543">
        <w:rPr>
          <w:rFonts w:ascii="Arial" w:eastAsia="Arial" w:hAnsi="Arial" w:cs="Arial"/>
        </w:rPr>
        <w:t>.</w:t>
      </w:r>
      <w:r>
        <w:rPr>
          <w:rFonts w:ascii="Arial" w:eastAsia="Arial" w:hAnsi="Arial" w:cs="Arial"/>
        </w:rPr>
        <w:t xml:space="preserve">  The agency utilises </w:t>
      </w:r>
      <w:r>
        <w:t>Oracle Fusion as our Human Resource Information System and interfaces with other learning platforms to access some learning (see below.</w:t>
      </w:r>
    </w:p>
    <w:p w14:paraId="664220C5" w14:textId="77777777" w:rsidR="00166E22" w:rsidRDefault="00166E22" w:rsidP="00166E22">
      <w:pPr>
        <w:ind w:left="357"/>
        <w:rPr>
          <w:rFonts w:ascii="Arial" w:eastAsia="Arial" w:hAnsi="Arial" w:cs="Arial"/>
        </w:rPr>
      </w:pPr>
      <w:r>
        <w:t xml:space="preserve"> </w:t>
      </w:r>
    </w:p>
    <w:p w14:paraId="11F01BF5" w14:textId="77777777" w:rsidR="00166E22" w:rsidRDefault="00166E22" w:rsidP="00166E22">
      <w:pPr>
        <w:ind w:left="357"/>
        <w:rPr>
          <w:rFonts w:ascii="Arial" w:eastAsia="Arial" w:hAnsi="Arial" w:cs="Arial"/>
        </w:rPr>
      </w:pPr>
      <w:r>
        <w:rPr>
          <w:rFonts w:ascii="Arial" w:eastAsia="Arial" w:hAnsi="Arial" w:cs="Arial"/>
        </w:rPr>
        <w:t>We are looking to engage our learners and to make their learning journeys easy to identify, easily accessible, stimulating, effective and capable of being easily tracked, reviewed /verified by managers and easily captured in a variety of learning reports/dashboards.  The system should be capable of:</w:t>
      </w:r>
    </w:p>
    <w:p w14:paraId="436D392E" w14:textId="77777777" w:rsidR="00166E22" w:rsidRDefault="00166E22" w:rsidP="00166E22">
      <w:pPr>
        <w:ind w:left="357"/>
        <w:rPr>
          <w:rFonts w:ascii="Arial" w:eastAsia="Arial" w:hAnsi="Arial" w:cs="Arial"/>
        </w:rPr>
      </w:pPr>
    </w:p>
    <w:p w14:paraId="503775DF" w14:textId="77777777" w:rsidR="00166E22" w:rsidRPr="00AA1501" w:rsidRDefault="00166E22" w:rsidP="00166E22">
      <w:pPr>
        <w:pStyle w:val="ListParagraph"/>
        <w:numPr>
          <w:ilvl w:val="0"/>
          <w:numId w:val="43"/>
        </w:numPr>
        <w:rPr>
          <w:rFonts w:ascii="Arial" w:eastAsia="Arial" w:hAnsi="Arial" w:cs="Arial"/>
        </w:rPr>
      </w:pPr>
      <w:r w:rsidRPr="00AA1501">
        <w:rPr>
          <w:rFonts w:ascii="Arial" w:eastAsia="Arial" w:hAnsi="Arial" w:cs="Arial"/>
        </w:rPr>
        <w:t>Ideally providing for a Single Sign On functionality</w:t>
      </w:r>
    </w:p>
    <w:p w14:paraId="031704ED" w14:textId="77777777" w:rsidR="009941A7" w:rsidRDefault="00166E22" w:rsidP="009941A7">
      <w:pPr>
        <w:pStyle w:val="ListParagraph"/>
        <w:numPr>
          <w:ilvl w:val="0"/>
          <w:numId w:val="43"/>
        </w:numPr>
        <w:rPr>
          <w:rFonts w:ascii="Arial" w:eastAsia="Arial" w:hAnsi="Arial" w:cs="Arial"/>
        </w:rPr>
      </w:pPr>
      <w:r>
        <w:rPr>
          <w:rFonts w:ascii="Arial" w:eastAsia="Arial" w:hAnsi="Arial" w:cs="Arial"/>
        </w:rPr>
        <w:t xml:space="preserve">Complying with all </w:t>
      </w:r>
      <w:r w:rsidR="009941A7">
        <w:rPr>
          <w:rFonts w:ascii="Arial" w:eastAsia="Arial" w:hAnsi="Arial" w:cs="Arial"/>
        </w:rPr>
        <w:t xml:space="preserve">Complying with all </w:t>
      </w:r>
      <w:hyperlink r:id="rId34" w:anchor="meeting-government-accessibility-requirements" w:history="1">
        <w:r w:rsidR="009941A7" w:rsidRPr="00237114">
          <w:rPr>
            <w:rStyle w:val="Hyperlink"/>
            <w:rFonts w:ascii="Arial" w:eastAsia="Arial" w:hAnsi="Arial" w:cs="Arial"/>
          </w:rPr>
          <w:t>Web Content Accessibility Guidelines (WCAG)</w:t>
        </w:r>
      </w:hyperlink>
      <w:r w:rsidR="009941A7">
        <w:rPr>
          <w:rFonts w:ascii="Arial" w:eastAsia="Arial" w:hAnsi="Arial" w:cs="Arial"/>
        </w:rPr>
        <w:t xml:space="preserve"> 2.2 AA standards</w:t>
      </w:r>
    </w:p>
    <w:p w14:paraId="13673232" w14:textId="11B46C7F" w:rsidR="00166E22" w:rsidRDefault="009941A7" w:rsidP="00166E22">
      <w:pPr>
        <w:pStyle w:val="ListParagraph"/>
        <w:numPr>
          <w:ilvl w:val="0"/>
          <w:numId w:val="43"/>
        </w:numPr>
        <w:rPr>
          <w:rFonts w:ascii="Arial" w:eastAsia="Arial" w:hAnsi="Arial" w:cs="Arial"/>
        </w:rPr>
      </w:pPr>
      <w:r>
        <w:rPr>
          <w:rFonts w:ascii="Arial" w:eastAsia="Arial" w:hAnsi="Arial" w:cs="Arial"/>
        </w:rPr>
        <w:t>Being c</w:t>
      </w:r>
      <w:r w:rsidR="00166E22">
        <w:rPr>
          <w:rFonts w:ascii="Arial" w:eastAsia="Arial" w:hAnsi="Arial" w:cs="Arial"/>
        </w:rPr>
        <w:t>ustomised to reflect the MHRA brand</w:t>
      </w:r>
    </w:p>
    <w:p w14:paraId="78FD5BA3" w14:textId="7D42B077" w:rsidR="00166E22" w:rsidRDefault="00166E22" w:rsidP="00166E22">
      <w:pPr>
        <w:pStyle w:val="ListParagraph"/>
        <w:numPr>
          <w:ilvl w:val="0"/>
          <w:numId w:val="43"/>
        </w:numPr>
        <w:rPr>
          <w:rFonts w:ascii="Arial" w:eastAsia="Arial" w:hAnsi="Arial" w:cs="Arial"/>
        </w:rPr>
      </w:pPr>
      <w:r>
        <w:rPr>
          <w:rFonts w:ascii="Arial" w:eastAsia="Arial" w:hAnsi="Arial" w:cs="Arial"/>
        </w:rPr>
        <w:t>Host</w:t>
      </w:r>
      <w:r w:rsidR="009941A7">
        <w:rPr>
          <w:rFonts w:ascii="Arial" w:eastAsia="Arial" w:hAnsi="Arial" w:cs="Arial"/>
        </w:rPr>
        <w:t>ing</w:t>
      </w:r>
      <w:r>
        <w:rPr>
          <w:rFonts w:ascii="Arial" w:eastAsia="Arial" w:hAnsi="Arial" w:cs="Arial"/>
        </w:rPr>
        <w:t xml:space="preserve"> and sign posting to a variety of learning, catalogued into easily searchable learning pathways defined by different learning priorities, categories and roles.  </w:t>
      </w:r>
    </w:p>
    <w:p w14:paraId="2AB17440" w14:textId="77777777" w:rsidR="00166E22" w:rsidRDefault="00166E22" w:rsidP="00166E22">
      <w:pPr>
        <w:pStyle w:val="ListParagraph"/>
        <w:numPr>
          <w:ilvl w:val="0"/>
          <w:numId w:val="43"/>
        </w:numPr>
        <w:rPr>
          <w:rFonts w:ascii="Arial" w:eastAsia="Arial" w:hAnsi="Arial" w:cs="Arial"/>
        </w:rPr>
      </w:pPr>
      <w:r>
        <w:rPr>
          <w:rFonts w:ascii="Arial" w:eastAsia="Arial" w:hAnsi="Arial" w:cs="Arial"/>
        </w:rPr>
        <w:lastRenderedPageBreak/>
        <w:t>G</w:t>
      </w:r>
      <w:r w:rsidRPr="00EA2CE4">
        <w:rPr>
          <w:rFonts w:ascii="Arial" w:eastAsia="Arial" w:hAnsi="Arial" w:cs="Arial"/>
        </w:rPr>
        <w:t xml:space="preserve">enerating learner profiles with learning being </w:t>
      </w:r>
      <w:r>
        <w:rPr>
          <w:rFonts w:ascii="Arial" w:eastAsia="Arial" w:hAnsi="Arial" w:cs="Arial"/>
        </w:rPr>
        <w:t xml:space="preserve">capable of being easily </w:t>
      </w:r>
      <w:r w:rsidRPr="00EA2CE4">
        <w:rPr>
          <w:rFonts w:ascii="Arial" w:eastAsia="Arial" w:hAnsi="Arial" w:cs="Arial"/>
        </w:rPr>
        <w:t>assigned to roles across the business</w:t>
      </w:r>
      <w:r>
        <w:rPr>
          <w:rFonts w:ascii="Arial" w:eastAsia="Arial" w:hAnsi="Arial" w:cs="Arial"/>
        </w:rPr>
        <w:t xml:space="preserve"> with automatically generated completion reminders as well as the potential for “nudges” to any relevant new content.</w:t>
      </w:r>
    </w:p>
    <w:p w14:paraId="74C594C9" w14:textId="77777777" w:rsidR="00166E22" w:rsidRDefault="00166E22" w:rsidP="00166E22">
      <w:pPr>
        <w:pStyle w:val="ListParagraph"/>
        <w:numPr>
          <w:ilvl w:val="0"/>
          <w:numId w:val="43"/>
        </w:numPr>
        <w:rPr>
          <w:rFonts w:ascii="Arial" w:eastAsia="Arial" w:hAnsi="Arial" w:cs="Arial"/>
        </w:rPr>
      </w:pPr>
      <w:r>
        <w:rPr>
          <w:rFonts w:ascii="Arial" w:eastAsia="Arial" w:hAnsi="Arial" w:cs="Arial"/>
        </w:rPr>
        <w:t xml:space="preserve">Allowing for variance in the management of different levels of access (learner, line manager, learning designers, system administrators, session schedulers etc) </w:t>
      </w:r>
    </w:p>
    <w:p w14:paraId="5AE9E58B" w14:textId="77777777" w:rsidR="00166E22" w:rsidRPr="002B6249" w:rsidRDefault="00166E22" w:rsidP="00166E22">
      <w:pPr>
        <w:rPr>
          <w:rFonts w:ascii="Arial" w:eastAsia="Arial" w:hAnsi="Arial" w:cs="Arial"/>
        </w:rPr>
      </w:pPr>
    </w:p>
    <w:p w14:paraId="5A17EF85" w14:textId="77777777" w:rsidR="00166E22" w:rsidRDefault="00166E22" w:rsidP="00166E22">
      <w:pPr>
        <w:ind w:left="357"/>
        <w:rPr>
          <w:rFonts w:ascii="Arial" w:eastAsia="Arial" w:hAnsi="Arial" w:cs="Arial"/>
        </w:rPr>
      </w:pPr>
      <w:r>
        <w:rPr>
          <w:rFonts w:ascii="Arial" w:eastAsia="Arial" w:hAnsi="Arial" w:cs="Arial"/>
        </w:rPr>
        <w:t xml:space="preserve">We also have the following requirements: </w:t>
      </w:r>
    </w:p>
    <w:p w14:paraId="634C9BFA" w14:textId="77777777" w:rsidR="00166E22" w:rsidRDefault="00166E22" w:rsidP="00166E22">
      <w:pPr>
        <w:ind w:left="357"/>
        <w:rPr>
          <w:rFonts w:ascii="Arial" w:eastAsia="Arial" w:hAnsi="Arial" w:cs="Arial"/>
        </w:rPr>
      </w:pPr>
      <w:r>
        <w:rPr>
          <w:rFonts w:ascii="Arial" w:eastAsia="Arial" w:hAnsi="Arial" w:cs="Arial"/>
        </w:rPr>
        <w:t xml:space="preserve">     </w:t>
      </w:r>
    </w:p>
    <w:p w14:paraId="0D08BDC9" w14:textId="77777777" w:rsidR="00166E22" w:rsidRPr="00791B42" w:rsidRDefault="00166E22" w:rsidP="00166E22">
      <w:pPr>
        <w:ind w:left="357"/>
        <w:rPr>
          <w:rFonts w:ascii="Arial" w:eastAsia="Arial" w:hAnsi="Arial" w:cs="Arial"/>
          <w:b/>
          <w:bCs/>
        </w:rPr>
      </w:pPr>
      <w:r w:rsidRPr="00791B42">
        <w:rPr>
          <w:rFonts w:ascii="Arial" w:eastAsia="Arial" w:hAnsi="Arial" w:cs="Arial"/>
          <w:b/>
          <w:bCs/>
        </w:rPr>
        <w:t>Access to other learning platform</w:t>
      </w:r>
      <w:r>
        <w:rPr>
          <w:rFonts w:ascii="Arial" w:eastAsia="Arial" w:hAnsi="Arial" w:cs="Arial"/>
          <w:b/>
          <w:bCs/>
        </w:rPr>
        <w:t xml:space="preserve"> systems</w:t>
      </w:r>
    </w:p>
    <w:p w14:paraId="23657414" w14:textId="77777777" w:rsidR="00166E22" w:rsidRDefault="00166E22" w:rsidP="00166E22">
      <w:pPr>
        <w:ind w:left="357"/>
        <w:rPr>
          <w:rFonts w:ascii="Arial" w:hAnsi="Arial" w:cs="Arial"/>
        </w:rPr>
      </w:pPr>
      <w:r w:rsidRPr="004455C0">
        <w:rPr>
          <w:rFonts w:ascii="Arial" w:hAnsi="Arial" w:cs="Arial"/>
        </w:rPr>
        <w:t xml:space="preserve">As part of the civil service, much of our mandatory/compliance </w:t>
      </w:r>
      <w:proofErr w:type="spellStart"/>
      <w:r w:rsidRPr="004455C0">
        <w:rPr>
          <w:rFonts w:ascii="Arial" w:hAnsi="Arial" w:cs="Arial"/>
        </w:rPr>
        <w:t>elearning</w:t>
      </w:r>
      <w:proofErr w:type="spellEnd"/>
      <w:r w:rsidRPr="004455C0">
        <w:rPr>
          <w:rFonts w:ascii="Arial" w:hAnsi="Arial" w:cs="Arial"/>
        </w:rPr>
        <w:t xml:space="preserve"> is accessed via the </w:t>
      </w:r>
      <w:r>
        <w:rPr>
          <w:rFonts w:ascii="Arial" w:hAnsi="Arial" w:cs="Arial"/>
        </w:rPr>
        <w:t xml:space="preserve">Government Skills’ </w:t>
      </w:r>
      <w:hyperlink r:id="rId35" w:history="1">
        <w:r w:rsidRPr="006F2543">
          <w:rPr>
            <w:rStyle w:val="Hyperlink"/>
            <w:rFonts w:ascii="Arial" w:hAnsi="Arial" w:cs="Arial"/>
          </w:rPr>
          <w:t>Civil Service Learning platform</w:t>
        </w:r>
      </w:hyperlink>
      <w:r>
        <w:rPr>
          <w:rFonts w:ascii="Arial" w:hAnsi="Arial" w:cs="Arial"/>
        </w:rPr>
        <w:t xml:space="preserve"> and potentially in future via the Government Skills Campus, which is a cross-government platform currently being piloted as a means of accessing all x-government offerings and maintaining and individual’s record of related learning.  The agency also currently utilises </w:t>
      </w:r>
      <w:hyperlink r:id="rId36" w:history="1">
        <w:r w:rsidRPr="00791B42">
          <w:rPr>
            <w:rStyle w:val="Hyperlink"/>
            <w:rFonts w:ascii="Arial" w:hAnsi="Arial" w:cs="Arial"/>
          </w:rPr>
          <w:t>Cybersecurity Training | Phishing Awareness | Bob's Business</w:t>
        </w:r>
      </w:hyperlink>
      <w:r w:rsidRPr="00791B42">
        <w:rPr>
          <w:rFonts w:ascii="Arial" w:hAnsi="Arial" w:cs="Arial"/>
        </w:rPr>
        <w:t xml:space="preserve"> </w:t>
      </w:r>
      <w:r>
        <w:rPr>
          <w:rFonts w:ascii="Arial" w:hAnsi="Arial" w:cs="Arial"/>
        </w:rPr>
        <w:t>for its Cyber Security training</w:t>
      </w:r>
      <w:r w:rsidRPr="004455C0">
        <w:rPr>
          <w:rFonts w:ascii="Arial" w:hAnsi="Arial" w:cs="Arial"/>
        </w:rPr>
        <w:t xml:space="preserve">.  </w:t>
      </w:r>
      <w:r>
        <w:rPr>
          <w:rFonts w:ascii="Arial" w:hAnsi="Arial" w:cs="Arial"/>
        </w:rPr>
        <w:t xml:space="preserve">We would require the functionality of the future solution to enable learners to link to and access content on such platforms in the future and to be able to draw learner completion records from them.  </w:t>
      </w:r>
    </w:p>
    <w:p w14:paraId="0622F59E" w14:textId="77777777" w:rsidR="00166E22" w:rsidRDefault="00166E22" w:rsidP="00166E22">
      <w:pPr>
        <w:ind w:left="357"/>
        <w:rPr>
          <w:rFonts w:ascii="Arial" w:hAnsi="Arial" w:cs="Arial"/>
        </w:rPr>
      </w:pPr>
    </w:p>
    <w:p w14:paraId="0635536B" w14:textId="77777777" w:rsidR="00166E22" w:rsidRDefault="00166E22" w:rsidP="00166E22">
      <w:pPr>
        <w:ind w:left="357"/>
        <w:rPr>
          <w:rFonts w:ascii="Arial" w:hAnsi="Arial" w:cs="Arial"/>
          <w:b/>
          <w:bCs/>
        </w:rPr>
      </w:pPr>
      <w:r w:rsidRPr="00791B42">
        <w:rPr>
          <w:rFonts w:ascii="Arial" w:hAnsi="Arial" w:cs="Arial"/>
          <w:b/>
          <w:bCs/>
        </w:rPr>
        <w:t>Content</w:t>
      </w:r>
      <w:r>
        <w:rPr>
          <w:rFonts w:ascii="Arial" w:hAnsi="Arial" w:cs="Arial"/>
          <w:b/>
          <w:bCs/>
        </w:rPr>
        <w:t xml:space="preserve"> capabilities, </w:t>
      </w:r>
      <w:r w:rsidRPr="00791B42">
        <w:rPr>
          <w:rFonts w:ascii="Arial" w:hAnsi="Arial" w:cs="Arial"/>
          <w:b/>
          <w:bCs/>
        </w:rPr>
        <w:t>session design</w:t>
      </w:r>
      <w:r>
        <w:rPr>
          <w:rFonts w:ascii="Arial" w:hAnsi="Arial" w:cs="Arial"/>
          <w:b/>
          <w:bCs/>
        </w:rPr>
        <w:t xml:space="preserve"> &amp;</w:t>
      </w:r>
      <w:r w:rsidRPr="00791B42">
        <w:rPr>
          <w:rFonts w:ascii="Arial" w:hAnsi="Arial" w:cs="Arial"/>
          <w:b/>
          <w:bCs/>
        </w:rPr>
        <w:t xml:space="preserve"> authoring functionality</w:t>
      </w:r>
    </w:p>
    <w:p w14:paraId="46CDD902" w14:textId="77777777" w:rsidR="00166E22" w:rsidRPr="001B1ED2" w:rsidRDefault="00166E22" w:rsidP="00166E22">
      <w:pPr>
        <w:ind w:left="357"/>
        <w:rPr>
          <w:rFonts w:ascii="Arial" w:hAnsi="Arial" w:cs="Arial"/>
          <w:b/>
          <w:bCs/>
        </w:rPr>
      </w:pPr>
      <w:r w:rsidRPr="00375A3D">
        <w:rPr>
          <w:rFonts w:ascii="Arial" w:hAnsi="Arial" w:cs="Arial"/>
        </w:rPr>
        <w:t xml:space="preserve">Learning is currently delivered and provided for internally across a variety </w:t>
      </w:r>
      <w:r w:rsidRPr="00375A3D">
        <w:rPr>
          <w:rFonts w:ascii="Arial" w:eastAsia="Arial" w:hAnsi="Arial" w:cs="Arial"/>
        </w:rPr>
        <w:t>of learning topics</w:t>
      </w:r>
      <w:r>
        <w:rPr>
          <w:rFonts w:ascii="Arial" w:eastAsia="Arial" w:hAnsi="Arial" w:cs="Arial"/>
        </w:rPr>
        <w:t xml:space="preserve"> and via different parts of the business</w:t>
      </w:r>
      <w:r w:rsidRPr="00375A3D">
        <w:rPr>
          <w:rFonts w:ascii="Arial" w:eastAsia="Arial" w:hAnsi="Arial" w:cs="Arial"/>
        </w:rPr>
        <w:t>.  In the future we would like to be able to deliver in a variety of formats</w:t>
      </w:r>
      <w:r>
        <w:rPr>
          <w:rFonts w:ascii="Arial" w:eastAsia="Arial" w:hAnsi="Arial" w:cs="Arial"/>
        </w:rPr>
        <w:t xml:space="preserve"> learning on topics ranging</w:t>
      </w:r>
      <w:r w:rsidRPr="00375A3D">
        <w:rPr>
          <w:rFonts w:ascii="Arial" w:eastAsia="Arial" w:hAnsi="Arial" w:cs="Arial"/>
        </w:rPr>
        <w:t xml:space="preserve"> from initial Induction, personal development, technical training programmes and specific capability building through to completion of continuous professional development offerings as well as elements of agency specific compliance learning.  We would anticipate the system would offer an authoring tool to enable internal</w:t>
      </w:r>
      <w:r>
        <w:rPr>
          <w:rFonts w:ascii="Arial" w:eastAsia="Arial" w:hAnsi="Arial" w:cs="Arial"/>
        </w:rPr>
        <w:t xml:space="preserve"> designers to create a variety of engaging and effective learning content in different delivery formats (in person/virtual interactive classroom sessions, </w:t>
      </w:r>
      <w:proofErr w:type="spellStart"/>
      <w:r>
        <w:rPr>
          <w:rFonts w:ascii="Arial" w:eastAsia="Arial" w:hAnsi="Arial" w:cs="Arial"/>
        </w:rPr>
        <w:t>elearning</w:t>
      </w:r>
      <w:proofErr w:type="spellEnd"/>
      <w:r>
        <w:rPr>
          <w:rFonts w:ascii="Arial" w:eastAsia="Arial" w:hAnsi="Arial" w:cs="Arial"/>
        </w:rPr>
        <w:t xml:space="preserve">, resource libraries, case studies, SCORM files).  The system should be capable of hosting Videos, recordings Presentations, Powerpoint, animations as well as enabling links to other external learning resources.   The creation of content will be limited to authorised users and provide for a defined audit trails and version controls, but all learners (with appropriate authorisation)  should be able to recommend or share relevant learning. </w:t>
      </w:r>
    </w:p>
    <w:p w14:paraId="620AF0D9" w14:textId="77777777" w:rsidR="00166E22" w:rsidRDefault="00166E22" w:rsidP="00166E22">
      <w:pPr>
        <w:ind w:left="357"/>
        <w:rPr>
          <w:rFonts w:ascii="Arial" w:eastAsia="Arial" w:hAnsi="Arial" w:cs="Arial"/>
        </w:rPr>
      </w:pPr>
    </w:p>
    <w:p w14:paraId="58C6ADD7" w14:textId="77777777" w:rsidR="00166E22" w:rsidRPr="0099580F" w:rsidRDefault="00166E22" w:rsidP="00166E22">
      <w:pPr>
        <w:ind w:left="357"/>
        <w:rPr>
          <w:rFonts w:ascii="Arial" w:eastAsia="Arial" w:hAnsi="Arial" w:cs="Arial"/>
          <w:b/>
          <w:bCs/>
        </w:rPr>
      </w:pPr>
      <w:r w:rsidRPr="0099580F">
        <w:rPr>
          <w:rFonts w:ascii="Arial" w:eastAsia="Arial" w:hAnsi="Arial" w:cs="Arial"/>
          <w:b/>
          <w:bCs/>
        </w:rPr>
        <w:t xml:space="preserve">Collaboration &amp; coaching spaces </w:t>
      </w:r>
    </w:p>
    <w:p w14:paraId="5907F85B" w14:textId="77777777" w:rsidR="00166E22" w:rsidRDefault="00166E22" w:rsidP="00166E22">
      <w:pPr>
        <w:ind w:left="357"/>
        <w:rPr>
          <w:rFonts w:ascii="Arial" w:eastAsia="Arial" w:hAnsi="Arial" w:cs="Arial"/>
        </w:rPr>
      </w:pPr>
      <w:r>
        <w:rPr>
          <w:rFonts w:ascii="Arial" w:eastAsia="Arial" w:hAnsi="Arial" w:cs="Arial"/>
        </w:rPr>
        <w:t xml:space="preserve">The system should also offer collaboration spaces, where learners can share thoughts with others, offer insights/experience and upload and </w:t>
      </w:r>
      <w:proofErr w:type="gramStart"/>
      <w:r>
        <w:rPr>
          <w:rFonts w:ascii="Arial" w:eastAsia="Arial" w:hAnsi="Arial" w:cs="Arial"/>
        </w:rPr>
        <w:t>sign post</w:t>
      </w:r>
      <w:proofErr w:type="gramEnd"/>
      <w:r>
        <w:rPr>
          <w:rFonts w:ascii="Arial" w:eastAsia="Arial" w:hAnsi="Arial" w:cs="Arial"/>
        </w:rPr>
        <w:t xml:space="preserve"> (with appropriate permissions) to other relevant content.</w:t>
      </w:r>
    </w:p>
    <w:p w14:paraId="21CFA070" w14:textId="77777777" w:rsidR="00166E22" w:rsidRDefault="00166E22" w:rsidP="00166E22">
      <w:pPr>
        <w:ind w:left="357"/>
        <w:rPr>
          <w:rFonts w:ascii="Arial" w:eastAsia="Arial" w:hAnsi="Arial" w:cs="Arial"/>
        </w:rPr>
      </w:pPr>
    </w:p>
    <w:p w14:paraId="354AB950" w14:textId="77777777" w:rsidR="00166E22" w:rsidRDefault="00166E22" w:rsidP="00166E22">
      <w:pPr>
        <w:ind w:left="357"/>
        <w:rPr>
          <w:rFonts w:ascii="Arial" w:eastAsia="Arial" w:hAnsi="Arial" w:cs="Arial"/>
        </w:rPr>
      </w:pPr>
      <w:r>
        <w:rPr>
          <w:rFonts w:ascii="Arial" w:eastAsia="Arial" w:hAnsi="Arial" w:cs="Arial"/>
        </w:rPr>
        <w:t xml:space="preserve">Ideally be capable of supporting a coaching platform functionality where coaches and </w:t>
      </w:r>
      <w:proofErr w:type="spellStart"/>
      <w:r>
        <w:rPr>
          <w:rFonts w:ascii="Arial" w:eastAsia="Arial" w:hAnsi="Arial" w:cs="Arial"/>
        </w:rPr>
        <w:t>coachees</w:t>
      </w:r>
      <w:proofErr w:type="spellEnd"/>
      <w:r>
        <w:rPr>
          <w:rFonts w:ascii="Arial" w:eastAsia="Arial" w:hAnsi="Arial" w:cs="Arial"/>
        </w:rPr>
        <w:t xml:space="preserve"> could match and schedule sessions with each other would be desirable.      </w:t>
      </w:r>
    </w:p>
    <w:p w14:paraId="0EB3F6A0" w14:textId="77777777" w:rsidR="00166E22" w:rsidRDefault="00166E22" w:rsidP="00166E22">
      <w:pPr>
        <w:ind w:left="357"/>
        <w:rPr>
          <w:rFonts w:ascii="Arial" w:eastAsia="Arial" w:hAnsi="Arial" w:cs="Arial"/>
        </w:rPr>
      </w:pPr>
    </w:p>
    <w:p w14:paraId="29091352" w14:textId="77777777" w:rsidR="00166E22" w:rsidRDefault="00166E22" w:rsidP="00166E22">
      <w:pPr>
        <w:ind w:left="357"/>
        <w:rPr>
          <w:rFonts w:ascii="Arial" w:eastAsia="Arial" w:hAnsi="Arial" w:cs="Arial"/>
          <w:b/>
          <w:bCs/>
        </w:rPr>
      </w:pPr>
      <w:r w:rsidRPr="00E060B8">
        <w:rPr>
          <w:rFonts w:ascii="Arial" w:eastAsia="Arial" w:hAnsi="Arial" w:cs="Arial"/>
          <w:b/>
          <w:bCs/>
        </w:rPr>
        <w:t>Planning</w:t>
      </w:r>
      <w:r>
        <w:rPr>
          <w:rFonts w:ascii="Arial" w:eastAsia="Arial" w:hAnsi="Arial" w:cs="Arial"/>
          <w:b/>
          <w:bCs/>
        </w:rPr>
        <w:t>, recording and tracking-  individual learning</w:t>
      </w:r>
    </w:p>
    <w:p w14:paraId="5C36F74C" w14:textId="1557421C" w:rsidR="00166E22" w:rsidRPr="006C3565" w:rsidRDefault="00166E22" w:rsidP="00166E22">
      <w:pPr>
        <w:ind w:left="357"/>
        <w:rPr>
          <w:rFonts w:ascii="Arial" w:eastAsia="Arial" w:hAnsi="Arial" w:cs="Arial"/>
        </w:rPr>
      </w:pPr>
      <w:r>
        <w:rPr>
          <w:rFonts w:ascii="Arial" w:eastAsia="Arial" w:hAnsi="Arial" w:cs="Arial"/>
        </w:rPr>
        <w:t xml:space="preserve">The solution should provide for an individual learner record: a space where, in addition to any corporate assigned learning, individual identified learning needs can be captured, approved and progress to completion be viewed, approved and tracked by both the individual and their line manager. The system should allow the individual to upload relevant external certificates and qualification details (where relevant) on </w:t>
      </w:r>
      <w:r>
        <w:rPr>
          <w:rFonts w:ascii="Arial" w:eastAsia="Arial" w:hAnsi="Arial" w:cs="Arial"/>
        </w:rPr>
        <w:lastRenderedPageBreak/>
        <w:t xml:space="preserve">completion of the learning. </w:t>
      </w:r>
      <w:r w:rsidR="00F30526">
        <w:rPr>
          <w:rFonts w:ascii="Arial" w:eastAsia="Arial" w:hAnsi="Arial" w:cs="Arial"/>
        </w:rPr>
        <w:t xml:space="preserve">Some areas of our agency need to demonstrate compliance  with relevant ISO </w:t>
      </w:r>
      <w:r w:rsidR="001E698F">
        <w:rPr>
          <w:rFonts w:ascii="Arial" w:eastAsia="Arial" w:hAnsi="Arial" w:cs="Arial"/>
        </w:rPr>
        <w:t xml:space="preserve">9001 </w:t>
      </w:r>
      <w:r w:rsidR="00F30526">
        <w:rPr>
          <w:rFonts w:ascii="Arial" w:eastAsia="Arial" w:hAnsi="Arial" w:cs="Arial"/>
        </w:rPr>
        <w:t xml:space="preserve">standards in relation to training records and validation of training/competency, so the functionality for Line Managers to be able to validate a team member’s learning is also important.       </w:t>
      </w:r>
      <w:r>
        <w:rPr>
          <w:rFonts w:ascii="Arial" w:eastAsia="Arial" w:hAnsi="Arial" w:cs="Arial"/>
        </w:rPr>
        <w:t xml:space="preserve"> </w:t>
      </w:r>
    </w:p>
    <w:p w14:paraId="43B9F587" w14:textId="77777777" w:rsidR="00166E22" w:rsidRDefault="00166E22" w:rsidP="00166E22">
      <w:pPr>
        <w:ind w:left="357"/>
        <w:rPr>
          <w:rFonts w:ascii="Arial" w:eastAsia="Arial" w:hAnsi="Arial" w:cs="Arial"/>
          <w:b/>
          <w:bCs/>
        </w:rPr>
      </w:pPr>
    </w:p>
    <w:p w14:paraId="500D0A7E" w14:textId="6AAC43C0" w:rsidR="00166E22" w:rsidRPr="00E060B8" w:rsidRDefault="00166E22" w:rsidP="00166E22">
      <w:pPr>
        <w:ind w:left="357"/>
        <w:rPr>
          <w:rFonts w:ascii="Arial" w:eastAsia="Arial" w:hAnsi="Arial" w:cs="Arial"/>
          <w:b/>
          <w:bCs/>
        </w:rPr>
      </w:pPr>
      <w:r>
        <w:rPr>
          <w:rFonts w:ascii="Arial" w:eastAsia="Arial" w:hAnsi="Arial" w:cs="Arial"/>
          <w:b/>
          <w:bCs/>
        </w:rPr>
        <w:t>Scheduling</w:t>
      </w:r>
      <w:r w:rsidR="008C0F50">
        <w:rPr>
          <w:rFonts w:ascii="Arial" w:eastAsia="Arial" w:hAnsi="Arial" w:cs="Arial"/>
          <w:b/>
          <w:bCs/>
        </w:rPr>
        <w:t>/</w:t>
      </w:r>
      <w:r w:rsidR="009652F1">
        <w:rPr>
          <w:rFonts w:ascii="Arial" w:eastAsia="Arial" w:hAnsi="Arial" w:cs="Arial"/>
          <w:b/>
          <w:bCs/>
        </w:rPr>
        <w:t>admin</w:t>
      </w:r>
      <w:r w:rsidR="008C0F50">
        <w:rPr>
          <w:rFonts w:ascii="Arial" w:eastAsia="Arial" w:hAnsi="Arial" w:cs="Arial"/>
          <w:b/>
          <w:bCs/>
        </w:rPr>
        <w:t>i</w:t>
      </w:r>
      <w:r w:rsidR="009652F1">
        <w:rPr>
          <w:rFonts w:ascii="Arial" w:eastAsia="Arial" w:hAnsi="Arial" w:cs="Arial"/>
          <w:b/>
          <w:bCs/>
        </w:rPr>
        <w:t>s</w:t>
      </w:r>
      <w:r w:rsidR="008C0F50">
        <w:rPr>
          <w:rFonts w:ascii="Arial" w:eastAsia="Arial" w:hAnsi="Arial" w:cs="Arial"/>
          <w:b/>
          <w:bCs/>
        </w:rPr>
        <w:t>tration</w:t>
      </w:r>
      <w:r>
        <w:rPr>
          <w:rFonts w:ascii="Arial" w:eastAsia="Arial" w:hAnsi="Arial" w:cs="Arial"/>
          <w:b/>
          <w:bCs/>
        </w:rPr>
        <w:t xml:space="preserve"> of learning </w:t>
      </w:r>
      <w:r w:rsidRPr="00E060B8">
        <w:rPr>
          <w:rFonts w:ascii="Arial" w:eastAsia="Arial" w:hAnsi="Arial" w:cs="Arial"/>
          <w:b/>
          <w:bCs/>
        </w:rPr>
        <w:t xml:space="preserve"> </w:t>
      </w:r>
      <w:r>
        <w:rPr>
          <w:rFonts w:ascii="Arial" w:eastAsia="Arial" w:hAnsi="Arial" w:cs="Arial"/>
          <w:b/>
          <w:bCs/>
        </w:rPr>
        <w:t>– including evaluation</w:t>
      </w:r>
    </w:p>
    <w:p w14:paraId="1F58646F" w14:textId="77777777" w:rsidR="00166E22" w:rsidRDefault="00166E22" w:rsidP="00166E22">
      <w:pPr>
        <w:ind w:left="357"/>
        <w:rPr>
          <w:rFonts w:ascii="Arial" w:eastAsia="Arial" w:hAnsi="Arial" w:cs="Arial"/>
        </w:rPr>
      </w:pPr>
      <w:r>
        <w:rPr>
          <w:rFonts w:ascii="Arial" w:eastAsia="Arial" w:hAnsi="Arial" w:cs="Arial"/>
        </w:rPr>
        <w:t>Various parts of the agency deliver and schedule their own learning sessions for agency colleagues (in person/virtual via MS Teams).  The solution will therefore need to provide the functionality for relevant administrator roles in the business to easily</w:t>
      </w:r>
      <w:r w:rsidRPr="00B459CA">
        <w:rPr>
          <w:rFonts w:ascii="Arial" w:eastAsia="Arial" w:hAnsi="Arial" w:cs="Arial"/>
        </w:rPr>
        <w:t xml:space="preserve"> </w:t>
      </w:r>
      <w:r>
        <w:rPr>
          <w:rFonts w:ascii="Arial" w:eastAsia="Arial" w:hAnsi="Arial" w:cs="Arial"/>
        </w:rPr>
        <w:t>schedule the delivery of sessions which should provide for:</w:t>
      </w:r>
    </w:p>
    <w:p w14:paraId="1D11B5F1" w14:textId="77777777" w:rsidR="00166E22" w:rsidRDefault="00166E22" w:rsidP="00166E22">
      <w:pPr>
        <w:ind w:left="357"/>
        <w:rPr>
          <w:rFonts w:ascii="Arial" w:eastAsia="Arial" w:hAnsi="Arial" w:cs="Arial"/>
        </w:rPr>
      </w:pPr>
    </w:p>
    <w:p w14:paraId="4B7D9A31" w14:textId="77777777" w:rsidR="00166E22" w:rsidRPr="00C41DFA" w:rsidRDefault="00166E22" w:rsidP="00166E22">
      <w:pPr>
        <w:pStyle w:val="ListParagraph"/>
        <w:numPr>
          <w:ilvl w:val="0"/>
          <w:numId w:val="44"/>
        </w:numPr>
        <w:ind w:left="1077"/>
        <w:rPr>
          <w:rFonts w:ascii="Arial" w:eastAsia="Arial" w:hAnsi="Arial" w:cs="Arial"/>
        </w:rPr>
      </w:pPr>
      <w:r w:rsidRPr="00C41DFA">
        <w:rPr>
          <w:rFonts w:ascii="Arial" w:eastAsia="Arial" w:hAnsi="Arial" w:cs="Arial"/>
        </w:rPr>
        <w:t xml:space="preserve">Learner </w:t>
      </w:r>
      <w:proofErr w:type="spellStart"/>
      <w:r w:rsidRPr="00C41DFA">
        <w:rPr>
          <w:rFonts w:ascii="Arial" w:eastAsia="Arial" w:hAnsi="Arial" w:cs="Arial"/>
        </w:rPr>
        <w:t>self enrolment</w:t>
      </w:r>
      <w:proofErr w:type="spellEnd"/>
      <w:r w:rsidRPr="00C41DFA">
        <w:rPr>
          <w:rFonts w:ascii="Arial" w:eastAsia="Arial" w:hAnsi="Arial" w:cs="Arial"/>
        </w:rPr>
        <w:t xml:space="preserve"> </w:t>
      </w:r>
    </w:p>
    <w:p w14:paraId="2C913A1F" w14:textId="77777777" w:rsidR="00166E22" w:rsidRPr="00C41DFA" w:rsidRDefault="00166E22" w:rsidP="00166E22">
      <w:pPr>
        <w:pStyle w:val="ListParagraph"/>
        <w:numPr>
          <w:ilvl w:val="0"/>
          <w:numId w:val="44"/>
        </w:numPr>
        <w:ind w:left="1077"/>
        <w:rPr>
          <w:rFonts w:ascii="Arial" w:eastAsia="Arial" w:hAnsi="Arial" w:cs="Arial"/>
        </w:rPr>
      </w:pPr>
      <w:r w:rsidRPr="00C41DFA">
        <w:rPr>
          <w:rFonts w:ascii="Arial" w:eastAsia="Arial" w:hAnsi="Arial" w:cs="Arial"/>
        </w:rPr>
        <w:t xml:space="preserve">Management of course attendance, including with a waitlist management and approval facility </w:t>
      </w:r>
    </w:p>
    <w:p w14:paraId="5A6F7573" w14:textId="77777777" w:rsidR="00166E22" w:rsidRPr="00C41DFA" w:rsidRDefault="00166E22" w:rsidP="00166E22">
      <w:pPr>
        <w:pStyle w:val="ListParagraph"/>
        <w:numPr>
          <w:ilvl w:val="0"/>
          <w:numId w:val="44"/>
        </w:numPr>
        <w:ind w:left="1077"/>
        <w:rPr>
          <w:rFonts w:ascii="Arial" w:eastAsia="Arial" w:hAnsi="Arial" w:cs="Arial"/>
        </w:rPr>
      </w:pPr>
      <w:r w:rsidRPr="00C41DFA">
        <w:rPr>
          <w:rFonts w:ascii="Arial" w:eastAsia="Arial" w:hAnsi="Arial" w:cs="Arial"/>
        </w:rPr>
        <w:t xml:space="preserve">Issue auto generated confirmations of acceptance onto learning and Joining Instructions/calendar invites and reminders     </w:t>
      </w:r>
    </w:p>
    <w:p w14:paraId="00F9B3D8" w14:textId="77777777" w:rsidR="00166E22" w:rsidRDefault="00166E22" w:rsidP="00166E22">
      <w:pPr>
        <w:pStyle w:val="ListParagraph"/>
        <w:numPr>
          <w:ilvl w:val="0"/>
          <w:numId w:val="44"/>
        </w:numPr>
        <w:ind w:left="1077"/>
        <w:rPr>
          <w:rFonts w:ascii="Arial" w:eastAsia="Arial" w:hAnsi="Arial" w:cs="Arial"/>
        </w:rPr>
      </w:pPr>
      <w:r w:rsidRPr="00C41DFA">
        <w:rPr>
          <w:rFonts w:ascii="Arial" w:eastAsia="Arial" w:hAnsi="Arial" w:cs="Arial"/>
        </w:rPr>
        <w:t>Generation of attendance/</w:t>
      </w:r>
      <w:proofErr w:type="spellStart"/>
      <w:proofErr w:type="gramStart"/>
      <w:r w:rsidRPr="00C41DFA">
        <w:rPr>
          <w:rFonts w:ascii="Arial" w:eastAsia="Arial" w:hAnsi="Arial" w:cs="Arial"/>
        </w:rPr>
        <w:t>non attendance</w:t>
      </w:r>
      <w:proofErr w:type="spellEnd"/>
      <w:proofErr w:type="gramEnd"/>
      <w:r w:rsidRPr="00C41DFA">
        <w:rPr>
          <w:rFonts w:ascii="Arial" w:eastAsia="Arial" w:hAnsi="Arial" w:cs="Arial"/>
        </w:rPr>
        <w:t xml:space="preserve"> confirmation reports (and </w:t>
      </w:r>
      <w:r>
        <w:rPr>
          <w:rFonts w:ascii="Arial" w:eastAsia="Arial" w:hAnsi="Arial" w:cs="Arial"/>
        </w:rPr>
        <w:t xml:space="preserve">function to </w:t>
      </w:r>
      <w:r w:rsidRPr="00C41DFA">
        <w:rPr>
          <w:rFonts w:ascii="Arial" w:eastAsia="Arial" w:hAnsi="Arial" w:cs="Arial"/>
        </w:rPr>
        <w:t>record</w:t>
      </w:r>
      <w:r>
        <w:rPr>
          <w:rFonts w:ascii="Arial" w:eastAsia="Arial" w:hAnsi="Arial" w:cs="Arial"/>
        </w:rPr>
        <w:t xml:space="preserve">/upload </w:t>
      </w:r>
      <w:r w:rsidRPr="00C41DFA">
        <w:rPr>
          <w:rFonts w:ascii="Arial" w:eastAsia="Arial" w:hAnsi="Arial" w:cs="Arial"/>
        </w:rPr>
        <w:t>these on the system if in person)</w:t>
      </w:r>
    </w:p>
    <w:p w14:paraId="06750AA3" w14:textId="77777777" w:rsidR="00166E22" w:rsidRDefault="00166E22" w:rsidP="00166E22">
      <w:pPr>
        <w:pStyle w:val="ListParagraph"/>
        <w:numPr>
          <w:ilvl w:val="0"/>
          <w:numId w:val="44"/>
        </w:numPr>
        <w:ind w:left="1077"/>
        <w:rPr>
          <w:rFonts w:ascii="Arial" w:eastAsia="Arial" w:hAnsi="Arial" w:cs="Arial"/>
        </w:rPr>
      </w:pPr>
      <w:r w:rsidRPr="0098348E">
        <w:rPr>
          <w:rFonts w:ascii="Arial" w:eastAsia="Arial" w:hAnsi="Arial" w:cs="Arial"/>
        </w:rPr>
        <w:t xml:space="preserve">Issue of certificate of attendance </w:t>
      </w:r>
    </w:p>
    <w:p w14:paraId="5325C64A" w14:textId="77777777" w:rsidR="00166E22" w:rsidRPr="0098348E" w:rsidRDefault="00166E22" w:rsidP="00166E22">
      <w:pPr>
        <w:pStyle w:val="ListParagraph"/>
        <w:numPr>
          <w:ilvl w:val="0"/>
          <w:numId w:val="44"/>
        </w:numPr>
        <w:ind w:left="1077"/>
        <w:rPr>
          <w:rFonts w:ascii="Arial" w:eastAsia="Arial" w:hAnsi="Arial" w:cs="Arial"/>
        </w:rPr>
      </w:pPr>
      <w:r w:rsidRPr="0098348E">
        <w:rPr>
          <w:rFonts w:ascii="Arial" w:eastAsia="Arial" w:hAnsi="Arial" w:cs="Arial"/>
        </w:rPr>
        <w:t xml:space="preserve">Issue </w:t>
      </w:r>
      <w:r>
        <w:rPr>
          <w:rFonts w:ascii="Arial" w:eastAsia="Arial" w:hAnsi="Arial" w:cs="Arial"/>
        </w:rPr>
        <w:t xml:space="preserve">of </w:t>
      </w:r>
      <w:r w:rsidRPr="0098348E">
        <w:rPr>
          <w:rFonts w:ascii="Arial" w:eastAsia="Arial" w:hAnsi="Arial" w:cs="Arial"/>
        </w:rPr>
        <w:t xml:space="preserve">relevant auto generated evaluations at stages determined by level of evaluation adopted </w:t>
      </w:r>
    </w:p>
    <w:p w14:paraId="6B34D742" w14:textId="77777777" w:rsidR="00166E22" w:rsidRDefault="00166E22" w:rsidP="00166E22">
      <w:pPr>
        <w:ind w:left="357"/>
        <w:rPr>
          <w:rFonts w:ascii="Arial" w:eastAsia="Arial" w:hAnsi="Arial" w:cs="Arial"/>
        </w:rPr>
      </w:pPr>
    </w:p>
    <w:p w14:paraId="6532FFC7" w14:textId="77777777" w:rsidR="00166E22" w:rsidRDefault="00166E22" w:rsidP="00166E22">
      <w:pPr>
        <w:ind w:left="357"/>
        <w:rPr>
          <w:rFonts w:ascii="Arial" w:eastAsia="Arial" w:hAnsi="Arial" w:cs="Arial"/>
        </w:rPr>
      </w:pPr>
    </w:p>
    <w:p w14:paraId="708B586C" w14:textId="77777777" w:rsidR="00166E22" w:rsidRPr="00791B42" w:rsidRDefault="00166E22" w:rsidP="00166E22">
      <w:pPr>
        <w:ind w:left="357"/>
        <w:rPr>
          <w:rFonts w:ascii="Arial" w:eastAsia="Arial" w:hAnsi="Arial" w:cs="Arial"/>
          <w:b/>
          <w:bCs/>
        </w:rPr>
      </w:pPr>
      <w:r w:rsidRPr="00791B42">
        <w:rPr>
          <w:rFonts w:ascii="Arial" w:eastAsia="Arial" w:hAnsi="Arial" w:cs="Arial"/>
          <w:b/>
          <w:bCs/>
        </w:rPr>
        <w:t xml:space="preserve">Assessment functionality </w:t>
      </w:r>
    </w:p>
    <w:p w14:paraId="2CCC0CFD" w14:textId="77777777" w:rsidR="00166E22" w:rsidRDefault="00166E22" w:rsidP="00166E22">
      <w:pPr>
        <w:ind w:left="357"/>
        <w:rPr>
          <w:rFonts w:ascii="Arial" w:eastAsia="Arial" w:hAnsi="Arial" w:cs="Arial"/>
        </w:rPr>
      </w:pPr>
      <w:r>
        <w:rPr>
          <w:rFonts w:ascii="Arial" w:eastAsia="Arial" w:hAnsi="Arial" w:cs="Arial"/>
        </w:rPr>
        <w:t xml:space="preserve">The agency is implementing an “academy” approach for the delivery of learning for its cohorts of regulatory assessors and inspectors through their journey to achieving “accredited assessor” status. Ensuring that colleagues meet the </w:t>
      </w:r>
      <w:r>
        <w:t>standards of knowledge and skills to undertake our work means that we wish to track progress and sign off competence formally so that we apply consistent standards and a</w:t>
      </w:r>
      <w:r>
        <w:rPr>
          <w:rFonts w:ascii="Arial" w:eastAsia="Arial" w:hAnsi="Arial" w:cs="Arial"/>
        </w:rPr>
        <w:t>n individual’s successful attainment of the associated learning standards will be regularly assessed as part of their learning journey.  We envisage this will operate by assigning required learning modules and sessions to learners to undertake/attend prior to them completing some form of staged assessment to establish that they have been able to assimilate, apply and embed and evidence their learning related to that module.  We therefore require the solution to have the functionality to support delivery of formal assessments with pass fail thresholds, track attainment and capture learner reflections.</w:t>
      </w:r>
    </w:p>
    <w:p w14:paraId="2B1B132A" w14:textId="77777777" w:rsidR="00166E22" w:rsidRDefault="00166E22" w:rsidP="00166E22">
      <w:pPr>
        <w:ind w:left="357"/>
        <w:rPr>
          <w:rFonts w:ascii="Arial" w:eastAsia="Arial" w:hAnsi="Arial" w:cs="Arial"/>
          <w:b/>
          <w:bCs/>
        </w:rPr>
      </w:pPr>
    </w:p>
    <w:p w14:paraId="48BAF026" w14:textId="77777777" w:rsidR="00166E22" w:rsidRPr="00E060B8" w:rsidRDefault="00166E22" w:rsidP="00166E22">
      <w:pPr>
        <w:ind w:left="357"/>
        <w:rPr>
          <w:rFonts w:ascii="Arial" w:eastAsia="Arial" w:hAnsi="Arial" w:cs="Arial"/>
          <w:b/>
          <w:bCs/>
        </w:rPr>
      </w:pPr>
      <w:r w:rsidRPr="00E060B8">
        <w:rPr>
          <w:rFonts w:ascii="Arial" w:eastAsia="Arial" w:hAnsi="Arial" w:cs="Arial"/>
          <w:b/>
          <w:bCs/>
        </w:rPr>
        <w:t xml:space="preserve">Reporting </w:t>
      </w:r>
    </w:p>
    <w:p w14:paraId="469BBCFE" w14:textId="77777777" w:rsidR="00166E22" w:rsidRDefault="00166E22" w:rsidP="00166E22">
      <w:pPr>
        <w:ind w:left="357"/>
        <w:rPr>
          <w:rFonts w:ascii="Arial" w:eastAsia="Arial" w:hAnsi="Arial" w:cs="Arial"/>
        </w:rPr>
      </w:pPr>
      <w:r>
        <w:rPr>
          <w:rFonts w:ascii="Arial" w:eastAsia="Arial" w:hAnsi="Arial" w:cs="Arial"/>
        </w:rPr>
        <w:t>A key requirement of the solution would be to provide various users (line managers, learning designers, session schedulers/system administrators) with easy generation and access to relevant learning/usage data. The solution should be capable of generating dashboard and analytical report data that can be exported into Excel and ppt). The reports should be capable of detailing:</w:t>
      </w:r>
    </w:p>
    <w:p w14:paraId="5FAE3849" w14:textId="77777777" w:rsidR="00166E22" w:rsidRDefault="00166E22" w:rsidP="00166E22">
      <w:pPr>
        <w:ind w:left="357"/>
        <w:rPr>
          <w:rFonts w:ascii="Arial" w:eastAsia="Arial" w:hAnsi="Arial" w:cs="Arial"/>
        </w:rPr>
      </w:pPr>
      <w:r>
        <w:rPr>
          <w:rFonts w:ascii="Arial" w:eastAsia="Arial" w:hAnsi="Arial" w:cs="Arial"/>
        </w:rPr>
        <w:t xml:space="preserve">            </w:t>
      </w:r>
    </w:p>
    <w:p w14:paraId="39B22475"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I</w:t>
      </w:r>
      <w:r w:rsidRPr="00C714E2">
        <w:rPr>
          <w:rFonts w:ascii="Arial" w:hAnsi="Arial" w:cs="Arial"/>
        </w:rPr>
        <w:t>ndividual learner progress tracking</w:t>
      </w:r>
    </w:p>
    <w:p w14:paraId="022D717A"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 xml:space="preserve">Compliance training completion/non completion </w:t>
      </w:r>
    </w:p>
    <w:p w14:paraId="2467080C" w14:textId="77777777" w:rsidR="00166E22" w:rsidRDefault="00166E22" w:rsidP="00166E22">
      <w:pPr>
        <w:pStyle w:val="ListParagraph"/>
        <w:numPr>
          <w:ilvl w:val="0"/>
          <w:numId w:val="39"/>
        </w:numPr>
        <w:spacing w:after="160" w:line="259" w:lineRule="auto"/>
        <w:ind w:left="1077"/>
        <w:rPr>
          <w:rFonts w:ascii="Arial" w:hAnsi="Arial" w:cs="Arial"/>
        </w:rPr>
      </w:pPr>
      <w:proofErr w:type="spellStart"/>
      <w:r>
        <w:rPr>
          <w:rFonts w:ascii="Arial" w:hAnsi="Arial" w:cs="Arial"/>
        </w:rPr>
        <w:t>Self directed</w:t>
      </w:r>
      <w:proofErr w:type="spellEnd"/>
      <w:r>
        <w:rPr>
          <w:rFonts w:ascii="Arial" w:hAnsi="Arial" w:cs="Arial"/>
        </w:rPr>
        <w:t xml:space="preserve"> learning course completions </w:t>
      </w:r>
    </w:p>
    <w:p w14:paraId="1FAC8D14"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 xml:space="preserve">Access to/usage of hosted learning resources </w:t>
      </w:r>
    </w:p>
    <w:p w14:paraId="39AD0525"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In person/virtual training session course attendance lists</w:t>
      </w:r>
    </w:p>
    <w:p w14:paraId="3DAB1DDB" w14:textId="77777777" w:rsidR="00166E22" w:rsidRPr="00C714E2" w:rsidRDefault="00166E22" w:rsidP="00166E22">
      <w:pPr>
        <w:pStyle w:val="ListParagraph"/>
        <w:numPr>
          <w:ilvl w:val="0"/>
          <w:numId w:val="39"/>
        </w:numPr>
        <w:spacing w:after="160" w:line="259" w:lineRule="auto"/>
        <w:ind w:left="1077"/>
        <w:rPr>
          <w:rFonts w:ascii="Arial" w:hAnsi="Arial" w:cs="Arial"/>
        </w:rPr>
      </w:pPr>
      <w:r>
        <w:rPr>
          <w:rFonts w:ascii="Arial" w:hAnsi="Arial" w:cs="Arial"/>
        </w:rPr>
        <w:lastRenderedPageBreak/>
        <w:t>Confirmation of attendance/</w:t>
      </w:r>
      <w:proofErr w:type="spellStart"/>
      <w:proofErr w:type="gramStart"/>
      <w:r>
        <w:rPr>
          <w:rFonts w:ascii="Arial" w:hAnsi="Arial" w:cs="Arial"/>
        </w:rPr>
        <w:t>Non attendance</w:t>
      </w:r>
      <w:proofErr w:type="spellEnd"/>
      <w:proofErr w:type="gramEnd"/>
      <w:r>
        <w:rPr>
          <w:rFonts w:ascii="Arial" w:hAnsi="Arial" w:cs="Arial"/>
        </w:rPr>
        <w:t xml:space="preserve"> of sessions </w:t>
      </w:r>
    </w:p>
    <w:p w14:paraId="68A523FC"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 xml:space="preserve">The intelligent </w:t>
      </w:r>
      <w:r w:rsidRPr="00C714E2">
        <w:rPr>
          <w:rFonts w:ascii="Arial" w:hAnsi="Arial" w:cs="Arial"/>
        </w:rPr>
        <w:t>collat</w:t>
      </w:r>
      <w:r>
        <w:rPr>
          <w:rFonts w:ascii="Arial" w:hAnsi="Arial" w:cs="Arial"/>
        </w:rPr>
        <w:t>ion and r</w:t>
      </w:r>
      <w:r w:rsidRPr="00C714E2">
        <w:rPr>
          <w:rFonts w:ascii="Arial" w:hAnsi="Arial" w:cs="Arial"/>
        </w:rPr>
        <w:t>eport</w:t>
      </w:r>
      <w:r>
        <w:rPr>
          <w:rFonts w:ascii="Arial" w:hAnsi="Arial" w:cs="Arial"/>
        </w:rPr>
        <w:t>ing</w:t>
      </w:r>
      <w:r w:rsidRPr="00C714E2">
        <w:rPr>
          <w:rFonts w:ascii="Arial" w:hAnsi="Arial" w:cs="Arial"/>
        </w:rPr>
        <w:t xml:space="preserve"> on learning</w:t>
      </w:r>
      <w:r>
        <w:rPr>
          <w:rFonts w:ascii="Arial" w:hAnsi="Arial" w:cs="Arial"/>
        </w:rPr>
        <w:t>/qualifications</w:t>
      </w:r>
      <w:r w:rsidRPr="00C714E2">
        <w:rPr>
          <w:rFonts w:ascii="Arial" w:hAnsi="Arial" w:cs="Arial"/>
        </w:rPr>
        <w:t xml:space="preserve"> undertaken</w:t>
      </w:r>
      <w:r>
        <w:rPr>
          <w:rFonts w:ascii="Arial" w:hAnsi="Arial" w:cs="Arial"/>
        </w:rPr>
        <w:t xml:space="preserve"> and completed </w:t>
      </w:r>
      <w:r w:rsidRPr="00C714E2">
        <w:rPr>
          <w:rFonts w:ascii="Arial" w:hAnsi="Arial" w:cs="Arial"/>
        </w:rPr>
        <w:t xml:space="preserve">independently outside of any central agency </w:t>
      </w:r>
      <w:r>
        <w:rPr>
          <w:rFonts w:ascii="Arial" w:hAnsi="Arial" w:cs="Arial"/>
        </w:rPr>
        <w:t xml:space="preserve">or cross government provision </w:t>
      </w:r>
    </w:p>
    <w:p w14:paraId="22627B0D"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 xml:space="preserve">A report for managers on training completion status for their teams </w:t>
      </w:r>
    </w:p>
    <w:p w14:paraId="371768E8" w14:textId="77777777" w:rsidR="00166E22" w:rsidRDefault="00166E22" w:rsidP="00166E22">
      <w:pPr>
        <w:pStyle w:val="ListParagraph"/>
        <w:numPr>
          <w:ilvl w:val="0"/>
          <w:numId w:val="39"/>
        </w:numPr>
        <w:spacing w:after="160" w:line="259" w:lineRule="auto"/>
        <w:ind w:left="1077"/>
        <w:rPr>
          <w:rFonts w:ascii="Arial" w:hAnsi="Arial" w:cs="Arial"/>
        </w:rPr>
      </w:pPr>
      <w:r>
        <w:rPr>
          <w:rFonts w:ascii="Arial" w:hAnsi="Arial" w:cs="Arial"/>
        </w:rPr>
        <w:t>Evaluation data by programmes, periods of time, resources etc</w:t>
      </w:r>
    </w:p>
    <w:p w14:paraId="18205530" w14:textId="77777777" w:rsidR="00166E22" w:rsidRDefault="00166E22" w:rsidP="00166E22">
      <w:pPr>
        <w:ind w:left="357"/>
        <w:rPr>
          <w:rFonts w:ascii="Arial" w:eastAsia="Arial" w:hAnsi="Arial" w:cs="Arial"/>
          <w:b/>
          <w:bCs/>
        </w:rPr>
      </w:pPr>
    </w:p>
    <w:p w14:paraId="2B70E22A" w14:textId="77777777" w:rsidR="00166E22" w:rsidRDefault="00166E22" w:rsidP="00166E22">
      <w:pPr>
        <w:ind w:left="357"/>
        <w:rPr>
          <w:rFonts w:ascii="Arial" w:eastAsia="Arial" w:hAnsi="Arial" w:cs="Arial"/>
          <w:b/>
          <w:bCs/>
        </w:rPr>
      </w:pPr>
      <w:r>
        <w:rPr>
          <w:rFonts w:ascii="Arial" w:eastAsia="Arial" w:hAnsi="Arial" w:cs="Arial"/>
          <w:b/>
          <w:bCs/>
        </w:rPr>
        <w:t xml:space="preserve">Talent Management Function </w:t>
      </w:r>
    </w:p>
    <w:p w14:paraId="24A122ED" w14:textId="77777777" w:rsidR="00166E22" w:rsidRDefault="00166E22" w:rsidP="00166E22">
      <w:pPr>
        <w:ind w:left="357"/>
        <w:rPr>
          <w:rFonts w:ascii="Arial" w:hAnsi="Arial" w:cs="Arial"/>
        </w:rPr>
      </w:pPr>
      <w:r>
        <w:rPr>
          <w:rFonts w:ascii="Arial" w:hAnsi="Arial" w:cs="Arial"/>
        </w:rPr>
        <w:t xml:space="preserve">Our intention for the solution would be to have a connected platform that supports both learning, performance, career development and succession planning. Ideally, we would be looking for a learning solution that includes, or </w:t>
      </w:r>
      <w:proofErr w:type="gramStart"/>
      <w:r>
        <w:rPr>
          <w:rFonts w:ascii="Arial" w:hAnsi="Arial" w:cs="Arial"/>
        </w:rPr>
        <w:t>is capable of integrating</w:t>
      </w:r>
      <w:proofErr w:type="gramEnd"/>
      <w:r>
        <w:rPr>
          <w:rFonts w:ascii="Arial" w:hAnsi="Arial" w:cs="Arial"/>
        </w:rPr>
        <w:t xml:space="preserve"> with, talent management module functionality and provides for reports and analytics that link to performance outcomes, providing talent specialists and senior managers with the insights and function to manage across the full talent cycle. </w:t>
      </w:r>
    </w:p>
    <w:p w14:paraId="0FDFF484" w14:textId="77777777" w:rsidR="00D038AD" w:rsidRDefault="00D038AD" w:rsidP="00166E22">
      <w:pPr>
        <w:ind w:left="357"/>
        <w:rPr>
          <w:rFonts w:ascii="Arial" w:hAnsi="Arial" w:cs="Arial"/>
        </w:rPr>
      </w:pPr>
    </w:p>
    <w:p w14:paraId="21FB7293" w14:textId="7A0695D7" w:rsidR="00D038AD" w:rsidRDefault="00D038AD" w:rsidP="00166E22">
      <w:pPr>
        <w:ind w:left="357"/>
        <w:rPr>
          <w:rFonts w:ascii="Arial" w:hAnsi="Arial" w:cs="Arial"/>
          <w:b/>
          <w:bCs/>
        </w:rPr>
      </w:pPr>
      <w:r w:rsidRPr="00D038AD">
        <w:rPr>
          <w:rFonts w:ascii="Arial" w:hAnsi="Arial" w:cs="Arial"/>
          <w:b/>
          <w:bCs/>
        </w:rPr>
        <w:t>Implementation</w:t>
      </w:r>
    </w:p>
    <w:p w14:paraId="43957E0C" w14:textId="61BCE7EC" w:rsidR="00383368" w:rsidRDefault="00CB1F53" w:rsidP="00383368">
      <w:pPr>
        <w:pStyle w:val="xmsolistparagraph"/>
        <w:ind w:left="357"/>
        <w:rPr>
          <w:rFonts w:eastAsia="Times New Roman"/>
        </w:rPr>
      </w:pPr>
      <w:r>
        <w:rPr>
          <w:rFonts w:ascii="Arial" w:hAnsi="Arial" w:cs="Arial"/>
        </w:rPr>
        <w:t xml:space="preserve">We </w:t>
      </w:r>
      <w:r w:rsidR="00C46971">
        <w:rPr>
          <w:rFonts w:ascii="Arial" w:hAnsi="Arial" w:cs="Arial"/>
        </w:rPr>
        <w:t xml:space="preserve">would be looking for </w:t>
      </w:r>
      <w:r w:rsidR="00254525">
        <w:rPr>
          <w:rFonts w:ascii="Arial" w:hAnsi="Arial" w:cs="Arial"/>
        </w:rPr>
        <w:t>a</w:t>
      </w:r>
      <w:r w:rsidR="00FD03BF">
        <w:rPr>
          <w:rFonts w:ascii="Arial" w:hAnsi="Arial" w:cs="Arial"/>
        </w:rPr>
        <w:t xml:space="preserve">ssurance that </w:t>
      </w:r>
      <w:r>
        <w:rPr>
          <w:rFonts w:ascii="Arial" w:hAnsi="Arial" w:cs="Arial"/>
        </w:rPr>
        <w:t xml:space="preserve">some </w:t>
      </w:r>
      <w:r w:rsidR="00B44212">
        <w:rPr>
          <w:rFonts w:ascii="Arial" w:hAnsi="Arial" w:cs="Arial"/>
        </w:rPr>
        <w:t xml:space="preserve">form or </w:t>
      </w:r>
      <w:r>
        <w:rPr>
          <w:rFonts w:ascii="Arial" w:hAnsi="Arial" w:cs="Arial"/>
        </w:rPr>
        <w:t>degree of implementation</w:t>
      </w:r>
      <w:r w:rsidR="00854A79">
        <w:rPr>
          <w:rFonts w:ascii="Arial" w:hAnsi="Arial" w:cs="Arial"/>
        </w:rPr>
        <w:t xml:space="preserve">, </w:t>
      </w:r>
      <w:r w:rsidR="006E0783">
        <w:rPr>
          <w:rFonts w:ascii="Arial" w:hAnsi="Arial" w:cs="Arial"/>
        </w:rPr>
        <w:t xml:space="preserve">including </w:t>
      </w:r>
      <w:r w:rsidR="00B44212">
        <w:rPr>
          <w:rFonts w:ascii="Arial" w:hAnsi="Arial" w:cs="Arial"/>
        </w:rPr>
        <w:t>a kick off meeting</w:t>
      </w:r>
      <w:r w:rsidR="00383368">
        <w:rPr>
          <w:rFonts w:ascii="Arial" w:eastAsia="Times New Roman" w:hAnsi="Arial" w:cs="Arial"/>
        </w:rPr>
        <w:t xml:space="preserve"> to agree delivery milestones</w:t>
      </w:r>
      <w:r w:rsidR="00A343D1">
        <w:rPr>
          <w:rFonts w:ascii="Arial" w:eastAsia="Times New Roman" w:hAnsi="Arial" w:cs="Arial"/>
        </w:rPr>
        <w:t>,</w:t>
      </w:r>
      <w:r w:rsidR="00383368">
        <w:rPr>
          <w:rFonts w:ascii="Arial" w:eastAsia="Times New Roman" w:hAnsi="Arial" w:cs="Arial"/>
        </w:rPr>
        <w:t xml:space="preserve"> </w:t>
      </w:r>
      <w:r w:rsidR="002D0059">
        <w:rPr>
          <w:rFonts w:ascii="Arial" w:eastAsia="Times New Roman" w:hAnsi="Arial" w:cs="Arial"/>
        </w:rPr>
        <w:t xml:space="preserve">can take place </w:t>
      </w:r>
      <w:r w:rsidR="00383368">
        <w:rPr>
          <w:rFonts w:ascii="Arial" w:eastAsia="Times New Roman" w:hAnsi="Arial" w:cs="Arial"/>
        </w:rPr>
        <w:t>before 31</w:t>
      </w:r>
      <w:r w:rsidR="00383368">
        <w:rPr>
          <w:rFonts w:ascii="Arial" w:eastAsia="Times New Roman" w:hAnsi="Arial" w:cs="Arial"/>
          <w:vertAlign w:val="superscript"/>
        </w:rPr>
        <w:t>st</w:t>
      </w:r>
      <w:r w:rsidR="00383368">
        <w:rPr>
          <w:rFonts w:ascii="Arial" w:eastAsia="Times New Roman" w:hAnsi="Arial" w:cs="Arial"/>
        </w:rPr>
        <w:t xml:space="preserve"> March as recognition of commencement of delivery</w:t>
      </w:r>
      <w:r w:rsidR="002D0059">
        <w:rPr>
          <w:rFonts w:ascii="Arial" w:eastAsia="Times New Roman" w:hAnsi="Arial" w:cs="Arial"/>
        </w:rPr>
        <w:t>.</w:t>
      </w:r>
    </w:p>
    <w:p w14:paraId="08F791CC" w14:textId="5911677A" w:rsidR="00243548" w:rsidRPr="00243548" w:rsidRDefault="00243548" w:rsidP="00166E22">
      <w:pPr>
        <w:ind w:left="357"/>
        <w:rPr>
          <w:rFonts w:ascii="Arial" w:hAnsi="Arial" w:cs="Arial"/>
        </w:rPr>
      </w:pPr>
    </w:p>
    <w:p w14:paraId="54C5A461" w14:textId="77777777" w:rsidR="00166E22" w:rsidRPr="0015754C" w:rsidRDefault="00166E22" w:rsidP="00166E22">
      <w:pPr>
        <w:ind w:left="357"/>
        <w:rPr>
          <w:rFonts w:ascii="Arial" w:hAnsi="Arial" w:cs="Arial"/>
        </w:rPr>
      </w:pPr>
      <w:r>
        <w:rPr>
          <w:rFonts w:ascii="Arial" w:hAnsi="Arial" w:cs="Arial"/>
        </w:rPr>
        <w:t xml:space="preserve">       </w:t>
      </w:r>
    </w:p>
    <w:p w14:paraId="6ABAAE70" w14:textId="77777777" w:rsidR="00166E22" w:rsidRPr="00166E22" w:rsidRDefault="00166E22" w:rsidP="00166E22"/>
    <w:p w14:paraId="03D9D034" w14:textId="723A6BA1" w:rsidR="002147DD" w:rsidRDefault="002147DD" w:rsidP="00DF644D">
      <w:pPr>
        <w:pStyle w:val="Heading1"/>
        <w:numPr>
          <w:ilvl w:val="0"/>
          <w:numId w:val="0"/>
        </w:numPr>
      </w:pPr>
      <w:bookmarkStart w:id="34" w:name="_Toc214868686"/>
      <w:r>
        <w:lastRenderedPageBreak/>
        <w:t xml:space="preserve">Appendix </w:t>
      </w:r>
      <w:r w:rsidR="00826365">
        <w:t>C</w:t>
      </w:r>
      <w:r>
        <w:t>: Service Levels, Service Credits and KPIs</w:t>
      </w:r>
      <w:bookmarkEnd w:id="34"/>
    </w:p>
    <w:p w14:paraId="3E7579B9" w14:textId="77777777" w:rsidR="007F69BE" w:rsidRPr="00F7429D" w:rsidRDefault="007F69BE" w:rsidP="007F69BE">
      <w:pPr>
        <w:rPr>
          <w:rFonts w:eastAsia="Aptos" w:cstheme="minorHAnsi"/>
          <w:spacing w:val="-1"/>
          <w:szCs w:val="20"/>
        </w:rPr>
      </w:pPr>
      <w:r w:rsidRPr="00F7429D">
        <w:rPr>
          <w:rFonts w:eastAsia="Aptos" w:cstheme="minorHAnsi"/>
          <w:spacing w:val="-1"/>
          <w:szCs w:val="20"/>
        </w:rPr>
        <w:t xml:space="preserve">For </w:t>
      </w:r>
      <w:r>
        <w:rPr>
          <w:rFonts w:eastAsia="Aptos" w:cstheme="minorHAnsi"/>
          <w:spacing w:val="-1"/>
          <w:szCs w:val="20"/>
        </w:rPr>
        <w:t>implementation of the LMS</w:t>
      </w:r>
      <w:r w:rsidRPr="00F7429D">
        <w:rPr>
          <w:rFonts w:eastAsia="Aptos" w:cstheme="minorHAnsi"/>
          <w:spacing w:val="-1"/>
          <w:szCs w:val="20"/>
        </w:rPr>
        <w:t xml:space="preserve">, we </w:t>
      </w:r>
      <w:r w:rsidRPr="00F7429D">
        <w:rPr>
          <w:rFonts w:cstheme="minorHAnsi"/>
        </w:rPr>
        <w:t>will measure the quality of the delivery by:</w:t>
      </w:r>
    </w:p>
    <w:p w14:paraId="3BCB7F6E" w14:textId="77777777" w:rsidR="007F69BE" w:rsidRDefault="007F69BE" w:rsidP="007F69BE">
      <w:pPr>
        <w:pStyle w:val="Standard"/>
        <w:rPr>
          <w:sz w:val="24"/>
          <w:szCs w:val="24"/>
        </w:rPr>
      </w:pPr>
    </w:p>
    <w:p w14:paraId="08E474E8" w14:textId="77777777" w:rsidR="007F69BE" w:rsidRDefault="007F69BE" w:rsidP="007F69BE">
      <w:pPr>
        <w:pStyle w:val="Standard"/>
      </w:pPr>
      <w:r>
        <w:rPr>
          <w:sz w:val="24"/>
          <w:szCs w:val="24"/>
        </w:rPr>
        <w:t>(This table includes 4 columns and 3 rows)</w:t>
      </w:r>
    </w:p>
    <w:tbl>
      <w:tblPr>
        <w:tblW w:w="9340" w:type="dxa"/>
        <w:tblCellMar>
          <w:left w:w="10" w:type="dxa"/>
          <w:right w:w="10" w:type="dxa"/>
        </w:tblCellMar>
        <w:tblLook w:val="04A0" w:firstRow="1" w:lastRow="0" w:firstColumn="1" w:lastColumn="0" w:noHBand="0" w:noVBand="1"/>
      </w:tblPr>
      <w:tblGrid>
        <w:gridCol w:w="1555"/>
        <w:gridCol w:w="3115"/>
        <w:gridCol w:w="3405"/>
        <w:gridCol w:w="1265"/>
      </w:tblGrid>
      <w:tr w:rsidR="007F69BE" w14:paraId="5526BFA8" w14:textId="77777777">
        <w:trPr>
          <w:trHeight w:val="861"/>
        </w:trPr>
        <w:tc>
          <w:tcPr>
            <w:tcW w:w="15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F65A8DF" w14:textId="77777777" w:rsidR="007F69BE" w:rsidRDefault="007F69BE">
            <w:pPr>
              <w:pStyle w:val="Standard"/>
              <w:rPr>
                <w:sz w:val="24"/>
                <w:szCs w:val="24"/>
              </w:rPr>
            </w:pPr>
            <w:r>
              <w:rPr>
                <w:sz w:val="24"/>
                <w:szCs w:val="24"/>
              </w:rPr>
              <w:t>KPI/SLA</w:t>
            </w:r>
          </w:p>
        </w:tc>
        <w:tc>
          <w:tcPr>
            <w:tcW w:w="311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A0C3C84" w14:textId="77777777" w:rsidR="007F69BE" w:rsidRDefault="007F69BE">
            <w:pPr>
              <w:pStyle w:val="Standard"/>
              <w:rPr>
                <w:sz w:val="24"/>
                <w:szCs w:val="24"/>
              </w:rPr>
            </w:pPr>
            <w:r>
              <w:rPr>
                <w:sz w:val="24"/>
                <w:szCs w:val="24"/>
              </w:rPr>
              <w:t>Service Area</w:t>
            </w:r>
          </w:p>
        </w:tc>
        <w:tc>
          <w:tcPr>
            <w:tcW w:w="34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27A7510" w14:textId="77777777" w:rsidR="007F69BE" w:rsidRDefault="007F69BE">
            <w:pPr>
              <w:pStyle w:val="Standard"/>
              <w:rPr>
                <w:sz w:val="24"/>
                <w:szCs w:val="24"/>
              </w:rPr>
            </w:pPr>
            <w:r>
              <w:rPr>
                <w:sz w:val="24"/>
                <w:szCs w:val="24"/>
              </w:rPr>
              <w:t>KPI/SLA description</w:t>
            </w:r>
          </w:p>
        </w:tc>
        <w:tc>
          <w:tcPr>
            <w:tcW w:w="126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E9A9E0" w14:textId="77777777" w:rsidR="007F69BE" w:rsidRDefault="007F69BE">
            <w:pPr>
              <w:pStyle w:val="Standard"/>
              <w:rPr>
                <w:sz w:val="24"/>
                <w:szCs w:val="24"/>
              </w:rPr>
            </w:pPr>
            <w:r>
              <w:rPr>
                <w:sz w:val="24"/>
                <w:szCs w:val="24"/>
              </w:rPr>
              <w:t>Target</w:t>
            </w:r>
          </w:p>
        </w:tc>
      </w:tr>
      <w:tr w:rsidR="007F69BE" w:rsidRPr="004706AA" w14:paraId="222F9FE2" w14:textId="77777777">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3733C" w14:textId="77777777" w:rsidR="007F69BE" w:rsidRPr="004706AA" w:rsidRDefault="007F69BE">
            <w:pPr>
              <w:pStyle w:val="Standard"/>
              <w:rPr>
                <w:sz w:val="24"/>
                <w:szCs w:val="24"/>
              </w:rPr>
            </w:pPr>
            <w:r w:rsidRPr="004706AA">
              <w:rPr>
                <w:sz w:val="24"/>
                <w:szCs w:val="24"/>
              </w:rPr>
              <w:t>1</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8B185" w14:textId="77777777" w:rsidR="007F69BE" w:rsidRPr="004706AA" w:rsidRDefault="007F69BE">
            <w:pPr>
              <w:pStyle w:val="Standard"/>
              <w:rPr>
                <w:sz w:val="24"/>
                <w:szCs w:val="24"/>
              </w:rPr>
            </w:pPr>
            <w:r>
              <w:rPr>
                <w:sz w:val="24"/>
                <w:szCs w:val="24"/>
              </w:rPr>
              <w:t>Initial implementation /stand up d</w:t>
            </w:r>
            <w:r w:rsidRPr="004706AA">
              <w:rPr>
                <w:sz w:val="24"/>
                <w:szCs w:val="24"/>
              </w:rPr>
              <w:t xml:space="preserve">elivery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F044B" w14:textId="77777777" w:rsidR="007F69BE" w:rsidRPr="004706AA" w:rsidRDefault="007F69BE">
            <w:pPr>
              <w:pStyle w:val="Standard"/>
              <w:rPr>
                <w:sz w:val="24"/>
                <w:szCs w:val="24"/>
              </w:rPr>
            </w:pPr>
            <w:r w:rsidRPr="004706AA">
              <w:rPr>
                <w:sz w:val="24"/>
                <w:szCs w:val="24"/>
              </w:rPr>
              <w:t xml:space="preserve">Weekly progress delivery reports presented by the Supplier </w:t>
            </w:r>
            <w:r>
              <w:rPr>
                <w:sz w:val="24"/>
                <w:szCs w:val="24"/>
              </w:rPr>
              <w:t>to customer</w:t>
            </w:r>
            <w:r w:rsidRPr="004706AA">
              <w:rPr>
                <w:sz w:val="24"/>
                <w:szCs w:val="24"/>
              </w:rPr>
              <w:t xml:space="preserve"> board</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4AE4D" w14:textId="77777777" w:rsidR="007F69BE" w:rsidRPr="004706AA" w:rsidRDefault="007F69BE">
            <w:pPr>
              <w:pStyle w:val="Standard"/>
              <w:rPr>
                <w:sz w:val="24"/>
                <w:szCs w:val="24"/>
              </w:rPr>
            </w:pPr>
            <w:r w:rsidRPr="004706AA">
              <w:rPr>
                <w:sz w:val="24"/>
                <w:szCs w:val="24"/>
              </w:rPr>
              <w:t>100%</w:t>
            </w:r>
          </w:p>
        </w:tc>
      </w:tr>
      <w:tr w:rsidR="007F69BE" w:rsidRPr="004706AA" w14:paraId="3C1D45FD" w14:textId="77777777">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567C3" w14:textId="77777777" w:rsidR="007F69BE" w:rsidRPr="004706AA" w:rsidRDefault="007F69BE">
            <w:pPr>
              <w:pStyle w:val="Standard"/>
              <w:rPr>
                <w:sz w:val="24"/>
                <w:szCs w:val="24"/>
              </w:rPr>
            </w:pPr>
            <w:r>
              <w:rPr>
                <w:sz w:val="24"/>
                <w:szCs w:val="24"/>
              </w:rPr>
              <w:t>2</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A6255" w14:textId="77777777" w:rsidR="007F69BE" w:rsidRDefault="007F69BE">
            <w:pPr>
              <w:pStyle w:val="Standard"/>
              <w:rPr>
                <w:sz w:val="24"/>
                <w:szCs w:val="24"/>
              </w:rPr>
            </w:pPr>
            <w:r>
              <w:rPr>
                <w:sz w:val="24"/>
                <w:szCs w:val="24"/>
              </w:rPr>
              <w:t xml:space="preserve">Full roll out delivery </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B1D16" w14:textId="77777777" w:rsidR="007F69BE" w:rsidRPr="004706AA" w:rsidRDefault="007F69BE">
            <w:pPr>
              <w:pStyle w:val="Standard"/>
              <w:rPr>
                <w:sz w:val="24"/>
                <w:szCs w:val="24"/>
              </w:rPr>
            </w:pPr>
            <w:r w:rsidRPr="004706AA">
              <w:rPr>
                <w:sz w:val="24"/>
                <w:szCs w:val="24"/>
              </w:rPr>
              <w:t xml:space="preserve">Weekly progress delivery reports presented by the Supplier </w:t>
            </w:r>
            <w:r>
              <w:rPr>
                <w:sz w:val="24"/>
                <w:szCs w:val="24"/>
              </w:rPr>
              <w:t>to customer</w:t>
            </w:r>
            <w:r w:rsidRPr="004706AA">
              <w:rPr>
                <w:sz w:val="24"/>
                <w:szCs w:val="24"/>
              </w:rPr>
              <w:t xml:space="preserve"> board</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B666" w14:textId="77777777" w:rsidR="007F69BE" w:rsidRPr="004706AA" w:rsidRDefault="007F69BE">
            <w:pPr>
              <w:pStyle w:val="Standard"/>
              <w:rPr>
                <w:sz w:val="24"/>
                <w:szCs w:val="24"/>
              </w:rPr>
            </w:pPr>
            <w:r>
              <w:rPr>
                <w:sz w:val="24"/>
                <w:szCs w:val="24"/>
              </w:rPr>
              <w:t>100%</w:t>
            </w:r>
          </w:p>
        </w:tc>
      </w:tr>
      <w:tr w:rsidR="007F69BE" w:rsidRPr="004706AA" w14:paraId="0289D205" w14:textId="77777777">
        <w:trPr>
          <w:trHeight w:val="1043"/>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2DA25" w14:textId="77777777" w:rsidR="007F69BE" w:rsidRPr="004706AA" w:rsidRDefault="007F69BE">
            <w:pPr>
              <w:pStyle w:val="Standard"/>
              <w:rPr>
                <w:sz w:val="24"/>
                <w:szCs w:val="24"/>
              </w:rPr>
            </w:pPr>
            <w:r>
              <w:rPr>
                <w:sz w:val="24"/>
                <w:szCs w:val="24"/>
              </w:rPr>
              <w:t>3</w:t>
            </w:r>
          </w:p>
        </w:tc>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921C" w14:textId="77777777" w:rsidR="007F69BE" w:rsidRPr="004706AA" w:rsidRDefault="007F69BE">
            <w:pPr>
              <w:pStyle w:val="Standard"/>
              <w:rPr>
                <w:sz w:val="24"/>
                <w:szCs w:val="24"/>
              </w:rPr>
            </w:pPr>
            <w:r>
              <w:rPr>
                <w:sz w:val="24"/>
                <w:szCs w:val="24"/>
              </w:rPr>
              <w:t>Agreed d</w:t>
            </w:r>
            <w:r w:rsidRPr="004706AA">
              <w:rPr>
                <w:sz w:val="24"/>
                <w:szCs w:val="24"/>
              </w:rPr>
              <w:t>elivery Milestones</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1FC0" w14:textId="77777777" w:rsidR="007F69BE" w:rsidRPr="004706AA" w:rsidRDefault="007F69BE">
            <w:pPr>
              <w:pStyle w:val="Standard"/>
              <w:rPr>
                <w:sz w:val="24"/>
                <w:szCs w:val="24"/>
              </w:rPr>
            </w:pPr>
            <w:r w:rsidRPr="004706AA">
              <w:rPr>
                <w:sz w:val="24"/>
                <w:szCs w:val="24"/>
              </w:rPr>
              <w:t>Delivery against mutually agreed baselined project plan</w:t>
            </w:r>
          </w:p>
        </w:t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7F1F3" w14:textId="77777777" w:rsidR="007F69BE" w:rsidRPr="004706AA" w:rsidRDefault="007F69BE">
            <w:pPr>
              <w:pStyle w:val="Standard"/>
              <w:rPr>
                <w:sz w:val="24"/>
                <w:szCs w:val="24"/>
              </w:rPr>
            </w:pPr>
            <w:r w:rsidRPr="004706AA">
              <w:rPr>
                <w:sz w:val="24"/>
                <w:szCs w:val="24"/>
              </w:rPr>
              <w:t xml:space="preserve">+/- </w:t>
            </w:r>
            <w:r>
              <w:rPr>
                <w:sz w:val="24"/>
                <w:szCs w:val="24"/>
              </w:rPr>
              <w:t>7</w:t>
            </w:r>
            <w:r w:rsidRPr="004706AA">
              <w:rPr>
                <w:sz w:val="24"/>
                <w:szCs w:val="24"/>
              </w:rPr>
              <w:t xml:space="preserve"> days</w:t>
            </w:r>
          </w:p>
        </w:tc>
      </w:tr>
    </w:tbl>
    <w:p w14:paraId="7C4ABC04" w14:textId="77777777" w:rsidR="007F69BE" w:rsidRDefault="007F69BE" w:rsidP="007F69BE">
      <w:pPr>
        <w:rPr>
          <w:rFonts w:ascii="Aptos" w:eastAsia="Aptos" w:hAnsi="Aptos" w:cs="Aptos"/>
          <w:spacing w:val="-1"/>
          <w:szCs w:val="20"/>
        </w:rPr>
      </w:pPr>
    </w:p>
    <w:p w14:paraId="5A1BDA1E" w14:textId="77777777" w:rsidR="007F69BE" w:rsidRDefault="007F69BE" w:rsidP="007F69BE">
      <w:pPr>
        <w:rPr>
          <w:rFonts w:ascii="Aptos" w:eastAsia="Aptos" w:hAnsi="Aptos" w:cs="Aptos"/>
          <w:spacing w:val="-1"/>
          <w:szCs w:val="20"/>
        </w:rPr>
      </w:pPr>
    </w:p>
    <w:p w14:paraId="798B9A9E" w14:textId="77777777" w:rsidR="007F69BE" w:rsidRPr="00F7429D" w:rsidRDefault="007F69BE" w:rsidP="007F69BE">
      <w:pPr>
        <w:rPr>
          <w:rFonts w:eastAsia="Aptos" w:cstheme="minorHAnsi"/>
          <w:spacing w:val="-1"/>
          <w:szCs w:val="20"/>
        </w:rPr>
      </w:pPr>
      <w:r w:rsidRPr="00F7429D">
        <w:rPr>
          <w:rFonts w:eastAsia="Aptos" w:cstheme="minorHAnsi"/>
          <w:spacing w:val="-1"/>
          <w:szCs w:val="20"/>
        </w:rPr>
        <w:t xml:space="preserve">For ongoing support of the </w:t>
      </w:r>
      <w:r>
        <w:rPr>
          <w:rFonts w:eastAsia="Aptos" w:cstheme="minorHAnsi"/>
          <w:spacing w:val="-1"/>
          <w:szCs w:val="20"/>
        </w:rPr>
        <w:t>LMS</w:t>
      </w:r>
      <w:r w:rsidRPr="00F7429D">
        <w:rPr>
          <w:rFonts w:eastAsia="Aptos" w:cstheme="minorHAnsi"/>
          <w:spacing w:val="-1"/>
          <w:szCs w:val="20"/>
        </w:rPr>
        <w:t>, we have the following requirements:</w:t>
      </w:r>
      <w:r w:rsidRPr="00F7429D">
        <w:rPr>
          <w:rFonts w:eastAsia="Aptos" w:cstheme="minorHAnsi"/>
          <w:spacing w:val="-1"/>
          <w:szCs w:val="20"/>
        </w:rPr>
        <w:br/>
      </w:r>
    </w:p>
    <w:p w14:paraId="7BB7AAE9" w14:textId="77777777" w:rsidR="007F69BE" w:rsidRPr="00F7429D" w:rsidRDefault="007F69BE" w:rsidP="007F69BE">
      <w:pPr>
        <w:numPr>
          <w:ilvl w:val="0"/>
          <w:numId w:val="26"/>
        </w:numPr>
        <w:rPr>
          <w:rFonts w:eastAsia="Aptos" w:cstheme="minorHAnsi"/>
          <w:spacing w:val="-1"/>
          <w:szCs w:val="20"/>
        </w:rPr>
      </w:pPr>
      <w:r>
        <w:rPr>
          <w:rFonts w:eastAsia="Aptos" w:cstheme="minorHAnsi"/>
          <w:spacing w:val="-1"/>
          <w:szCs w:val="20"/>
        </w:rPr>
        <w:t xml:space="preserve">0900-1700hrs Mon-Fri </w:t>
      </w:r>
      <w:r w:rsidRPr="00F7429D">
        <w:rPr>
          <w:rFonts w:eastAsia="Aptos" w:cstheme="minorHAnsi"/>
          <w:spacing w:val="-1"/>
          <w:szCs w:val="20"/>
        </w:rPr>
        <w:t>Technical Support</w:t>
      </w:r>
      <w:r>
        <w:rPr>
          <w:rFonts w:eastAsia="Aptos" w:cstheme="minorHAnsi"/>
          <w:spacing w:val="-1"/>
          <w:szCs w:val="20"/>
        </w:rPr>
        <w:t>/helpdesk</w:t>
      </w:r>
      <w:r w:rsidRPr="00F7429D">
        <w:rPr>
          <w:rFonts w:eastAsia="Aptos" w:cstheme="minorHAnsi"/>
          <w:spacing w:val="-1"/>
          <w:szCs w:val="20"/>
        </w:rPr>
        <w:t xml:space="preserve">: </w:t>
      </w:r>
      <w:r>
        <w:rPr>
          <w:rFonts w:eastAsia="Aptos" w:cstheme="minorHAnsi"/>
          <w:spacing w:val="-1"/>
          <w:szCs w:val="20"/>
        </w:rPr>
        <w:t xml:space="preserve">The supplier is to provide </w:t>
      </w:r>
      <w:r w:rsidRPr="00F7429D">
        <w:rPr>
          <w:rFonts w:eastAsia="Aptos" w:cstheme="minorHAnsi"/>
          <w:spacing w:val="-1"/>
          <w:szCs w:val="20"/>
        </w:rPr>
        <w:t xml:space="preserve">technical support to address any </w:t>
      </w:r>
      <w:r>
        <w:rPr>
          <w:rFonts w:eastAsia="Aptos" w:cstheme="minorHAnsi"/>
          <w:spacing w:val="-1"/>
          <w:szCs w:val="20"/>
        </w:rPr>
        <w:t xml:space="preserve">technical system </w:t>
      </w:r>
      <w:r w:rsidRPr="00F7429D">
        <w:rPr>
          <w:rFonts w:eastAsia="Aptos" w:cstheme="minorHAnsi"/>
          <w:spacing w:val="-1"/>
          <w:szCs w:val="20"/>
        </w:rPr>
        <w:t>issues that may arise.</w:t>
      </w:r>
    </w:p>
    <w:p w14:paraId="5024B53D" w14:textId="77777777" w:rsidR="007F69BE" w:rsidRPr="00F7429D" w:rsidRDefault="007F69BE" w:rsidP="007F69BE">
      <w:pPr>
        <w:numPr>
          <w:ilvl w:val="0"/>
          <w:numId w:val="26"/>
        </w:numPr>
        <w:rPr>
          <w:rFonts w:eastAsia="Aptos" w:cstheme="minorHAnsi"/>
          <w:spacing w:val="-1"/>
          <w:szCs w:val="20"/>
        </w:rPr>
      </w:pPr>
      <w:r w:rsidRPr="00F7429D">
        <w:rPr>
          <w:rFonts w:eastAsia="Aptos" w:cstheme="minorHAnsi"/>
          <w:spacing w:val="-1"/>
          <w:szCs w:val="20"/>
        </w:rPr>
        <w:t xml:space="preserve">Dedicated Account Manager: Require a dedicated account manager to oversee the </w:t>
      </w:r>
      <w:r>
        <w:rPr>
          <w:rFonts w:eastAsia="Aptos" w:cstheme="minorHAnsi"/>
          <w:spacing w:val="-1"/>
          <w:szCs w:val="20"/>
        </w:rPr>
        <w:t xml:space="preserve">system </w:t>
      </w:r>
      <w:r w:rsidRPr="00F7429D">
        <w:rPr>
          <w:rFonts w:eastAsia="Aptos" w:cstheme="minorHAnsi"/>
          <w:spacing w:val="-1"/>
          <w:szCs w:val="20"/>
        </w:rPr>
        <w:t xml:space="preserve">implementation, </w:t>
      </w:r>
      <w:r>
        <w:rPr>
          <w:rFonts w:eastAsia="Aptos" w:cstheme="minorHAnsi"/>
          <w:spacing w:val="-1"/>
          <w:szCs w:val="20"/>
        </w:rPr>
        <w:t xml:space="preserve">ongoing </w:t>
      </w:r>
      <w:r w:rsidRPr="00F7429D">
        <w:rPr>
          <w:rFonts w:eastAsia="Aptos" w:cstheme="minorHAnsi"/>
          <w:spacing w:val="-1"/>
          <w:szCs w:val="20"/>
        </w:rPr>
        <w:t xml:space="preserve">support, and </w:t>
      </w:r>
      <w:r>
        <w:rPr>
          <w:rFonts w:eastAsia="Aptos" w:cstheme="minorHAnsi"/>
          <w:spacing w:val="-1"/>
          <w:szCs w:val="20"/>
        </w:rPr>
        <w:t xml:space="preserve">any </w:t>
      </w:r>
      <w:r w:rsidRPr="00F7429D">
        <w:rPr>
          <w:rFonts w:eastAsia="Aptos" w:cstheme="minorHAnsi"/>
          <w:spacing w:val="-1"/>
          <w:szCs w:val="20"/>
        </w:rPr>
        <w:t>optimi</w:t>
      </w:r>
      <w:r>
        <w:rPr>
          <w:rFonts w:eastAsia="Aptos" w:cstheme="minorHAnsi"/>
          <w:spacing w:val="-1"/>
          <w:szCs w:val="20"/>
        </w:rPr>
        <w:t>s</w:t>
      </w:r>
      <w:r w:rsidRPr="00F7429D">
        <w:rPr>
          <w:rFonts w:eastAsia="Aptos" w:cstheme="minorHAnsi"/>
          <w:spacing w:val="-1"/>
          <w:szCs w:val="20"/>
        </w:rPr>
        <w:t>ation of the backup solution.</w:t>
      </w:r>
    </w:p>
    <w:p w14:paraId="2B49C419" w14:textId="77777777" w:rsidR="007F69BE" w:rsidRPr="00F7429D" w:rsidRDefault="007F69BE" w:rsidP="007F69BE">
      <w:pPr>
        <w:rPr>
          <w:rFonts w:eastAsia="Aptos" w:cstheme="minorHAnsi"/>
          <w:spacing w:val="-1"/>
          <w:szCs w:val="20"/>
        </w:rPr>
      </w:pPr>
      <w:r w:rsidRPr="00F7429D">
        <w:rPr>
          <w:rFonts w:eastAsia="Aptos" w:cstheme="minorHAnsi"/>
          <w:spacing w:val="-1"/>
          <w:szCs w:val="20"/>
        </w:rPr>
        <w:br/>
        <w:t>Service Level Agreements (SLAs):</w:t>
      </w:r>
      <w:r w:rsidRPr="00F7429D">
        <w:rPr>
          <w:rFonts w:eastAsia="Aptos" w:cstheme="minorHAnsi"/>
          <w:spacing w:val="-1"/>
          <w:szCs w:val="20"/>
        </w:rPr>
        <w:br/>
      </w:r>
    </w:p>
    <w:p w14:paraId="47F4ABE1" w14:textId="77777777" w:rsidR="007F69BE" w:rsidRPr="00F7429D" w:rsidRDefault="007F69BE" w:rsidP="007F69BE">
      <w:pPr>
        <w:numPr>
          <w:ilvl w:val="0"/>
          <w:numId w:val="27"/>
        </w:numPr>
        <w:rPr>
          <w:rFonts w:eastAsia="Aptos" w:cstheme="minorHAnsi"/>
          <w:spacing w:val="-1"/>
          <w:szCs w:val="20"/>
        </w:rPr>
      </w:pPr>
      <w:r w:rsidRPr="00F7429D">
        <w:rPr>
          <w:rFonts w:eastAsia="Aptos" w:cstheme="minorHAnsi"/>
          <w:spacing w:val="-1"/>
          <w:szCs w:val="20"/>
        </w:rPr>
        <w:t xml:space="preserve">Response Time: </w:t>
      </w:r>
      <w:r>
        <w:rPr>
          <w:rFonts w:eastAsia="Aptos" w:cstheme="minorHAnsi"/>
          <w:spacing w:val="-1"/>
          <w:szCs w:val="20"/>
        </w:rPr>
        <w:t xml:space="preserve">The supplier </w:t>
      </w:r>
      <w:r w:rsidRPr="00F7429D">
        <w:rPr>
          <w:rFonts w:eastAsia="Aptos" w:cstheme="minorHAnsi"/>
          <w:spacing w:val="-1"/>
          <w:szCs w:val="20"/>
        </w:rPr>
        <w:t xml:space="preserve">must commit to specific response times for </w:t>
      </w:r>
      <w:r>
        <w:rPr>
          <w:rFonts w:eastAsia="Aptos" w:cstheme="minorHAnsi"/>
          <w:spacing w:val="-1"/>
          <w:szCs w:val="20"/>
        </w:rPr>
        <w:t xml:space="preserve">technical system </w:t>
      </w:r>
      <w:r w:rsidRPr="00F7429D">
        <w:rPr>
          <w:rFonts w:eastAsia="Aptos" w:cstheme="minorHAnsi"/>
          <w:spacing w:val="-1"/>
          <w:szCs w:val="20"/>
        </w:rPr>
        <w:t>support requests, such as:</w:t>
      </w:r>
    </w:p>
    <w:p w14:paraId="191B4464" w14:textId="77777777" w:rsidR="007F69BE" w:rsidRPr="00F7429D" w:rsidRDefault="007F69BE" w:rsidP="007F69BE">
      <w:pPr>
        <w:numPr>
          <w:ilvl w:val="1"/>
          <w:numId w:val="27"/>
        </w:numPr>
        <w:rPr>
          <w:rFonts w:eastAsia="Aptos" w:cstheme="minorHAnsi"/>
          <w:spacing w:val="-1"/>
          <w:szCs w:val="20"/>
        </w:rPr>
      </w:pPr>
      <w:r w:rsidRPr="00F7429D">
        <w:rPr>
          <w:rFonts w:eastAsia="Aptos" w:cstheme="minorHAnsi"/>
          <w:spacing w:val="-1"/>
          <w:szCs w:val="20"/>
        </w:rPr>
        <w:t>High Priority Issues: Response within 4 hours.</w:t>
      </w:r>
    </w:p>
    <w:p w14:paraId="461B72CA" w14:textId="77777777" w:rsidR="007F69BE" w:rsidRPr="00F7429D" w:rsidRDefault="007F69BE" w:rsidP="007F69BE">
      <w:pPr>
        <w:numPr>
          <w:ilvl w:val="1"/>
          <w:numId w:val="27"/>
        </w:numPr>
        <w:rPr>
          <w:rFonts w:eastAsia="Aptos" w:cstheme="minorHAnsi"/>
          <w:spacing w:val="-1"/>
          <w:szCs w:val="20"/>
        </w:rPr>
      </w:pPr>
      <w:r w:rsidRPr="00F7429D">
        <w:rPr>
          <w:rFonts w:eastAsia="Aptos" w:cstheme="minorHAnsi"/>
          <w:spacing w:val="-1"/>
          <w:szCs w:val="20"/>
        </w:rPr>
        <w:t>Standard Issues: Response within 24 hours.</w:t>
      </w:r>
      <w:r w:rsidRPr="00F7429D">
        <w:rPr>
          <w:rFonts w:eastAsia="Aptos" w:cstheme="minorHAnsi"/>
          <w:spacing w:val="-1"/>
          <w:szCs w:val="20"/>
        </w:rPr>
        <w:br/>
      </w:r>
    </w:p>
    <w:p w14:paraId="260F8DA5" w14:textId="77777777" w:rsidR="007F69BE" w:rsidRDefault="007F69BE" w:rsidP="007F69BE">
      <w:pPr>
        <w:numPr>
          <w:ilvl w:val="0"/>
          <w:numId w:val="27"/>
        </w:numPr>
        <w:rPr>
          <w:rFonts w:eastAsia="Aptos" w:cstheme="minorHAnsi"/>
          <w:spacing w:val="-1"/>
          <w:szCs w:val="20"/>
        </w:rPr>
      </w:pPr>
      <w:r w:rsidRPr="00F7429D">
        <w:rPr>
          <w:rFonts w:eastAsia="Aptos" w:cstheme="minorHAnsi"/>
          <w:spacing w:val="-1"/>
          <w:szCs w:val="20"/>
        </w:rPr>
        <w:t xml:space="preserve">The backup solution should </w:t>
      </w:r>
      <w:r>
        <w:rPr>
          <w:rFonts w:eastAsia="Aptos" w:cstheme="minorHAnsi"/>
          <w:spacing w:val="-1"/>
          <w:szCs w:val="20"/>
        </w:rPr>
        <w:t xml:space="preserve">be available within 24hrs to provide </w:t>
      </w:r>
      <w:r w:rsidRPr="00F7429D">
        <w:rPr>
          <w:rFonts w:eastAsia="Aptos" w:cstheme="minorHAnsi"/>
          <w:spacing w:val="-1"/>
          <w:szCs w:val="20"/>
        </w:rPr>
        <w:t xml:space="preserve">availability and </w:t>
      </w:r>
      <w:r>
        <w:rPr>
          <w:rFonts w:eastAsia="Aptos" w:cstheme="minorHAnsi"/>
          <w:spacing w:val="-1"/>
          <w:szCs w:val="20"/>
        </w:rPr>
        <w:t>continuity of learning</w:t>
      </w:r>
      <w:r w:rsidRPr="00F7429D">
        <w:rPr>
          <w:rFonts w:eastAsia="Aptos" w:cstheme="minorHAnsi"/>
          <w:spacing w:val="-1"/>
          <w:szCs w:val="20"/>
        </w:rPr>
        <w:t>.</w:t>
      </w:r>
    </w:p>
    <w:p w14:paraId="3DB9B9C0" w14:textId="77777777" w:rsidR="007F69BE" w:rsidRDefault="007F69BE" w:rsidP="007F69BE">
      <w:pPr>
        <w:numPr>
          <w:ilvl w:val="0"/>
          <w:numId w:val="27"/>
        </w:numPr>
        <w:rPr>
          <w:rFonts w:eastAsia="Aptos" w:cstheme="minorHAnsi"/>
          <w:spacing w:val="-1"/>
          <w:szCs w:val="20"/>
        </w:rPr>
      </w:pPr>
      <w:r>
        <w:rPr>
          <w:rFonts w:eastAsia="Aptos" w:cstheme="minorHAnsi"/>
          <w:spacing w:val="-1"/>
          <w:szCs w:val="20"/>
        </w:rPr>
        <w:t xml:space="preserve">System administrator training – to be available/delivered in line with agreed milestones of project plan  </w:t>
      </w:r>
    </w:p>
    <w:p w14:paraId="1917C72E" w14:textId="77777777" w:rsidR="007F69BE" w:rsidRPr="00F7429D" w:rsidRDefault="007F69BE" w:rsidP="007F69BE">
      <w:pPr>
        <w:ind w:left="720"/>
        <w:rPr>
          <w:rFonts w:eastAsia="Aptos" w:cstheme="minorHAnsi"/>
          <w:spacing w:val="-1"/>
          <w:szCs w:val="20"/>
        </w:rPr>
      </w:pPr>
    </w:p>
    <w:p w14:paraId="4040EDAD" w14:textId="77777777" w:rsidR="007F69BE" w:rsidRPr="00F7429D" w:rsidRDefault="007F69BE" w:rsidP="007F69BE">
      <w:pPr>
        <w:rPr>
          <w:rFonts w:eastAsia="Aptos" w:cstheme="minorHAnsi"/>
          <w:spacing w:val="-1"/>
          <w:szCs w:val="20"/>
        </w:rPr>
      </w:pPr>
      <w:r w:rsidRPr="00F7429D">
        <w:rPr>
          <w:rFonts w:eastAsia="Aptos" w:cstheme="minorHAnsi"/>
          <w:spacing w:val="-1"/>
          <w:szCs w:val="20"/>
        </w:rPr>
        <w:t>Regular Reviews:</w:t>
      </w:r>
      <w:r w:rsidRPr="00F7429D">
        <w:rPr>
          <w:rFonts w:eastAsia="Aptos" w:cstheme="minorHAnsi"/>
          <w:spacing w:val="-1"/>
          <w:szCs w:val="20"/>
        </w:rPr>
        <w:br/>
      </w:r>
    </w:p>
    <w:p w14:paraId="15EAE802" w14:textId="77777777" w:rsidR="007F69BE" w:rsidRDefault="007F69BE" w:rsidP="007F69BE">
      <w:pPr>
        <w:numPr>
          <w:ilvl w:val="0"/>
          <w:numId w:val="28"/>
        </w:numPr>
        <w:rPr>
          <w:rFonts w:eastAsia="Aptos" w:cstheme="minorHAnsi"/>
          <w:spacing w:val="-1"/>
          <w:szCs w:val="20"/>
        </w:rPr>
      </w:pPr>
      <w:r>
        <w:rPr>
          <w:rFonts w:eastAsia="Aptos" w:cstheme="minorHAnsi"/>
          <w:spacing w:val="-1"/>
          <w:szCs w:val="20"/>
        </w:rPr>
        <w:t>Following “full roll out”, thereafter in year 1 c</w:t>
      </w:r>
      <w:r w:rsidRPr="00F7429D">
        <w:rPr>
          <w:rFonts w:eastAsia="Aptos" w:cstheme="minorHAnsi"/>
          <w:spacing w:val="-1"/>
          <w:szCs w:val="20"/>
        </w:rPr>
        <w:t xml:space="preserve">onduct </w:t>
      </w:r>
      <w:r>
        <w:rPr>
          <w:rFonts w:eastAsia="Aptos" w:cstheme="minorHAnsi"/>
          <w:spacing w:val="-1"/>
          <w:szCs w:val="20"/>
        </w:rPr>
        <w:t xml:space="preserve">quarterly reviews </w:t>
      </w:r>
      <w:r w:rsidRPr="00F7429D">
        <w:rPr>
          <w:rFonts w:eastAsia="Aptos" w:cstheme="minorHAnsi"/>
          <w:spacing w:val="-1"/>
          <w:szCs w:val="20"/>
        </w:rPr>
        <w:t xml:space="preserve">with </w:t>
      </w:r>
      <w:r>
        <w:rPr>
          <w:rFonts w:eastAsia="Aptos" w:cstheme="minorHAnsi"/>
          <w:spacing w:val="-1"/>
          <w:szCs w:val="20"/>
        </w:rPr>
        <w:t xml:space="preserve">supplier </w:t>
      </w:r>
      <w:r w:rsidRPr="00F7429D">
        <w:rPr>
          <w:rFonts w:eastAsia="Aptos" w:cstheme="minorHAnsi"/>
          <w:spacing w:val="-1"/>
          <w:szCs w:val="20"/>
        </w:rPr>
        <w:t>to assess performance against SLAs</w:t>
      </w:r>
      <w:r>
        <w:rPr>
          <w:rFonts w:eastAsia="Aptos" w:cstheme="minorHAnsi"/>
          <w:spacing w:val="-1"/>
          <w:szCs w:val="20"/>
        </w:rPr>
        <w:t xml:space="preserve">, address issues </w:t>
      </w:r>
      <w:r w:rsidRPr="00F7429D">
        <w:rPr>
          <w:rFonts w:eastAsia="Aptos" w:cstheme="minorHAnsi"/>
          <w:spacing w:val="-1"/>
          <w:szCs w:val="20"/>
        </w:rPr>
        <w:t xml:space="preserve">and identify opportunities for </w:t>
      </w:r>
      <w:r w:rsidRPr="00F7429D">
        <w:rPr>
          <w:rFonts w:eastAsia="Aptos" w:cstheme="minorHAnsi"/>
          <w:spacing w:val="-1"/>
          <w:szCs w:val="20"/>
        </w:rPr>
        <w:lastRenderedPageBreak/>
        <w:t>improvement. Establish a feedback loop to ensure continuous improvement in service quality.</w:t>
      </w:r>
      <w:r>
        <w:rPr>
          <w:rFonts w:eastAsia="Aptos" w:cstheme="minorHAnsi"/>
          <w:spacing w:val="-1"/>
          <w:szCs w:val="20"/>
        </w:rPr>
        <w:t xml:space="preserve">  Years 2-3 conduct </w:t>
      </w:r>
      <w:proofErr w:type="spellStart"/>
      <w:proofErr w:type="gramStart"/>
      <w:r>
        <w:rPr>
          <w:rFonts w:eastAsia="Aptos" w:cstheme="minorHAnsi"/>
          <w:spacing w:val="-1"/>
          <w:szCs w:val="20"/>
        </w:rPr>
        <w:t>bi</w:t>
      </w:r>
      <w:proofErr w:type="spellEnd"/>
      <w:r>
        <w:rPr>
          <w:rFonts w:eastAsia="Aptos" w:cstheme="minorHAnsi"/>
          <w:spacing w:val="-1"/>
          <w:szCs w:val="20"/>
        </w:rPr>
        <w:t xml:space="preserve"> annual</w:t>
      </w:r>
      <w:proofErr w:type="gramEnd"/>
      <w:r>
        <w:rPr>
          <w:rFonts w:eastAsia="Aptos" w:cstheme="minorHAnsi"/>
          <w:spacing w:val="-1"/>
          <w:szCs w:val="20"/>
        </w:rPr>
        <w:t xml:space="preserve"> review. </w:t>
      </w:r>
    </w:p>
    <w:p w14:paraId="25C61F8B" w14:textId="77777777" w:rsidR="00623948" w:rsidRDefault="00623948" w:rsidP="00623948">
      <w:pPr>
        <w:pStyle w:val="BodyText1"/>
        <w:ind w:left="357"/>
        <w:rPr>
          <w:rFonts w:cstheme="minorHAnsi"/>
          <w:b/>
          <w:bCs/>
          <w:color w:val="auto"/>
        </w:rPr>
      </w:pPr>
    </w:p>
    <w:p w14:paraId="15C0DA28" w14:textId="15F2FC4F" w:rsidR="00623948" w:rsidRDefault="00623948" w:rsidP="00623948">
      <w:pPr>
        <w:pStyle w:val="BodyText1"/>
        <w:ind w:left="357"/>
        <w:rPr>
          <w:rFonts w:cstheme="minorHAnsi"/>
          <w:b/>
          <w:bCs/>
          <w:color w:val="auto"/>
        </w:rPr>
      </w:pPr>
      <w:r w:rsidRPr="00F7429D">
        <w:rPr>
          <w:rFonts w:cstheme="minorHAnsi"/>
          <w:b/>
          <w:bCs/>
          <w:color w:val="auto"/>
        </w:rPr>
        <w:t>Key Performance Indicators</w:t>
      </w:r>
      <w:r>
        <w:rPr>
          <w:rFonts w:cstheme="minorHAnsi"/>
          <w:b/>
          <w:bCs/>
          <w:color w:val="auto"/>
        </w:rPr>
        <w:t xml:space="preserve"> (Internal/External) </w:t>
      </w:r>
    </w:p>
    <w:p w14:paraId="227E007B" w14:textId="53B8FBD3" w:rsidR="00623948" w:rsidRPr="0068579E" w:rsidRDefault="00623948" w:rsidP="00623948">
      <w:pPr>
        <w:pStyle w:val="BodyText1"/>
        <w:ind w:left="717"/>
        <w:rPr>
          <w:rFonts w:cstheme="minorHAnsi"/>
          <w:color w:val="auto"/>
        </w:rPr>
      </w:pPr>
      <w:r>
        <w:rPr>
          <w:rFonts w:cstheme="minorHAnsi"/>
          <w:color w:val="auto"/>
        </w:rPr>
        <w:t>T</w:t>
      </w:r>
      <w:r w:rsidRPr="0068579E">
        <w:rPr>
          <w:rFonts w:cstheme="minorHAnsi"/>
          <w:color w:val="auto"/>
        </w:rPr>
        <w:t xml:space="preserve">he agency will be looking to the following </w:t>
      </w:r>
      <w:r>
        <w:rPr>
          <w:rFonts w:cstheme="minorHAnsi"/>
          <w:color w:val="auto"/>
        </w:rPr>
        <w:t xml:space="preserve">KPIs </w:t>
      </w:r>
      <w:r w:rsidRPr="0068579E">
        <w:rPr>
          <w:rFonts w:cstheme="minorHAnsi"/>
          <w:color w:val="auto"/>
        </w:rPr>
        <w:t>as both internal and external measures of success of the adoption, utilisation and effectiveness of the LMS/LXP</w:t>
      </w:r>
      <w:r>
        <w:rPr>
          <w:rFonts w:cstheme="minorHAnsi"/>
          <w:color w:val="auto"/>
        </w:rPr>
        <w:t xml:space="preserve">.   </w:t>
      </w:r>
    </w:p>
    <w:p w14:paraId="56E54141" w14:textId="77777777" w:rsidR="00623948" w:rsidRDefault="00623948" w:rsidP="00623948">
      <w:pPr>
        <w:pStyle w:val="BodyText1"/>
        <w:numPr>
          <w:ilvl w:val="0"/>
          <w:numId w:val="45"/>
        </w:numPr>
        <w:spacing w:after="0"/>
        <w:rPr>
          <w:rFonts w:cstheme="minorHAnsi"/>
          <w:color w:val="auto"/>
        </w:rPr>
      </w:pPr>
      <w:r>
        <w:rPr>
          <w:rFonts w:cstheme="minorHAnsi"/>
          <w:color w:val="auto"/>
        </w:rPr>
        <w:t>Availability of system to users</w:t>
      </w:r>
    </w:p>
    <w:p w14:paraId="34053AE6" w14:textId="77777777" w:rsidR="00623948" w:rsidRDefault="00623948" w:rsidP="00623948">
      <w:pPr>
        <w:pStyle w:val="BodyText1"/>
        <w:numPr>
          <w:ilvl w:val="0"/>
          <w:numId w:val="45"/>
        </w:numPr>
        <w:spacing w:after="0"/>
        <w:rPr>
          <w:rFonts w:cstheme="minorHAnsi"/>
          <w:color w:val="auto"/>
        </w:rPr>
      </w:pPr>
      <w:r>
        <w:rPr>
          <w:rFonts w:cstheme="minorHAnsi"/>
          <w:color w:val="auto"/>
        </w:rPr>
        <w:t>System user satisfaction rates and feedback (ease of use, navigation etc)</w:t>
      </w:r>
    </w:p>
    <w:p w14:paraId="47B14CB1" w14:textId="77777777" w:rsidR="00623948" w:rsidRDefault="00623948" w:rsidP="00623948">
      <w:pPr>
        <w:pStyle w:val="BodyText1"/>
        <w:numPr>
          <w:ilvl w:val="0"/>
          <w:numId w:val="45"/>
        </w:numPr>
        <w:spacing w:after="0"/>
        <w:rPr>
          <w:rFonts w:cstheme="minorHAnsi"/>
          <w:color w:val="auto"/>
        </w:rPr>
      </w:pPr>
      <w:r w:rsidRPr="00A24095">
        <w:rPr>
          <w:rFonts w:cstheme="minorHAnsi"/>
          <w:color w:val="auto"/>
        </w:rPr>
        <w:t>User login frequency</w:t>
      </w:r>
      <w:r>
        <w:rPr>
          <w:rFonts w:cstheme="minorHAnsi"/>
          <w:color w:val="auto"/>
        </w:rPr>
        <w:t xml:space="preserve"> / content usage / learner engagement</w:t>
      </w:r>
    </w:p>
    <w:p w14:paraId="77D7F28C" w14:textId="77777777" w:rsidR="00623948" w:rsidRDefault="00623948" w:rsidP="00623948">
      <w:pPr>
        <w:pStyle w:val="BodyText1"/>
        <w:numPr>
          <w:ilvl w:val="0"/>
          <w:numId w:val="45"/>
        </w:numPr>
        <w:spacing w:after="0"/>
        <w:rPr>
          <w:rFonts w:cstheme="minorHAnsi"/>
          <w:color w:val="auto"/>
        </w:rPr>
      </w:pPr>
      <w:r>
        <w:rPr>
          <w:rFonts w:cstheme="minorHAnsi"/>
          <w:color w:val="auto"/>
        </w:rPr>
        <w:t>Course completions rates/average time to completion</w:t>
      </w:r>
    </w:p>
    <w:p w14:paraId="3280D34E" w14:textId="77777777" w:rsidR="00623948" w:rsidRDefault="00623948" w:rsidP="00623948">
      <w:pPr>
        <w:pStyle w:val="BodyText1"/>
        <w:numPr>
          <w:ilvl w:val="0"/>
          <w:numId w:val="45"/>
        </w:numPr>
        <w:spacing w:after="0"/>
        <w:rPr>
          <w:rFonts w:cstheme="minorHAnsi"/>
          <w:color w:val="auto"/>
        </w:rPr>
      </w:pPr>
      <w:r>
        <w:rPr>
          <w:rFonts w:cstheme="minorHAnsi"/>
          <w:color w:val="auto"/>
        </w:rPr>
        <w:t>Compliance rates (Mand training or Cyber training)</w:t>
      </w:r>
    </w:p>
    <w:p w14:paraId="1337274A" w14:textId="77777777" w:rsidR="00623948" w:rsidRDefault="00623948" w:rsidP="00623948">
      <w:pPr>
        <w:pStyle w:val="BodyText1"/>
        <w:numPr>
          <w:ilvl w:val="0"/>
          <w:numId w:val="45"/>
        </w:numPr>
        <w:spacing w:after="0"/>
        <w:rPr>
          <w:rFonts w:cstheme="minorHAnsi"/>
          <w:color w:val="auto"/>
        </w:rPr>
      </w:pPr>
      <w:r>
        <w:rPr>
          <w:rFonts w:cstheme="minorHAnsi"/>
          <w:color w:val="auto"/>
        </w:rPr>
        <w:t>Range of learning undertaken and how it is accessed</w:t>
      </w:r>
      <w:r w:rsidRPr="007946B7">
        <w:rPr>
          <w:rFonts w:cstheme="minorHAnsi"/>
          <w:color w:val="auto"/>
        </w:rPr>
        <w:t xml:space="preserve"> </w:t>
      </w:r>
    </w:p>
    <w:p w14:paraId="45EAEE17" w14:textId="77777777" w:rsidR="00623948" w:rsidRDefault="00623948" w:rsidP="00623948">
      <w:pPr>
        <w:pStyle w:val="BodyText1"/>
        <w:numPr>
          <w:ilvl w:val="0"/>
          <w:numId w:val="45"/>
        </w:numPr>
        <w:spacing w:after="0"/>
        <w:rPr>
          <w:rFonts w:cstheme="minorHAnsi"/>
          <w:color w:val="auto"/>
        </w:rPr>
      </w:pPr>
      <w:r>
        <w:rPr>
          <w:rFonts w:cstheme="minorHAnsi"/>
          <w:color w:val="auto"/>
        </w:rPr>
        <w:t>Groups with highest/lowest engagement</w:t>
      </w:r>
    </w:p>
    <w:p w14:paraId="60BCC8A3" w14:textId="77777777" w:rsidR="00623948" w:rsidRDefault="00623948" w:rsidP="00623948">
      <w:pPr>
        <w:pStyle w:val="BodyText1"/>
        <w:numPr>
          <w:ilvl w:val="0"/>
          <w:numId w:val="45"/>
        </w:numPr>
        <w:spacing w:after="0"/>
        <w:rPr>
          <w:rFonts w:cstheme="minorHAnsi"/>
          <w:color w:val="auto"/>
        </w:rPr>
      </w:pPr>
      <w:r>
        <w:rPr>
          <w:rFonts w:cstheme="minorHAnsi"/>
          <w:color w:val="auto"/>
        </w:rPr>
        <w:t>Assessment/Evaluation scores</w:t>
      </w:r>
    </w:p>
    <w:p w14:paraId="4569FEB7" w14:textId="77777777" w:rsidR="00623948" w:rsidRDefault="00623948" w:rsidP="00623948">
      <w:pPr>
        <w:pStyle w:val="BodyText1"/>
        <w:numPr>
          <w:ilvl w:val="0"/>
          <w:numId w:val="45"/>
        </w:numPr>
        <w:spacing w:after="0"/>
        <w:rPr>
          <w:rFonts w:cstheme="minorHAnsi"/>
          <w:color w:val="auto"/>
        </w:rPr>
      </w:pPr>
      <w:r>
        <w:rPr>
          <w:rFonts w:cstheme="minorHAnsi"/>
          <w:color w:val="auto"/>
        </w:rPr>
        <w:t>Impact of available learning on career progression or job performance</w:t>
      </w:r>
    </w:p>
    <w:p w14:paraId="0E5D82BB" w14:textId="77777777" w:rsidR="00623948" w:rsidRDefault="00623948" w:rsidP="00623948">
      <w:pPr>
        <w:pStyle w:val="BodyText1"/>
        <w:ind w:left="357"/>
        <w:rPr>
          <w:rFonts w:cstheme="minorHAnsi"/>
          <w:color w:val="auto"/>
        </w:rPr>
      </w:pPr>
    </w:p>
    <w:p w14:paraId="346D0804" w14:textId="77777777" w:rsidR="00623948" w:rsidRDefault="00623948" w:rsidP="00623948">
      <w:pPr>
        <w:pStyle w:val="BodyText1"/>
        <w:ind w:left="357"/>
        <w:rPr>
          <w:rFonts w:cstheme="minorHAnsi"/>
          <w:b/>
          <w:bCs/>
          <w:color w:val="auto"/>
        </w:rPr>
      </w:pPr>
      <w:r>
        <w:rPr>
          <w:rFonts w:cstheme="minorHAnsi"/>
          <w:color w:val="auto"/>
        </w:rPr>
        <w:t xml:space="preserve">We would anticipate that, whilst not indicators all are in the domain and control of the Supplier, the Supplier would want to ensure that the system </w:t>
      </w:r>
      <w:proofErr w:type="gramStart"/>
      <w:r>
        <w:rPr>
          <w:rFonts w:cstheme="minorHAnsi"/>
          <w:color w:val="auto"/>
        </w:rPr>
        <w:t>is capable of supporting/providing</w:t>
      </w:r>
      <w:proofErr w:type="gramEnd"/>
      <w:r>
        <w:rPr>
          <w:rFonts w:cstheme="minorHAnsi"/>
          <w:color w:val="auto"/>
        </w:rPr>
        <w:t xml:space="preserve"> relevant data </w:t>
      </w:r>
      <w:proofErr w:type="gramStart"/>
      <w:r>
        <w:rPr>
          <w:rFonts w:cstheme="minorHAnsi"/>
          <w:color w:val="auto"/>
        </w:rPr>
        <w:t>and,</w:t>
      </w:r>
      <w:proofErr w:type="gramEnd"/>
      <w:r>
        <w:rPr>
          <w:rFonts w:cstheme="minorHAnsi"/>
          <w:color w:val="auto"/>
        </w:rPr>
        <w:t xml:space="preserve"> be interested in the performance against them. During our regular review discussions, we would also anticipate the Supplier may provide, based on their experience, suggestions by way of improving performance on these indicators.</w:t>
      </w:r>
    </w:p>
    <w:p w14:paraId="136DC458" w14:textId="77777777" w:rsidR="00C0393F" w:rsidRDefault="00C0393F" w:rsidP="00C0393F">
      <w:pPr>
        <w:pStyle w:val="Standard"/>
        <w:rPr>
          <w:sz w:val="24"/>
          <w:szCs w:val="24"/>
        </w:rPr>
      </w:pPr>
    </w:p>
    <w:p w14:paraId="022B0E6F" w14:textId="20945739" w:rsidR="00DF644D" w:rsidRDefault="00DF644D" w:rsidP="00DF644D">
      <w:pPr>
        <w:pStyle w:val="Heading1"/>
        <w:numPr>
          <w:ilvl w:val="0"/>
          <w:numId w:val="0"/>
        </w:numPr>
      </w:pPr>
      <w:bookmarkStart w:id="35" w:name="_Toc214868687"/>
      <w:r>
        <w:lastRenderedPageBreak/>
        <w:t xml:space="preserve">Appendix </w:t>
      </w:r>
      <w:r w:rsidR="00826365">
        <w:t>D</w:t>
      </w:r>
      <w:r>
        <w:t>: The draft contract terms</w:t>
      </w:r>
      <w:bookmarkEnd w:id="35"/>
    </w:p>
    <w:p w14:paraId="5D4B0EBA" w14:textId="4E9DBBE9" w:rsidR="00190B89" w:rsidRDefault="00190B89" w:rsidP="00190B89">
      <w:r>
        <w:t>Please find embedded here the Mid-Tier Contract Terms which will govern the Agreement:</w:t>
      </w:r>
    </w:p>
    <w:bookmarkStart w:id="36" w:name="_MON_1824450904"/>
    <w:bookmarkEnd w:id="36"/>
    <w:p w14:paraId="4C274BCF" w14:textId="4EEC5272" w:rsidR="00F37DAF" w:rsidRPr="00F37DAF" w:rsidRDefault="00E43CE6" w:rsidP="00F37DAF">
      <w:r>
        <w:object w:dxaOrig="1501" w:dyaOrig="980" w14:anchorId="67B27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37" o:title=""/>
          </v:shape>
          <o:OLEObject Type="Embed" ProgID="Word.Document.12" ShapeID="_x0000_i1025" DrawAspect="Icon" ObjectID="_1825481443" r:id="rId38">
            <o:FieldCodes>\s</o:FieldCodes>
          </o:OLEObject>
        </w:object>
      </w:r>
    </w:p>
    <w:p w14:paraId="48D573AB" w14:textId="457E8F49" w:rsidR="00DF644D" w:rsidRPr="00170C6F" w:rsidRDefault="00DF644D" w:rsidP="00DF644D">
      <w:pPr>
        <w:pStyle w:val="BodyText1"/>
      </w:pPr>
    </w:p>
    <w:p w14:paraId="3FC33B91" w14:textId="1FB797F1" w:rsidR="00DF644D" w:rsidRPr="002147DD" w:rsidRDefault="00DF644D" w:rsidP="00DF644D">
      <w:pPr>
        <w:pStyle w:val="Heading1"/>
        <w:numPr>
          <w:ilvl w:val="0"/>
          <w:numId w:val="0"/>
        </w:numPr>
      </w:pPr>
      <w:bookmarkStart w:id="37" w:name="_Toc214868688"/>
      <w:r>
        <w:lastRenderedPageBreak/>
        <w:t xml:space="preserve">Appendix </w:t>
      </w:r>
      <w:r w:rsidR="00826365">
        <w:t>E</w:t>
      </w:r>
      <w:r>
        <w:t>: Glossary</w:t>
      </w:r>
      <w:bookmarkEnd w:id="37"/>
    </w:p>
    <w:tbl>
      <w:tblPr>
        <w:tblStyle w:val="TableGrid"/>
        <w:tblW w:w="0" w:type="auto"/>
        <w:tblBorders>
          <w:bottom w:val="single" w:sz="4" w:space="0" w:color="auto"/>
          <w:insideH w:val="single" w:sz="4"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rsidTr="71F252AA">
        <w:trPr>
          <w:tblHeader/>
        </w:trPr>
        <w:tc>
          <w:tcPr>
            <w:tcW w:w="3119" w:type="dxa"/>
            <w:shd w:val="clear" w:color="auto" w:fill="BEDDFF" w:themeFill="accent2" w:themeFillTint="33"/>
          </w:tcPr>
          <w:p w14:paraId="3FD10F5B" w14:textId="77777777" w:rsidR="00AB450C" w:rsidRPr="00845A54" w:rsidRDefault="00AB450C"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hemeFill="accent2" w:themeFillTint="33"/>
          </w:tcPr>
          <w:p w14:paraId="5246DC31" w14:textId="77777777" w:rsidR="00AB450C" w:rsidRPr="00845A54" w:rsidRDefault="00AB450C"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rsidTr="71F252AA">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AB450C">
            <w:pPr>
              <w:pStyle w:val="BodyText1"/>
              <w:spacing w:after="120"/>
            </w:pPr>
            <w:r>
              <w:t>means t</w:t>
            </w:r>
            <w:r w:rsidRPr="00CC010A">
              <w:t xml:space="preserve">he </w:t>
            </w:r>
            <w:r w:rsidR="00AB450C" w:rsidRPr="00CC010A">
              <w:t>Procurement Act 2023.</w:t>
            </w:r>
          </w:p>
        </w:tc>
      </w:tr>
      <w:tr w:rsidR="00332AA4" w:rsidRPr="0018563A" w14:paraId="4F88828D" w14:textId="77777777" w:rsidTr="71F252AA">
        <w:tc>
          <w:tcPr>
            <w:tcW w:w="3119" w:type="dxa"/>
          </w:tcPr>
          <w:p w14:paraId="1AFF0FA9" w14:textId="3B3A0EC7" w:rsidR="00332AA4" w:rsidRPr="0041156C" w:rsidRDefault="00332AA4" w:rsidP="003E1398">
            <w:pPr>
              <w:pStyle w:val="BodyText1"/>
              <w:spacing w:after="120"/>
            </w:pPr>
            <w:r>
              <w:t>Associated person</w:t>
            </w:r>
          </w:p>
        </w:tc>
        <w:tc>
          <w:tcPr>
            <w:tcW w:w="6519" w:type="dxa"/>
          </w:tcPr>
          <w:p w14:paraId="3C9B8FAB" w14:textId="2684315F" w:rsidR="00C86A5F" w:rsidRDefault="008C464D" w:rsidP="00C86A5F">
            <w:pPr>
              <w:widowControl w:val="0"/>
              <w:spacing w:after="120"/>
            </w:pPr>
            <w:r>
              <w:t>is</w:t>
            </w:r>
            <w:r w:rsidR="00C86A5F">
              <w:t xml:space="preserve"> </w:t>
            </w:r>
            <w:r w:rsidR="008822E4">
              <w:t>a</w:t>
            </w:r>
            <w:r w:rsidR="00C86A5F">
              <w:t>s defined in section 26(4)</w:t>
            </w:r>
            <w:r w:rsidR="00AB67FB">
              <w:t xml:space="preserve"> of the Act</w:t>
            </w:r>
            <w:r w:rsidR="00C86A5F">
              <w:t xml:space="preserve"> as a person the </w:t>
            </w:r>
            <w:r w:rsidR="00EA6DEB">
              <w:t xml:space="preserve">Supplier </w:t>
            </w:r>
            <w:r w:rsidR="00C86A5F">
              <w:t xml:space="preserve">is relying on </w:t>
            </w:r>
            <w:proofErr w:type="gramStart"/>
            <w:r w:rsidR="00C86A5F">
              <w:t>in order to</w:t>
            </w:r>
            <w:proofErr w:type="gramEnd"/>
            <w:r w:rsidR="00C86A5F">
              <w:t xml:space="preserve"> satisfy the conditions of participation (</w:t>
            </w:r>
            <w:r w:rsidR="00EA6DEB" w:rsidRPr="00EA6DEB">
              <w:t xml:space="preserve">but not a person who is to act </w:t>
            </w:r>
            <w:r w:rsidR="00F8420F">
              <w:t xml:space="preserve">merely </w:t>
            </w:r>
            <w:r w:rsidR="00EA6DEB" w:rsidRPr="00EA6DEB">
              <w:t xml:space="preserve">as </w:t>
            </w:r>
            <w:r w:rsidR="00F8420F">
              <w:t xml:space="preserve">a </w:t>
            </w:r>
            <w:r w:rsidR="00EA6DEB" w:rsidRPr="00EA6DEB">
              <w:t>guarantor as described in section 22(9) of the Act</w:t>
            </w:r>
            <w:r w:rsidR="00C86A5F">
              <w:t>).</w:t>
            </w:r>
          </w:p>
          <w:p w14:paraId="460882A3" w14:textId="64F7FF8D" w:rsidR="00DB4C7D" w:rsidRDefault="00677EF6" w:rsidP="00C86A5F">
            <w:pPr>
              <w:pStyle w:val="BodyText1"/>
              <w:spacing w:after="120"/>
            </w:pPr>
            <w:r>
              <w:t>Associate</w:t>
            </w:r>
            <w:r w:rsidR="00EA6DEB">
              <w:t>d</w:t>
            </w:r>
            <w:r>
              <w:t xml:space="preserve"> persons are </w:t>
            </w:r>
            <w:r w:rsidR="002A5652">
              <w:t xml:space="preserve">sub-contractors or consortium </w:t>
            </w:r>
            <w:r w:rsidR="00B91140">
              <w:t xml:space="preserve">members who are being relied on by the </w:t>
            </w:r>
            <w:r w:rsidR="002926A6">
              <w:t xml:space="preserve">prime/main supplier to satisfy the conditions of participation. </w:t>
            </w:r>
            <w:r w:rsidR="00C86A5F">
              <w:t>Associated persons are likely to be within the first tier of sub-contractors, but may be further down the supply chain, for example in procurements of contracts with highly technical elements.</w:t>
            </w:r>
            <w:r>
              <w:t xml:space="preserve"> </w:t>
            </w:r>
          </w:p>
        </w:tc>
      </w:tr>
      <w:tr w:rsidR="00AB450C" w:rsidRPr="0018563A" w14:paraId="1B41E898" w14:textId="77777777" w:rsidTr="71F252AA">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4DDBDDB7" w:rsidR="00AB450C" w:rsidRPr="0018563A" w:rsidRDefault="00092A59" w:rsidP="00EA6DEB">
            <w:pPr>
              <w:pStyle w:val="BodyText1"/>
              <w:spacing w:after="0"/>
            </w:pPr>
            <w:r w:rsidRPr="00092A59">
              <w:t xml:space="preserve">means a </w:t>
            </w:r>
            <w:r w:rsidR="00EA6DEB">
              <w:t>s</w:t>
            </w:r>
            <w:r w:rsidR="00EA6DEB" w:rsidRPr="00092A59">
              <w:t xml:space="preserve">upplier </w:t>
            </w:r>
            <w:r w:rsidRPr="00092A59">
              <w:t xml:space="preserve">who is associated with </w:t>
            </w:r>
            <w:r w:rsidR="00EA6DEB">
              <w:t>the</w:t>
            </w:r>
            <w:r w:rsidR="00EA6DEB" w:rsidRPr="00092A59">
              <w:t xml:space="preserve"> </w:t>
            </w:r>
            <w:r w:rsidRPr="00092A59">
              <w:t xml:space="preserve">Supplier </w:t>
            </w:r>
            <w:r w:rsidR="00EA6DEB">
              <w:t>because</w:t>
            </w:r>
            <w:r w:rsidRPr="00092A59">
              <w:t xml:space="preserve"> either (a) the </w:t>
            </w:r>
            <w:r w:rsidR="00EA6DEB">
              <w:t>s</w:t>
            </w:r>
            <w:r w:rsidRPr="00092A59">
              <w:t xml:space="preserve">uppliers are submitting a tender together, or (b) the Authority is satisfied that the </w:t>
            </w:r>
            <w:r w:rsidR="00EA6DEB">
              <w:t>s</w:t>
            </w:r>
            <w:r w:rsidRPr="00092A59">
              <w:t>uppliers will enter legally binding arrangements to the effect that the Supplier will sub-contract the performance of all or part of the Contract to the other</w:t>
            </w:r>
            <w:r w:rsidR="00EA6DEB">
              <w:t xml:space="preserve"> supplier</w:t>
            </w:r>
            <w:r w:rsidRPr="00092A59">
              <w:t xml:space="preserve">, or the other </w:t>
            </w:r>
            <w:r w:rsidR="00EA6DEB">
              <w:t>s</w:t>
            </w:r>
            <w:r w:rsidRPr="00092A59">
              <w:t>upplier will guarantee the performance of all or part of the Contract by the Supplier (as set out in section 22(9) of the Act).</w:t>
            </w:r>
          </w:p>
        </w:tc>
      </w:tr>
      <w:tr w:rsidR="00AB450C" w:rsidRPr="0018563A" w14:paraId="49BD949E" w14:textId="77777777" w:rsidTr="71F252AA">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0DA9E929" w:rsidR="00AB450C" w:rsidRPr="00DD580C" w:rsidRDefault="00280F84" w:rsidP="00AB450C">
            <w:pPr>
              <w:tabs>
                <w:tab w:val="left" w:pos="2751"/>
              </w:tabs>
              <w:ind w:left="57"/>
              <w:rPr>
                <w:color w:val="FF0000"/>
              </w:rPr>
            </w:pPr>
            <w:r>
              <w:t xml:space="preserve">means </w:t>
            </w:r>
            <w:r w:rsidR="00285740">
              <w:t>the</w:t>
            </w:r>
            <w:r w:rsidR="00092A59">
              <w:t xml:space="preserve"> </w:t>
            </w:r>
            <w:r w:rsidR="002A5EEE">
              <w:t>Department of Health and Social Care</w:t>
            </w:r>
            <w:r>
              <w:t>.</w:t>
            </w:r>
            <w:r w:rsidR="002A5EEE">
              <w:t xml:space="preserve"> </w:t>
            </w:r>
          </w:p>
        </w:tc>
      </w:tr>
      <w:tr w:rsidR="00AB450C" w:rsidRPr="0018563A" w14:paraId="6E334BA5" w14:textId="77777777" w:rsidTr="71F252AA">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71B49D69" w14:textId="15FEF2CA" w:rsidR="00937349" w:rsidRDefault="00092A59" w:rsidP="00937349">
            <w:pPr>
              <w:widowControl w:val="0"/>
              <w:spacing w:after="120"/>
            </w:pPr>
            <w:r>
              <w:t>means t</w:t>
            </w:r>
            <w:r w:rsidRPr="00CC010A">
              <w:t xml:space="preserve">he </w:t>
            </w:r>
            <w:r w:rsidR="00AB450C" w:rsidRPr="00CC010A">
              <w:t>online system</w:t>
            </w:r>
            <w:r w:rsidR="00916A75">
              <w:t xml:space="preserve"> refere</w:t>
            </w:r>
            <w:r w:rsidR="00CC671E">
              <w:t>nced in the Act and</w:t>
            </w:r>
            <w:r w:rsidR="00AB450C" w:rsidRPr="00CC010A">
              <w:t xml:space="preserve"> defined by regulation 5(2) of the Procurement Regulations 2024 (SI 2024 No. 692).</w:t>
            </w:r>
            <w:r w:rsidR="00347202">
              <w:t xml:space="preserve"> It is </w:t>
            </w:r>
            <w:r w:rsidR="00937349">
              <w:t xml:space="preserve">It is available at </w:t>
            </w:r>
            <w:hyperlink r:id="rId39" w:history="1">
              <w:r w:rsidR="00442981" w:rsidRPr="00E834F7">
                <w:rPr>
                  <w:rStyle w:val="Hyperlink"/>
                </w:rPr>
                <w:t>www.gov.uk/find-tender</w:t>
              </w:r>
            </w:hyperlink>
            <w:r w:rsidR="00280F84">
              <w:rPr>
                <w:rStyle w:val="Hyperlink"/>
              </w:rPr>
              <w:t>.</w:t>
            </w:r>
          </w:p>
          <w:p w14:paraId="3907BDEE" w14:textId="11ECE917" w:rsidR="00937349" w:rsidRDefault="00937349" w:rsidP="00937349">
            <w:pPr>
              <w:widowControl w:val="0"/>
              <w:spacing w:after="120"/>
            </w:pPr>
            <w:r>
              <w:t xml:space="preserve">The </w:t>
            </w:r>
            <w:r w:rsidR="00EA6DEB">
              <w:t xml:space="preserve">Central Digital Platform </w:t>
            </w:r>
            <w:r>
              <w:t>enable</w:t>
            </w:r>
            <w:r w:rsidR="00EA6DEB">
              <w:t>s</w:t>
            </w:r>
            <w:r>
              <w:t>:</w:t>
            </w:r>
          </w:p>
          <w:p w14:paraId="790E25CE" w14:textId="77777777" w:rsidR="00937349" w:rsidRDefault="00937349" w:rsidP="002840CF">
            <w:pPr>
              <w:widowControl w:val="0"/>
              <w:numPr>
                <w:ilvl w:val="0"/>
                <w:numId w:val="6"/>
              </w:numPr>
              <w:spacing w:after="120"/>
            </w:pPr>
            <w:r>
              <w:t>contracting authorities and suppliers to register and receive a unique identifier</w:t>
            </w:r>
          </w:p>
          <w:p w14:paraId="2ECD4194" w14:textId="77777777" w:rsidR="00937349" w:rsidRDefault="00937349" w:rsidP="002840CF">
            <w:pPr>
              <w:widowControl w:val="0"/>
              <w:numPr>
                <w:ilvl w:val="0"/>
                <w:numId w:val="6"/>
              </w:numPr>
              <w:spacing w:after="120"/>
            </w:pPr>
            <w:r>
              <w:t>contracting authorities to publish notices and other information as required under the Act for covered and below-threshold procurements</w:t>
            </w:r>
          </w:p>
          <w:p w14:paraId="77A61F25" w14:textId="18BBF77F" w:rsidR="00937349" w:rsidRDefault="00937349" w:rsidP="002840CF">
            <w:pPr>
              <w:widowControl w:val="0"/>
              <w:numPr>
                <w:ilvl w:val="0"/>
                <w:numId w:val="6"/>
              </w:numPr>
              <w:spacing w:after="120"/>
            </w:pPr>
            <w:r>
              <w:t xml:space="preserve">suppliers to submit and store certain core organisational information as required by the </w:t>
            </w:r>
            <w:r w:rsidR="00421981">
              <w:t>regulations to participate in a covered procurement. This information will only be available to those contracting authorities that a supplier chooses to share it with; it cannot be freely accessed</w:t>
            </w:r>
          </w:p>
          <w:p w14:paraId="29DBE9C9" w14:textId="5A42C1AA" w:rsidR="00916A75" w:rsidRDefault="00916A75" w:rsidP="002840CF">
            <w:pPr>
              <w:widowControl w:val="0"/>
              <w:numPr>
                <w:ilvl w:val="0"/>
                <w:numId w:val="6"/>
              </w:numPr>
              <w:spacing w:after="120"/>
            </w:pPr>
            <w:r>
              <w:t xml:space="preserve">anyone to view the notices and access related public </w:t>
            </w:r>
            <w:r>
              <w:lastRenderedPageBreak/>
              <w:t>procurement data</w:t>
            </w:r>
            <w:r w:rsidR="00280F84">
              <w:t>.</w:t>
            </w:r>
          </w:p>
          <w:p w14:paraId="2CDB2550" w14:textId="13599A6B" w:rsidR="00AB450C" w:rsidRPr="0018563A" w:rsidRDefault="00AB450C" w:rsidP="00AB450C">
            <w:pPr>
              <w:tabs>
                <w:tab w:val="left" w:pos="2751"/>
              </w:tabs>
              <w:ind w:left="57"/>
            </w:pPr>
          </w:p>
        </w:tc>
      </w:tr>
      <w:tr w:rsidR="00C03FCA" w:rsidRPr="0018563A" w14:paraId="54F9D495" w14:textId="77777777" w:rsidTr="71F252AA">
        <w:tc>
          <w:tcPr>
            <w:tcW w:w="3119" w:type="dxa"/>
          </w:tcPr>
          <w:p w14:paraId="18F03D2F" w14:textId="41E5AABB" w:rsidR="00C03FCA" w:rsidRPr="0041156C" w:rsidDel="00DA24CC" w:rsidRDefault="00C03FCA" w:rsidP="00AB450C">
            <w:pPr>
              <w:pStyle w:val="BodyText1"/>
              <w:spacing w:after="0"/>
            </w:pPr>
            <w:r>
              <w:t>Conditions of participation</w:t>
            </w:r>
          </w:p>
        </w:tc>
        <w:tc>
          <w:tcPr>
            <w:tcW w:w="6519" w:type="dxa"/>
          </w:tcPr>
          <w:p w14:paraId="5DF2FB91" w14:textId="5FE53455" w:rsidR="00EA6DEB" w:rsidRDefault="00F8420F" w:rsidP="006F5D5D">
            <w:pPr>
              <w:tabs>
                <w:tab w:val="left" w:pos="2751"/>
              </w:tabs>
              <w:ind w:left="57"/>
            </w:pPr>
            <w:r>
              <w:t xml:space="preserve">are </w:t>
            </w:r>
            <w:r w:rsidR="00BB4DC8">
              <w:t>as defined in s</w:t>
            </w:r>
            <w:r w:rsidR="009B6A31">
              <w:t>ection 22 of the Act</w:t>
            </w:r>
            <w:r w:rsidR="00F66C49">
              <w:t xml:space="preserve"> and are used to assess the </w:t>
            </w:r>
            <w:r w:rsidR="00EA6DEB">
              <w:t xml:space="preserve">Supplier </w:t>
            </w:r>
            <w:r w:rsidR="0022202E">
              <w:t>(</w:t>
            </w:r>
            <w:r>
              <w:t xml:space="preserve">but </w:t>
            </w:r>
            <w:r w:rsidR="0022202E">
              <w:t xml:space="preserve">not the </w:t>
            </w:r>
            <w:r w:rsidR="00EA6DEB">
              <w:t xml:space="preserve">Supplier’s </w:t>
            </w:r>
            <w:r w:rsidR="00203A2B">
              <w:t>Tender</w:t>
            </w:r>
            <w:r w:rsidR="0022202E">
              <w:t>).</w:t>
            </w:r>
          </w:p>
          <w:p w14:paraId="17D0E0BB" w14:textId="77777777" w:rsidR="00EA6DEB" w:rsidRDefault="00EA6DEB" w:rsidP="006F5D5D">
            <w:pPr>
              <w:tabs>
                <w:tab w:val="left" w:pos="2751"/>
              </w:tabs>
              <w:ind w:left="57"/>
            </w:pPr>
          </w:p>
          <w:p w14:paraId="5367ECF2" w14:textId="4C7A9121" w:rsidR="00C03FCA" w:rsidDel="00DA24CC" w:rsidRDefault="00EA6DEB" w:rsidP="00EA6DEB">
            <w:pPr>
              <w:tabs>
                <w:tab w:val="left" w:pos="2751"/>
              </w:tabs>
              <w:ind w:left="57"/>
            </w:pPr>
            <w:r>
              <w:t>The Conditions of Participation which Suppliers are required to satisfy in relation to this Procurement are set out</w:t>
            </w:r>
            <w:r w:rsidRPr="00EA6DEB">
              <w:t xml:space="preserve"> in Part 3 of the </w:t>
            </w:r>
            <w:r w:rsidR="00886247">
              <w:t>p</w:t>
            </w:r>
            <w:r w:rsidRPr="00EA6DEB">
              <w:t xml:space="preserve">rocurement </w:t>
            </w:r>
            <w:r w:rsidR="00886247">
              <w:t>s</w:t>
            </w:r>
            <w:r w:rsidRPr="00EA6DEB">
              <w:t xml:space="preserve">pecific </w:t>
            </w:r>
            <w:r w:rsidR="00886247">
              <w:t>q</w:t>
            </w:r>
            <w:r w:rsidRPr="00EA6DEB">
              <w:t>uestionnaire</w:t>
            </w:r>
            <w:r w:rsidR="00F8420F">
              <w:t xml:space="preserve"> (in the Qualification Envelope)</w:t>
            </w:r>
            <w:r>
              <w:t xml:space="preserve"> and t</w:t>
            </w:r>
            <w:r w:rsidR="002D7649">
              <w:t xml:space="preserve">he Authority </w:t>
            </w:r>
            <w:r w:rsidR="004D69E1">
              <w:t xml:space="preserve">has set out </w:t>
            </w:r>
            <w:r w:rsidR="00B10FCC">
              <w:t xml:space="preserve">how they will be assessed </w:t>
            </w:r>
            <w:r w:rsidR="006F5D5D">
              <w:t xml:space="preserve">within </w:t>
            </w:r>
            <w:r w:rsidR="001353CD">
              <w:t xml:space="preserve">‘The assessment process and award criteria’ </w:t>
            </w:r>
            <w:r w:rsidR="00D74B55">
              <w:t>section of this document</w:t>
            </w:r>
            <w:r w:rsidR="00F66C49">
              <w:t>.</w:t>
            </w:r>
            <w:r w:rsidR="00DD7656">
              <w:t xml:space="preserve"> </w:t>
            </w:r>
          </w:p>
        </w:tc>
      </w:tr>
      <w:tr w:rsidR="00DA24CC" w:rsidRPr="0018563A" w14:paraId="68D884A9" w14:textId="77777777" w:rsidTr="71F252AA">
        <w:tc>
          <w:tcPr>
            <w:tcW w:w="3119" w:type="dxa"/>
          </w:tcPr>
          <w:p w14:paraId="75802ED8" w14:textId="34A3E89C" w:rsidR="00DA24CC" w:rsidRPr="0041156C" w:rsidDel="00DA24CC" w:rsidRDefault="00DA24CC" w:rsidP="00AB450C">
            <w:pPr>
              <w:pStyle w:val="BodyText1"/>
              <w:spacing w:after="0"/>
            </w:pPr>
            <w:r>
              <w:t>Connected Persons</w:t>
            </w:r>
          </w:p>
        </w:tc>
        <w:tc>
          <w:tcPr>
            <w:tcW w:w="6519" w:type="dxa"/>
          </w:tcPr>
          <w:p w14:paraId="63BC11F9" w14:textId="3634CBF3" w:rsidR="00DF17E9" w:rsidRDefault="00E17EFF" w:rsidP="00DF17E9">
            <w:pPr>
              <w:widowControl w:val="0"/>
              <w:spacing w:after="120"/>
            </w:pPr>
            <w:r>
              <w:t>i</w:t>
            </w:r>
            <w:r w:rsidR="00DF17E9">
              <w:t>s</w:t>
            </w:r>
            <w:r>
              <w:t xml:space="preserve"> as</w:t>
            </w:r>
            <w:r w:rsidR="00DF17E9">
              <w:t xml:space="preserve"> defined in paragraph 45 of Schedule 6 to the Act. In summary, it covers:</w:t>
            </w:r>
          </w:p>
          <w:p w14:paraId="410A68FB" w14:textId="6F227AF3" w:rsidR="00DF17E9" w:rsidRDefault="00DF17E9" w:rsidP="002840CF">
            <w:pPr>
              <w:widowControl w:val="0"/>
              <w:numPr>
                <w:ilvl w:val="0"/>
                <w:numId w:val="7"/>
              </w:numPr>
              <w:spacing w:after="120"/>
            </w:pPr>
            <w:r>
              <w:t>a person with ‘significant control' over the supplier (within the meaning given by section 790C(2) of the Companies Act 2006)</w:t>
            </w:r>
          </w:p>
          <w:p w14:paraId="476A31C3" w14:textId="5ADAA5D8" w:rsidR="00DF17E9" w:rsidRDefault="00DF17E9" w:rsidP="002840CF">
            <w:pPr>
              <w:widowControl w:val="0"/>
              <w:numPr>
                <w:ilvl w:val="0"/>
                <w:numId w:val="7"/>
              </w:numPr>
              <w:spacing w:after="120"/>
            </w:pPr>
            <w:r>
              <w:t>a director or shadow director of the supplier</w:t>
            </w:r>
          </w:p>
          <w:p w14:paraId="5003D1BE" w14:textId="0D978A45" w:rsidR="00DF17E9" w:rsidRDefault="00DF17E9" w:rsidP="002840CF">
            <w:pPr>
              <w:widowControl w:val="0"/>
              <w:numPr>
                <w:ilvl w:val="0"/>
                <w:numId w:val="7"/>
              </w:numPr>
              <w:spacing w:after="120"/>
            </w:pPr>
            <w:r>
              <w:t>a parent undertaking or a subsidiary undertaking of the supplier</w:t>
            </w:r>
          </w:p>
          <w:p w14:paraId="3D923FF0" w14:textId="77777777" w:rsidR="00DF17E9" w:rsidRDefault="00DF17E9" w:rsidP="002840CF">
            <w:pPr>
              <w:widowControl w:val="0"/>
              <w:numPr>
                <w:ilvl w:val="0"/>
                <w:numId w:val="7"/>
              </w:numPr>
              <w:spacing w:after="120"/>
            </w:pPr>
            <w:r>
              <w:t xml:space="preserve">a predecessor </w:t>
            </w:r>
            <w:proofErr w:type="gramStart"/>
            <w:r>
              <w:t>company</w:t>
            </w:r>
            <w:proofErr w:type="gramEnd"/>
          </w:p>
          <w:p w14:paraId="2EABB2D4" w14:textId="63354702" w:rsidR="00DF17E9" w:rsidRDefault="00DF17E9" w:rsidP="002840CF">
            <w:pPr>
              <w:widowControl w:val="0"/>
              <w:numPr>
                <w:ilvl w:val="0"/>
                <w:numId w:val="7"/>
              </w:numPr>
              <w:spacing w:after="120"/>
            </w:pPr>
            <w:r>
              <w:t xml:space="preserve">any other person who it can reasonably be considered stands in an equivalent position in relation to the supplier as a person within </w:t>
            </w:r>
            <w:r w:rsidR="00EA6DEB">
              <w:t xml:space="preserve">any of </w:t>
            </w:r>
            <w:proofErr w:type="gramStart"/>
            <w:r>
              <w:t>paragraph</w:t>
            </w:r>
            <w:r w:rsidR="00EA6DEB">
              <w:t>s</w:t>
            </w:r>
            <w:proofErr w:type="gramEnd"/>
            <w:r>
              <w:t xml:space="preserve"> a to </w:t>
            </w:r>
            <w:proofErr w:type="spellStart"/>
            <w:r>
              <w:t>d</w:t>
            </w:r>
            <w:proofErr w:type="spellEnd"/>
            <w:r>
              <w:t>.</w:t>
            </w:r>
          </w:p>
          <w:p w14:paraId="23ED326A" w14:textId="28FDE896" w:rsidR="00E17EFF" w:rsidRDefault="00DF17E9" w:rsidP="002840CF">
            <w:pPr>
              <w:widowControl w:val="0"/>
              <w:numPr>
                <w:ilvl w:val="0"/>
                <w:numId w:val="7"/>
              </w:numPr>
              <w:spacing w:after="120"/>
            </w:pPr>
            <w:r>
              <w:t xml:space="preserve">any person with the right to exercise, or who </w:t>
            </w:r>
            <w:proofErr w:type="gramStart"/>
            <w:r>
              <w:t>actually exercises</w:t>
            </w:r>
            <w:proofErr w:type="gramEnd"/>
            <w:r>
              <w:t>, significant influence or control over the supplier</w:t>
            </w:r>
          </w:p>
          <w:p w14:paraId="5191FE60" w14:textId="70E4DC3B" w:rsidR="00DA24CC" w:rsidDel="00DA24CC" w:rsidRDefault="00DF17E9" w:rsidP="002840CF">
            <w:pPr>
              <w:widowControl w:val="0"/>
              <w:numPr>
                <w:ilvl w:val="0"/>
                <w:numId w:val="7"/>
              </w:numPr>
              <w:spacing w:after="120"/>
            </w:pPr>
            <w:r>
              <w:t xml:space="preserve">any person over which the supplier has the right to exercise, or </w:t>
            </w:r>
            <w:proofErr w:type="gramStart"/>
            <w:r>
              <w:t>actually exercises</w:t>
            </w:r>
            <w:proofErr w:type="gramEnd"/>
            <w:r>
              <w:t>, significant influence or control</w:t>
            </w:r>
            <w:r w:rsidR="00EA6DEB">
              <w:t>.</w:t>
            </w:r>
          </w:p>
        </w:tc>
      </w:tr>
      <w:tr w:rsidR="00AB450C" w:rsidRPr="0018563A" w14:paraId="12514588" w14:textId="77777777" w:rsidTr="71F252AA">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AB450C">
            <w:pPr>
              <w:tabs>
                <w:tab w:val="left" w:pos="2751"/>
              </w:tabs>
              <w:ind w:left="57"/>
            </w:pPr>
            <w:r>
              <w:t>means t</w:t>
            </w:r>
            <w:r w:rsidRPr="00CC010A">
              <w:t xml:space="preserve">he </w:t>
            </w:r>
            <w:r w:rsidR="00AB450C" w:rsidRPr="00CC010A">
              <w:t>contract to be entered into by the Authority with the successful Supplier.</w:t>
            </w:r>
          </w:p>
        </w:tc>
      </w:tr>
      <w:tr w:rsidR="00DE7E30" w:rsidRPr="0018563A" w14:paraId="5BA51931" w14:textId="77777777" w:rsidTr="71F252AA">
        <w:tc>
          <w:tcPr>
            <w:tcW w:w="3119" w:type="dxa"/>
          </w:tcPr>
          <w:p w14:paraId="348491D3" w14:textId="199A112D" w:rsidR="00DE7E30" w:rsidRPr="0041156C" w:rsidRDefault="00DE7E30" w:rsidP="00AB450C">
            <w:pPr>
              <w:pStyle w:val="BodyText1"/>
              <w:spacing w:after="0"/>
            </w:pPr>
            <w:r>
              <w:t>Core supplier information</w:t>
            </w:r>
          </w:p>
        </w:tc>
        <w:tc>
          <w:tcPr>
            <w:tcW w:w="6519" w:type="dxa"/>
          </w:tcPr>
          <w:p w14:paraId="6C255ACC" w14:textId="3F9B9436" w:rsidR="00656788" w:rsidRDefault="0051592D" w:rsidP="00656788">
            <w:pPr>
              <w:widowControl w:val="0"/>
              <w:spacing w:after="120"/>
            </w:pPr>
            <w:r>
              <w:t xml:space="preserve">is as </w:t>
            </w:r>
            <w:r w:rsidR="00656788">
              <w:t>defined in the regulation 6(9) of the Procurement Regulations 2024</w:t>
            </w:r>
            <w:r w:rsidR="00FC0B5E">
              <w:t>, and</w:t>
            </w:r>
            <w:r w:rsidR="00656788">
              <w:t xml:space="preserve"> is divided into four key categories of information cover</w:t>
            </w:r>
            <w:r w:rsidR="00FC0B5E">
              <w:t>ing</w:t>
            </w:r>
            <w:r w:rsidR="00656788">
              <w:t xml:space="preserve"> (in summary):</w:t>
            </w:r>
          </w:p>
          <w:p w14:paraId="70193BC4" w14:textId="76ED802E" w:rsidR="00656788" w:rsidRDefault="00656788" w:rsidP="002840CF">
            <w:pPr>
              <w:widowControl w:val="0"/>
              <w:numPr>
                <w:ilvl w:val="0"/>
                <w:numId w:val="8"/>
              </w:numPr>
              <w:spacing w:after="120"/>
            </w:pPr>
            <w:r>
              <w:t>basic information – this includes (</w:t>
            </w:r>
            <w:r w:rsidR="00FC0B5E">
              <w:t xml:space="preserve">but </w:t>
            </w:r>
            <w:r>
              <w:t>is not limited to) the supplier’s name, unique identifier, address, VAT number (if applicable), legal form and date of company registration (if applicable), details of</w:t>
            </w:r>
            <w:r w:rsidR="00FC0B5E">
              <w:t xml:space="preserve"> </w:t>
            </w:r>
            <w:r>
              <w:t xml:space="preserve">qualifications/trade associations and classification, for example whether the supplier is an SME and/or a </w:t>
            </w:r>
            <w:r>
              <w:lastRenderedPageBreak/>
              <w:t>public service mutual</w:t>
            </w:r>
          </w:p>
          <w:p w14:paraId="1316D18E" w14:textId="77777777" w:rsidR="00656788" w:rsidRDefault="00656788" w:rsidP="002840CF">
            <w:pPr>
              <w:widowControl w:val="0"/>
              <w:numPr>
                <w:ilvl w:val="0"/>
                <w:numId w:val="8"/>
              </w:numPr>
              <w:spacing w:after="120"/>
            </w:pPr>
            <w:r>
              <w:t>economic and financial standing information – as set out in the supplier’s most recent financial accounts</w:t>
            </w:r>
          </w:p>
          <w:p w14:paraId="2A61DDE3" w14:textId="77777777" w:rsidR="00880ACD" w:rsidRDefault="00656788" w:rsidP="002840CF">
            <w:pPr>
              <w:widowControl w:val="0"/>
              <w:numPr>
                <w:ilvl w:val="0"/>
                <w:numId w:val="8"/>
              </w:numPr>
              <w:spacing w:after="120"/>
            </w:pPr>
            <w:r>
              <w:t>connected person information – this includes (but is not limited to) information relating to relevant connected persons such as names, date of birth and nationality, service address and legal form</w:t>
            </w:r>
          </w:p>
          <w:p w14:paraId="5CDB1442" w14:textId="6327740D" w:rsidR="00DE7E30" w:rsidRDefault="00656788" w:rsidP="002840CF">
            <w:pPr>
              <w:widowControl w:val="0"/>
              <w:numPr>
                <w:ilvl w:val="0"/>
                <w:numId w:val="8"/>
              </w:numPr>
              <w:spacing w:after="120"/>
            </w:pPr>
            <w:r>
              <w:t>exclusion grounds information – this includes information relating to relevant convictions and events that form either a mandatory or discretionary exclusion ground under the Act</w:t>
            </w:r>
            <w:r w:rsidR="00280F84">
              <w:t>.</w:t>
            </w:r>
          </w:p>
        </w:tc>
      </w:tr>
      <w:tr w:rsidR="00062940" w:rsidRPr="002A5EEE" w14:paraId="68CBE943" w14:textId="77777777" w:rsidTr="71F252AA">
        <w:tc>
          <w:tcPr>
            <w:tcW w:w="3119" w:type="dxa"/>
          </w:tcPr>
          <w:p w14:paraId="4877E967" w14:textId="28334997" w:rsidR="00062940" w:rsidRDefault="007827E9" w:rsidP="00AB450C">
            <w:pPr>
              <w:pStyle w:val="BodyText1"/>
              <w:spacing w:after="0"/>
            </w:pPr>
            <w:r>
              <w:t>Debarment</w:t>
            </w:r>
          </w:p>
        </w:tc>
        <w:tc>
          <w:tcPr>
            <w:tcW w:w="6519" w:type="dxa"/>
          </w:tcPr>
          <w:p w14:paraId="3B41DD19" w14:textId="44ABE251" w:rsidR="00062940" w:rsidRPr="002A5EEE" w:rsidRDefault="06DD28B0" w:rsidP="00AB450C">
            <w:pPr>
              <w:tabs>
                <w:tab w:val="left" w:pos="2751"/>
              </w:tabs>
              <w:ind w:left="57"/>
            </w:pPr>
            <w:r w:rsidRPr="002A5EEE">
              <w:t xml:space="preserve">means the mechanism under which a </w:t>
            </w:r>
            <w:r w:rsidR="09BA6AEA" w:rsidRPr="002A5EEE">
              <w:t xml:space="preserve">Minister of the Crown can put a supplier on the </w:t>
            </w:r>
            <w:proofErr w:type="gramStart"/>
            <w:r w:rsidR="09BA6AEA" w:rsidRPr="002A5EEE">
              <w:t>centrally-published</w:t>
            </w:r>
            <w:proofErr w:type="gramEnd"/>
            <w:r w:rsidR="09BA6AEA" w:rsidRPr="002A5EEE">
              <w:t xml:space="preserve"> </w:t>
            </w:r>
            <w:hyperlink r:id="rId40" w:history="1">
              <w:r w:rsidR="09BA6AEA" w:rsidRPr="006E575F">
                <w:rPr>
                  <w:rStyle w:val="Hyperlink"/>
                </w:rPr>
                <w:t>debarment list</w:t>
              </w:r>
            </w:hyperlink>
            <w:r w:rsidR="09BA6AEA" w:rsidRPr="002A5EEE">
              <w:t>. This must be following an investigation, whereby the minister is satisfied that a supplier is an excluded supplier or an excludable supplier and should be added to the debarment list.</w:t>
            </w:r>
          </w:p>
        </w:tc>
      </w:tr>
      <w:tr w:rsidR="006B6B98" w:rsidRPr="0018563A" w14:paraId="00DE5151" w14:textId="77777777" w:rsidTr="71F252AA">
        <w:tc>
          <w:tcPr>
            <w:tcW w:w="3119" w:type="dxa"/>
          </w:tcPr>
          <w:p w14:paraId="7CB1FE7E" w14:textId="55315D34" w:rsidR="006B6B98" w:rsidRDefault="006B6B98" w:rsidP="00AB450C">
            <w:pPr>
              <w:pStyle w:val="BodyText1"/>
              <w:spacing w:after="0"/>
            </w:pPr>
            <w:r>
              <w:t>Excluded supplier</w:t>
            </w:r>
          </w:p>
        </w:tc>
        <w:tc>
          <w:tcPr>
            <w:tcW w:w="6519" w:type="dxa"/>
          </w:tcPr>
          <w:p w14:paraId="024229F6" w14:textId="52A61D3F" w:rsidR="00FC0B5E" w:rsidRDefault="00FC0B5E" w:rsidP="00AB450C">
            <w:pPr>
              <w:tabs>
                <w:tab w:val="left" w:pos="2751"/>
              </w:tabs>
              <w:ind w:left="57"/>
              <w:rPr>
                <w:lang w:eastAsia="en-US"/>
              </w:rPr>
            </w:pPr>
            <w:r>
              <w:rPr>
                <w:lang w:eastAsia="en-US"/>
              </w:rPr>
              <w:t>means an excluded supplier as defined in section 57(1) of the Act.</w:t>
            </w:r>
          </w:p>
          <w:p w14:paraId="62334258" w14:textId="77777777" w:rsidR="00FC0B5E" w:rsidRDefault="00FC0B5E" w:rsidP="00AB450C">
            <w:pPr>
              <w:tabs>
                <w:tab w:val="left" w:pos="2751"/>
              </w:tabs>
              <w:ind w:left="57"/>
              <w:rPr>
                <w:lang w:eastAsia="en-US"/>
              </w:rPr>
            </w:pPr>
          </w:p>
          <w:p w14:paraId="0D0710D1" w14:textId="00176658" w:rsidR="00270EF8" w:rsidRDefault="00FC0B5E" w:rsidP="00AB450C">
            <w:pPr>
              <w:tabs>
                <w:tab w:val="left" w:pos="2751"/>
              </w:tabs>
              <w:ind w:left="57"/>
            </w:pPr>
            <w:r>
              <w:rPr>
                <w:lang w:eastAsia="en-US"/>
              </w:rPr>
              <w:t xml:space="preserve">A supplier </w:t>
            </w:r>
            <w:r w:rsidR="0039581C">
              <w:t>is an ‘excluded supplier’ where the</w:t>
            </w:r>
            <w:r w:rsidR="00A23071">
              <w:t xml:space="preserve"> Authority </w:t>
            </w:r>
            <w:r w:rsidR="001A411D">
              <w:t xml:space="preserve">considers, firstly, </w:t>
            </w:r>
            <w:r w:rsidR="00982517">
              <w:t xml:space="preserve">that a </w:t>
            </w:r>
            <w:r w:rsidR="00982517" w:rsidRPr="001D75C6">
              <w:rPr>
                <w:b/>
                <w:bCs/>
              </w:rPr>
              <w:t>mandatory exclusion</w:t>
            </w:r>
            <w:r w:rsidR="00982517">
              <w:t xml:space="preserve"> ground applies to the supplier or an associated person</w:t>
            </w:r>
            <w:r w:rsidR="00A23071">
              <w:t xml:space="preserve"> and</w:t>
            </w:r>
            <w:r w:rsidR="0039581C">
              <w:t>, s</w:t>
            </w:r>
            <w:r w:rsidR="00A23071">
              <w:t>econdly that the circumstances giving rise</w:t>
            </w:r>
            <w:r w:rsidR="00775EF6">
              <w:t xml:space="preserve"> to the exclusion ground are continuing or likely to occur again. </w:t>
            </w:r>
          </w:p>
          <w:p w14:paraId="16F1448D" w14:textId="77777777" w:rsidR="00270EF8" w:rsidRDefault="00270EF8" w:rsidP="00AB450C">
            <w:pPr>
              <w:tabs>
                <w:tab w:val="left" w:pos="2751"/>
              </w:tabs>
              <w:ind w:left="57"/>
            </w:pPr>
          </w:p>
          <w:p w14:paraId="537D16BE" w14:textId="6B0B6B4F" w:rsidR="006B6B98" w:rsidRDefault="00385138" w:rsidP="00FC0B5E">
            <w:pPr>
              <w:tabs>
                <w:tab w:val="left" w:pos="2751"/>
              </w:tabs>
              <w:ind w:left="57"/>
            </w:pPr>
            <w:r>
              <w:t xml:space="preserve">A supplier </w:t>
            </w:r>
            <w:r w:rsidR="00FC0B5E">
              <w:t xml:space="preserve">is </w:t>
            </w:r>
            <w:r>
              <w:t>also an excluded supplier where a Minister of the Crown has already determined this – i.e. where the supplier or an associated person is on the debarment list because of a mandatory exclusion ground.</w:t>
            </w:r>
          </w:p>
        </w:tc>
      </w:tr>
      <w:tr w:rsidR="006B6B98" w:rsidRPr="0018563A" w14:paraId="1533E0F7" w14:textId="77777777" w:rsidTr="71F252AA">
        <w:tc>
          <w:tcPr>
            <w:tcW w:w="3119" w:type="dxa"/>
          </w:tcPr>
          <w:p w14:paraId="7EA3CCFC" w14:textId="38539F68" w:rsidR="006B6B98" w:rsidRDefault="006B6B98" w:rsidP="00AB450C">
            <w:pPr>
              <w:pStyle w:val="BodyText1"/>
              <w:spacing w:after="0"/>
            </w:pPr>
            <w:r>
              <w:t>Excludable supplier</w:t>
            </w:r>
          </w:p>
        </w:tc>
        <w:tc>
          <w:tcPr>
            <w:tcW w:w="6519" w:type="dxa"/>
          </w:tcPr>
          <w:p w14:paraId="4D8BE1E7" w14:textId="44A31F10" w:rsidR="00FC0B5E" w:rsidRDefault="00FC0B5E" w:rsidP="00AB450C">
            <w:pPr>
              <w:tabs>
                <w:tab w:val="left" w:pos="2751"/>
              </w:tabs>
              <w:ind w:left="57"/>
              <w:rPr>
                <w:lang w:eastAsia="en-US"/>
              </w:rPr>
            </w:pPr>
            <w:r>
              <w:rPr>
                <w:lang w:eastAsia="en-US"/>
              </w:rPr>
              <w:t>means an excludable supplier as defined in section 57(2) of the Act.</w:t>
            </w:r>
          </w:p>
          <w:p w14:paraId="40EB9502" w14:textId="77777777" w:rsidR="00FC0B5E" w:rsidRDefault="00FC0B5E" w:rsidP="00AB450C">
            <w:pPr>
              <w:tabs>
                <w:tab w:val="left" w:pos="2751"/>
              </w:tabs>
              <w:ind w:left="57"/>
            </w:pPr>
          </w:p>
          <w:p w14:paraId="148ED7CC" w14:textId="6D7FC3AC" w:rsidR="00E97496" w:rsidRDefault="00FC0B5E" w:rsidP="00AB450C">
            <w:pPr>
              <w:tabs>
                <w:tab w:val="left" w:pos="2751"/>
              </w:tabs>
              <w:ind w:left="57"/>
            </w:pPr>
            <w:r>
              <w:t>A</w:t>
            </w:r>
            <w:r w:rsidR="00270EF8">
              <w:t xml:space="preserve"> </w:t>
            </w:r>
            <w:r w:rsidR="001D75C6">
              <w:t xml:space="preserve">supplier is an ‘excludable supplier’ where the contracting authority considers, firstly, that a </w:t>
            </w:r>
            <w:r w:rsidR="001D75C6" w:rsidRPr="000A011A">
              <w:rPr>
                <w:b/>
                <w:bCs/>
              </w:rPr>
              <w:t>discretionary exclusion</w:t>
            </w:r>
            <w:r w:rsidR="001D75C6">
              <w:t xml:space="preserve"> ground applies to the supplier or an associated person and, secondly, that the circumstances giving rise to the exclusion ground are continuing or likely to occur again. </w:t>
            </w:r>
          </w:p>
          <w:p w14:paraId="7B1F8DE0" w14:textId="77777777" w:rsidR="00E97496" w:rsidRDefault="00E97496" w:rsidP="00AB450C">
            <w:pPr>
              <w:tabs>
                <w:tab w:val="left" w:pos="2751"/>
              </w:tabs>
              <w:ind w:left="57"/>
            </w:pPr>
          </w:p>
          <w:p w14:paraId="6CFBDC00" w14:textId="2A61DA5D" w:rsidR="006B6B98" w:rsidRDefault="001D75C6" w:rsidP="00FC0B5E">
            <w:pPr>
              <w:tabs>
                <w:tab w:val="left" w:pos="2751"/>
              </w:tabs>
              <w:ind w:left="57"/>
            </w:pPr>
            <w:r>
              <w:t xml:space="preserve">A supplier </w:t>
            </w:r>
            <w:r w:rsidR="00FC0B5E">
              <w:t xml:space="preserve">is </w:t>
            </w:r>
            <w:r>
              <w:t>also an excludable supplier where a Minister of the Crown has already determined this – i.e. where the supplier or an associated person is on the debarment list because of a discretionary exclusion ground.</w:t>
            </w:r>
          </w:p>
        </w:tc>
      </w:tr>
      <w:tr w:rsidR="00661AF6" w:rsidRPr="0018563A" w14:paraId="6DA7AAC1" w14:textId="77777777" w:rsidTr="71F252AA">
        <w:tc>
          <w:tcPr>
            <w:tcW w:w="3119" w:type="dxa"/>
          </w:tcPr>
          <w:p w14:paraId="3810775F" w14:textId="56B81DA5" w:rsidR="00661AF6" w:rsidRDefault="00035B59" w:rsidP="00AB450C">
            <w:pPr>
              <w:pStyle w:val="BodyText1"/>
              <w:spacing w:after="0"/>
            </w:pPr>
            <w:r>
              <w:lastRenderedPageBreak/>
              <w:t>Exclu</w:t>
            </w:r>
            <w:r w:rsidR="00AC3EF1">
              <w:t>sions</w:t>
            </w:r>
          </w:p>
        </w:tc>
        <w:tc>
          <w:tcPr>
            <w:tcW w:w="6519" w:type="dxa"/>
          </w:tcPr>
          <w:p w14:paraId="6AC0486F" w14:textId="71D6D750" w:rsidR="00661AF6" w:rsidRDefault="00F20197" w:rsidP="00280F84">
            <w:pPr>
              <w:tabs>
                <w:tab w:val="left" w:pos="2751"/>
              </w:tabs>
              <w:ind w:left="57"/>
            </w:pPr>
            <w:r>
              <w:t>means the list of mandatory (</w:t>
            </w:r>
            <w:r w:rsidR="00212DA6">
              <w:t>s</w:t>
            </w:r>
            <w:r>
              <w:t>chedule 6) and discretionary (schedule 7) exclusion ground</w:t>
            </w:r>
            <w:r w:rsidR="007E09E9">
              <w:t>s</w:t>
            </w:r>
            <w:r w:rsidR="00212DA6">
              <w:t xml:space="preserve"> </w:t>
            </w:r>
            <w:r w:rsidR="00280F84">
              <w:t>under</w:t>
            </w:r>
            <w:r w:rsidR="00212DA6">
              <w:t xml:space="preserve"> the Act</w:t>
            </w:r>
            <w:r w:rsidR="00820761">
              <w:t>. The Authority has a duty to consider</w:t>
            </w:r>
            <w:r w:rsidR="006A1D61">
              <w:t xml:space="preserve"> both whether any of these apply to </w:t>
            </w:r>
            <w:r w:rsidR="00280F84">
              <w:t xml:space="preserve">Suppliers </w:t>
            </w:r>
            <w:r w:rsidR="006A1D61">
              <w:t xml:space="preserve">(including by virtue of a </w:t>
            </w:r>
            <w:r w:rsidR="00280F84">
              <w:t>Connected Person</w:t>
            </w:r>
            <w:r w:rsidR="006A1D61">
              <w:t>), as well as whether the circumstances are continuing or likely to occur again</w:t>
            </w:r>
            <w:r w:rsidR="00AD557A">
              <w:t>. The Authority must</w:t>
            </w:r>
            <w:r w:rsidR="00AF0474">
              <w:t xml:space="preserve"> exclude an excluded supplier and may exclude an excludable supplier from </w:t>
            </w:r>
            <w:r w:rsidR="00280F84">
              <w:t>this P</w:t>
            </w:r>
            <w:r w:rsidR="00AF0474">
              <w:t>rocurement.</w:t>
            </w:r>
          </w:p>
        </w:tc>
      </w:tr>
      <w:tr w:rsidR="00F94280" w:rsidRPr="0018563A" w14:paraId="53EF279E" w14:textId="77777777" w:rsidTr="71F252AA">
        <w:tc>
          <w:tcPr>
            <w:tcW w:w="3119" w:type="dxa"/>
          </w:tcPr>
          <w:p w14:paraId="5C3E415D" w14:textId="1182D7C5" w:rsidR="00F94280" w:rsidRPr="0041156C" w:rsidRDefault="00F94280" w:rsidP="00AB450C">
            <w:pPr>
              <w:pStyle w:val="BodyText1"/>
              <w:spacing w:after="0"/>
            </w:pPr>
            <w:r>
              <w:t>FOIA</w:t>
            </w:r>
            <w:r w:rsidR="004B32CC">
              <w:t xml:space="preserve"> and EIR</w:t>
            </w:r>
          </w:p>
        </w:tc>
        <w:tc>
          <w:tcPr>
            <w:tcW w:w="6519" w:type="dxa"/>
          </w:tcPr>
          <w:p w14:paraId="5B5E83B2" w14:textId="0D83F71A" w:rsidR="00F94280" w:rsidRDefault="004B32CC" w:rsidP="00AB450C">
            <w:pPr>
              <w:tabs>
                <w:tab w:val="left" w:pos="2751"/>
              </w:tabs>
              <w:ind w:left="57"/>
            </w:pPr>
            <w:r>
              <w:t>means the Freedom of Information Act 2000 (FOIA) and the Environmental Information Regulations 2004 (EIR) which the Authority is subject to.</w:t>
            </w:r>
          </w:p>
        </w:tc>
      </w:tr>
      <w:tr w:rsidR="007E72F0" w:rsidRPr="0018563A" w14:paraId="0BD9B029" w14:textId="77777777" w:rsidTr="71F252AA">
        <w:tc>
          <w:tcPr>
            <w:tcW w:w="3119" w:type="dxa"/>
          </w:tcPr>
          <w:p w14:paraId="48FBD988" w14:textId="7DD64385" w:rsidR="007E72F0" w:rsidRPr="0041156C" w:rsidRDefault="007E72F0" w:rsidP="00AB450C">
            <w:pPr>
              <w:pStyle w:val="BodyText1"/>
              <w:spacing w:after="0"/>
            </w:pPr>
            <w:r>
              <w:t>Government Security C</w:t>
            </w:r>
            <w:r w:rsidR="000865CE">
              <w:t>lassification</w:t>
            </w:r>
          </w:p>
        </w:tc>
        <w:tc>
          <w:tcPr>
            <w:tcW w:w="6519" w:type="dxa"/>
          </w:tcPr>
          <w:p w14:paraId="00D5242E" w14:textId="58981175" w:rsidR="007E72F0" w:rsidRDefault="00677F66" w:rsidP="00AB450C">
            <w:pPr>
              <w:tabs>
                <w:tab w:val="left" w:pos="2751"/>
              </w:tabs>
              <w:ind w:left="57"/>
            </w:pPr>
            <w:r>
              <w:t>means the Government Security Classif</w:t>
            </w:r>
            <w:r w:rsidR="005B2072">
              <w:t>ication Policy</w:t>
            </w:r>
            <w:r w:rsidR="00A10970">
              <w:t xml:space="preserve"> which can be accessed here </w:t>
            </w:r>
            <w:hyperlink r:id="rId41" w:history="1">
              <w:r w:rsidR="000A7811" w:rsidRPr="000A7811">
                <w:rPr>
                  <w:rStyle w:val="Hyperlink"/>
                </w:rPr>
                <w:t>Government Security Classifications - GOV.UK</w:t>
              </w:r>
            </w:hyperlink>
            <w:r w:rsidR="00280F84">
              <w:rPr>
                <w:rStyle w:val="Hyperlink"/>
              </w:rPr>
              <w:t>.</w:t>
            </w:r>
            <w:r w:rsidR="000A7811">
              <w:t xml:space="preserve"> </w:t>
            </w:r>
          </w:p>
        </w:tc>
      </w:tr>
      <w:tr w:rsidR="00DC0C96" w:rsidRPr="0018563A" w14:paraId="2AFA1417" w14:textId="77777777" w:rsidTr="71F252AA">
        <w:tc>
          <w:tcPr>
            <w:tcW w:w="3119" w:type="dxa"/>
          </w:tcPr>
          <w:p w14:paraId="2AC02F0E" w14:textId="58317189" w:rsidR="00DC0C96" w:rsidRDefault="00DC0C96" w:rsidP="00AB450C">
            <w:pPr>
              <w:pStyle w:val="BodyText1"/>
              <w:spacing w:after="0"/>
            </w:pPr>
            <w:r>
              <w:t>Inte</w:t>
            </w:r>
            <w:r w:rsidR="00272FFE">
              <w:t>nded sub-contractors</w:t>
            </w:r>
          </w:p>
        </w:tc>
        <w:tc>
          <w:tcPr>
            <w:tcW w:w="6519" w:type="dxa"/>
          </w:tcPr>
          <w:p w14:paraId="0743C8B8" w14:textId="426FDC9A" w:rsidR="00280F84" w:rsidRDefault="00280F84" w:rsidP="00AB450C">
            <w:pPr>
              <w:tabs>
                <w:tab w:val="left" w:pos="2751"/>
              </w:tabs>
              <w:ind w:left="57"/>
            </w:pPr>
            <w:r w:rsidRPr="00280F84">
              <w:t>means a sub-contractor to whom the Supplier intends to sub-contract the performance of all or part of the Contract</w:t>
            </w:r>
            <w:r w:rsidR="00D5011D">
              <w:t>.</w:t>
            </w:r>
          </w:p>
          <w:p w14:paraId="7FCE636F" w14:textId="08B4483C" w:rsidR="00DC0C96" w:rsidRDefault="00D5011D" w:rsidP="00AB450C">
            <w:pPr>
              <w:tabs>
                <w:tab w:val="left" w:pos="2751"/>
              </w:tabs>
              <w:ind w:left="57"/>
            </w:pPr>
            <w:r>
              <w:t xml:space="preserve"> </w:t>
            </w:r>
          </w:p>
          <w:p w14:paraId="29D9FE36" w14:textId="5097FB12" w:rsidR="00B24491" w:rsidRDefault="00B24491" w:rsidP="00B24491">
            <w:pPr>
              <w:widowControl w:val="0"/>
              <w:spacing w:after="120"/>
            </w:pPr>
            <w:r>
              <w:t xml:space="preserve">This is not restricted to sub-contractors that the </w:t>
            </w:r>
            <w:r w:rsidR="00280F84">
              <w:t xml:space="preserve">Supplier </w:t>
            </w:r>
            <w:r>
              <w:t xml:space="preserve">is relying on to meet conditions of participation (who will in any event be associated persons) but applies to all sub-contractors (of all tiers) </w:t>
            </w:r>
            <w:r w:rsidR="00280F84">
              <w:t xml:space="preserve">to whom </w:t>
            </w:r>
            <w:r>
              <w:t xml:space="preserve">the </w:t>
            </w:r>
            <w:r w:rsidR="00280F84">
              <w:t xml:space="preserve">Supplier </w:t>
            </w:r>
            <w:r>
              <w:t xml:space="preserve">intends to sub-contract the performance of all or part of the </w:t>
            </w:r>
            <w:r w:rsidR="00280F84">
              <w:t>Contract</w:t>
            </w:r>
            <w:r>
              <w:t>.</w:t>
            </w:r>
          </w:p>
        </w:tc>
      </w:tr>
      <w:tr w:rsidR="00AB450C" w:rsidRPr="0018563A" w14:paraId="63F4883D" w14:textId="77777777" w:rsidTr="71F252AA">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06A777B3" w:rsidR="00AB450C" w:rsidRPr="0018563A" w:rsidRDefault="00CB75CC" w:rsidP="00280F84">
            <w:pPr>
              <w:tabs>
                <w:tab w:val="left" w:pos="2751"/>
              </w:tabs>
              <w:ind w:left="57"/>
            </w:pPr>
            <w:r>
              <w:t>m</w:t>
            </w:r>
            <w:r w:rsidR="00092A59">
              <w:t>eans the</w:t>
            </w:r>
            <w:r w:rsidR="00AB450C" w:rsidRPr="00CC010A">
              <w:t xml:space="preserve"> key performance indicators (KPIs) set out in Appendix</w:t>
            </w:r>
            <w:r w:rsidR="00AB450C">
              <w:t> </w:t>
            </w:r>
            <w:r w:rsidR="00AB450C" w:rsidRPr="00CC010A">
              <w:t>C.</w:t>
            </w:r>
          </w:p>
        </w:tc>
      </w:tr>
      <w:tr w:rsidR="00C358FD" w:rsidRPr="0018563A" w14:paraId="65542E5F" w14:textId="77777777" w:rsidTr="71F252AA">
        <w:tc>
          <w:tcPr>
            <w:tcW w:w="3119" w:type="dxa"/>
          </w:tcPr>
          <w:p w14:paraId="1D99D952" w14:textId="2F40E0CB" w:rsidR="00C358FD" w:rsidRPr="0041156C" w:rsidRDefault="00C358FD" w:rsidP="00AB450C">
            <w:pPr>
              <w:pStyle w:val="BodyText1"/>
              <w:spacing w:after="0"/>
            </w:pPr>
            <w:r>
              <w:t>Open Procedure</w:t>
            </w:r>
          </w:p>
        </w:tc>
        <w:tc>
          <w:tcPr>
            <w:tcW w:w="6519" w:type="dxa"/>
          </w:tcPr>
          <w:p w14:paraId="3232E3A6" w14:textId="5FA019C5" w:rsidR="00C358FD" w:rsidRDefault="00C358FD" w:rsidP="00AB450C">
            <w:pPr>
              <w:tabs>
                <w:tab w:val="left" w:pos="2751"/>
              </w:tabs>
              <w:ind w:left="57"/>
            </w:pPr>
            <w:r>
              <w:t xml:space="preserve">means the </w:t>
            </w:r>
            <w:r w:rsidR="002B10EA">
              <w:t>open procedure as defined by section</w:t>
            </w:r>
            <w:r w:rsidR="000A7D91">
              <w:t xml:space="preserve"> </w:t>
            </w:r>
            <w:r w:rsidR="0063011E">
              <w:t>20 of the Act</w:t>
            </w:r>
            <w:r w:rsidR="00280F84">
              <w:t>.</w:t>
            </w:r>
          </w:p>
        </w:tc>
      </w:tr>
      <w:tr w:rsidR="00AB450C" w:rsidRPr="0018563A" w14:paraId="4AF43C71" w14:textId="77777777" w:rsidTr="71F252AA">
        <w:tc>
          <w:tcPr>
            <w:tcW w:w="3119" w:type="dxa"/>
          </w:tcPr>
          <w:p w14:paraId="371B6FE4" w14:textId="335F197F" w:rsidR="00AB450C" w:rsidRPr="0018563A" w:rsidRDefault="51AEF9DD" w:rsidP="00AB450C">
            <w:pPr>
              <w:pStyle w:val="BodyText1"/>
              <w:spacing w:after="0"/>
            </w:pPr>
            <w:r>
              <w:t>Portal</w:t>
            </w:r>
          </w:p>
        </w:tc>
        <w:tc>
          <w:tcPr>
            <w:tcW w:w="6519" w:type="dxa"/>
          </w:tcPr>
          <w:p w14:paraId="32A04E9A" w14:textId="07FB9E95" w:rsidR="00AB450C" w:rsidRPr="0018563A" w:rsidRDefault="00092A59" w:rsidP="00AB450C">
            <w:pPr>
              <w:tabs>
                <w:tab w:val="left" w:pos="2751"/>
              </w:tabs>
              <w:ind w:left="57"/>
            </w:pPr>
            <w:r>
              <w:t>means the</w:t>
            </w:r>
            <w:r w:rsidRPr="00CC010A">
              <w:t xml:space="preserve"> </w:t>
            </w:r>
            <w:r w:rsidR="006E575F">
              <w:t>Atamis</w:t>
            </w:r>
            <w:r w:rsidR="009B7C61">
              <w:t xml:space="preserve"> </w:t>
            </w:r>
            <w:proofErr w:type="spellStart"/>
            <w:r w:rsidR="009B7C61">
              <w:t>e</w:t>
            </w:r>
            <w:r w:rsidR="00AC2F87">
              <w:t>sourcing</w:t>
            </w:r>
            <w:proofErr w:type="spellEnd"/>
            <w:r w:rsidR="00AC2F87">
              <w:t xml:space="preserve"> </w:t>
            </w:r>
            <w:r w:rsidR="00AB450C" w:rsidRPr="00CC010A">
              <w:t>portal used by the Authority for the purposes of this Procurement and which can be accessed here</w:t>
            </w:r>
            <w:r w:rsidR="00717AEC">
              <w:t xml:space="preserve"> </w:t>
            </w:r>
            <w:hyperlink r:id="rId42" w:history="1">
              <w:r w:rsidR="0099147D">
                <w:rPr>
                  <w:rStyle w:val="Hyperlink"/>
                </w:rPr>
                <w:t>DHSC &amp; Health Family Portal</w:t>
              </w:r>
            </w:hyperlink>
            <w:r w:rsidR="00AB450C" w:rsidRPr="00CC010A">
              <w:t xml:space="preserve">. </w:t>
            </w:r>
          </w:p>
        </w:tc>
      </w:tr>
      <w:tr w:rsidR="00AB450C" w:rsidRPr="0018563A" w14:paraId="295BE2A8" w14:textId="77777777" w:rsidTr="71F252AA">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0B2B6B87" w:rsidR="00AB450C" w:rsidRPr="0018563A" w:rsidRDefault="00280F84" w:rsidP="00280F84">
            <w:pPr>
              <w:tabs>
                <w:tab w:val="left" w:pos="2751"/>
              </w:tabs>
              <w:ind w:left="57"/>
            </w:pPr>
            <w:r>
              <w:t>means t</w:t>
            </w:r>
            <w:r w:rsidR="00AB450C" w:rsidRPr="00CC010A">
              <w:t xml:space="preserve">his </w:t>
            </w:r>
            <w:r w:rsidR="00717AEC">
              <w:t>Open</w:t>
            </w:r>
            <w:r w:rsidR="00AB450C" w:rsidRPr="00CC010A">
              <w:t xml:space="preserve"> Procedure procurement process.</w:t>
            </w:r>
          </w:p>
        </w:tc>
      </w:tr>
      <w:tr w:rsidR="00AB450C" w:rsidRPr="0018563A" w14:paraId="3A3C67BD" w14:textId="77777777" w:rsidTr="71F252AA">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38FCCC7" w:rsidR="00AB450C" w:rsidRPr="0018563A" w:rsidRDefault="00280F84" w:rsidP="00AB450C">
            <w:pPr>
              <w:tabs>
                <w:tab w:val="left" w:pos="2751"/>
              </w:tabs>
              <w:ind w:left="57"/>
            </w:pPr>
            <w:r>
              <w:t>means t</w:t>
            </w:r>
            <w:r w:rsidRPr="00CC010A">
              <w:t xml:space="preserve">he </w:t>
            </w:r>
            <w:r w:rsidR="00AB450C" w:rsidRPr="00CC010A">
              <w:t>timetable for this Procurement as set out in this document.</w:t>
            </w:r>
          </w:p>
        </w:tc>
      </w:tr>
      <w:tr w:rsidR="00582F2E" w:rsidRPr="0018563A" w14:paraId="5114926B" w14:textId="77777777" w:rsidTr="71F252AA">
        <w:tc>
          <w:tcPr>
            <w:tcW w:w="3119" w:type="dxa"/>
          </w:tcPr>
          <w:p w14:paraId="6C61C5E8" w14:textId="11ADFC6C" w:rsidR="00582F2E" w:rsidRPr="0041156C" w:rsidRDefault="00582F2E" w:rsidP="00AB450C">
            <w:pPr>
              <w:pStyle w:val="BodyText1"/>
              <w:spacing w:after="0"/>
            </w:pPr>
            <w:r>
              <w:t>PSQ Response</w:t>
            </w:r>
          </w:p>
        </w:tc>
        <w:tc>
          <w:tcPr>
            <w:tcW w:w="6519" w:type="dxa"/>
          </w:tcPr>
          <w:p w14:paraId="7DF23CD4" w14:textId="54FA392C" w:rsidR="00582F2E" w:rsidRDefault="00582F2E" w:rsidP="00AB450C">
            <w:pPr>
              <w:tabs>
                <w:tab w:val="left" w:pos="2751"/>
              </w:tabs>
              <w:ind w:left="57"/>
            </w:pPr>
            <w:r>
              <w:t>means a Supplier’s response to the Qualification Envelope</w:t>
            </w:r>
          </w:p>
        </w:tc>
      </w:tr>
      <w:tr w:rsidR="00AB450C" w:rsidRPr="0018563A" w14:paraId="16E17F3C" w14:textId="77777777" w:rsidTr="71F252AA">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AB450C">
            <w:pPr>
              <w:tabs>
                <w:tab w:val="left" w:pos="2751"/>
              </w:tabs>
              <w:ind w:left="57"/>
            </w:pPr>
            <w:r>
              <w:t>m</w:t>
            </w:r>
            <w:r w:rsidR="00092A59">
              <w:t>eans t</w:t>
            </w:r>
            <w:r w:rsidR="00AB450C" w:rsidRPr="00CC010A">
              <w:t>he service credits set out in Appendix C.</w:t>
            </w:r>
          </w:p>
        </w:tc>
      </w:tr>
      <w:tr w:rsidR="00AB450C" w:rsidRPr="0018563A" w14:paraId="5C630B15" w14:textId="77777777" w:rsidTr="71F252AA">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40612D6A" w:rsidR="00AB450C" w:rsidRPr="0018563A" w:rsidRDefault="00CB75CC" w:rsidP="00AB450C">
            <w:pPr>
              <w:tabs>
                <w:tab w:val="left" w:pos="2751"/>
              </w:tabs>
              <w:ind w:left="57"/>
            </w:pPr>
            <w:r>
              <w:t>m</w:t>
            </w:r>
            <w:r w:rsidR="00092A59">
              <w:t>ean</w:t>
            </w:r>
            <w:r>
              <w:t>s</w:t>
            </w:r>
            <w:r w:rsidR="00092A59">
              <w:t xml:space="preserve"> t</w:t>
            </w:r>
            <w:r w:rsidR="00AB450C" w:rsidRPr="00CC010A">
              <w:t>he service levels set out in</w:t>
            </w:r>
            <w:r w:rsidR="00092A59">
              <w:t xml:space="preserve"> Appendix C</w:t>
            </w:r>
            <w:r w:rsidR="00280F84">
              <w:t>.</w:t>
            </w:r>
            <w:r w:rsidR="00AB450C" w:rsidRPr="00CC010A">
              <w:t xml:space="preserve"> </w:t>
            </w:r>
          </w:p>
        </w:tc>
      </w:tr>
      <w:tr w:rsidR="00AB450C" w:rsidRPr="0018563A" w14:paraId="7D3D564C" w14:textId="77777777" w:rsidTr="71F252AA">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7D5D19A8" w:rsidR="00AB450C" w:rsidRPr="0018563A" w:rsidRDefault="00092A59" w:rsidP="00AB450C">
            <w:pPr>
              <w:tabs>
                <w:tab w:val="left" w:pos="2751"/>
              </w:tabs>
              <w:ind w:left="57"/>
            </w:pPr>
            <w:r w:rsidRPr="00092A59">
              <w:t>means a supplier or suppliers (as the case may be) participating in the Procurement</w:t>
            </w:r>
            <w:r w:rsidR="00280F84">
              <w:t>.</w:t>
            </w:r>
          </w:p>
        </w:tc>
      </w:tr>
      <w:tr w:rsidR="00582F2E" w:rsidRPr="0018563A" w14:paraId="63C4C623" w14:textId="77777777" w:rsidTr="71F252AA">
        <w:tc>
          <w:tcPr>
            <w:tcW w:w="3119" w:type="dxa"/>
          </w:tcPr>
          <w:p w14:paraId="5A3EB77F" w14:textId="247CE616" w:rsidR="00582F2E" w:rsidRPr="0041156C" w:rsidRDefault="00582F2E" w:rsidP="00AB450C">
            <w:pPr>
              <w:pStyle w:val="BodyText1"/>
              <w:spacing w:after="0"/>
            </w:pPr>
            <w:r>
              <w:lastRenderedPageBreak/>
              <w:t>Tender</w:t>
            </w:r>
          </w:p>
        </w:tc>
        <w:tc>
          <w:tcPr>
            <w:tcW w:w="6519" w:type="dxa"/>
          </w:tcPr>
          <w:p w14:paraId="3312654B" w14:textId="39077048" w:rsidR="00582F2E" w:rsidRPr="00092A59" w:rsidRDefault="00582F2E" w:rsidP="00582F2E">
            <w:pPr>
              <w:pStyle w:val="BodyText1"/>
              <w:spacing w:after="0"/>
            </w:pPr>
            <w:r>
              <w:t>means those parts of a Supplier’s submission in this Procurement comprised within the Technical Envelope and the Commercial Envelope</w:t>
            </w:r>
            <w:r w:rsidR="00F8420F">
              <w:t>.</w:t>
            </w:r>
          </w:p>
        </w:tc>
      </w:tr>
      <w:tr w:rsidR="00AB450C" w:rsidRPr="0018563A" w14:paraId="12B31E07" w14:textId="77777777" w:rsidTr="71F252AA">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7DE56462" w:rsidR="00AB450C" w:rsidRPr="0018563A" w:rsidRDefault="00092A59" w:rsidP="00AB450C">
            <w:pPr>
              <w:pStyle w:val="BodyText1"/>
              <w:spacing w:after="0"/>
            </w:pPr>
            <w:r w:rsidRPr="00092A59">
              <w:t>means the tender notice with reference [insert reference] published on [insert date] on the Central Digital Platform</w:t>
            </w:r>
            <w:r w:rsidR="00280F84">
              <w:t>.</w:t>
            </w:r>
          </w:p>
        </w:tc>
      </w:tr>
      <w:tr w:rsidR="00336F3C" w:rsidRPr="0018563A" w14:paraId="6312FFE0" w14:textId="77777777" w:rsidTr="71F252AA">
        <w:tc>
          <w:tcPr>
            <w:tcW w:w="3119" w:type="dxa"/>
          </w:tcPr>
          <w:p w14:paraId="7F2509CF" w14:textId="79F67C4E" w:rsidR="00336F3C" w:rsidRPr="0041156C" w:rsidRDefault="00AF7F39" w:rsidP="00AB450C">
            <w:pPr>
              <w:pStyle w:val="BodyText1"/>
              <w:spacing w:after="0"/>
            </w:pPr>
            <w:r>
              <w:t>TUPE</w:t>
            </w:r>
          </w:p>
        </w:tc>
        <w:tc>
          <w:tcPr>
            <w:tcW w:w="6519" w:type="dxa"/>
          </w:tcPr>
          <w:p w14:paraId="4AF639C4" w14:textId="3079C858" w:rsidR="00336F3C" w:rsidRPr="00092A59" w:rsidRDefault="00B24491" w:rsidP="00AB450C">
            <w:pPr>
              <w:pStyle w:val="BodyText1"/>
              <w:spacing w:after="0"/>
            </w:pPr>
            <w:r>
              <w:t xml:space="preserve">means the </w:t>
            </w:r>
            <w:r w:rsidR="00AF7F39">
              <w:t>Transfer of Undertakings (Protection on Employment) Regulations</w:t>
            </w:r>
            <w:r w:rsidR="00F94280">
              <w:t xml:space="preserve"> 2006 (as amended)</w:t>
            </w:r>
            <w:r w:rsidR="00280F84">
              <w:t>.</w:t>
            </w:r>
          </w:p>
        </w:tc>
      </w:tr>
      <w:tr w:rsidR="00C358FD" w:rsidRPr="0018563A" w14:paraId="671471E0" w14:textId="77777777" w:rsidTr="71F252AA">
        <w:tc>
          <w:tcPr>
            <w:tcW w:w="3119" w:type="dxa"/>
          </w:tcPr>
          <w:p w14:paraId="57DCE9FB" w14:textId="1FBDDFA5" w:rsidR="00C358FD" w:rsidRPr="0041156C" w:rsidRDefault="00B24491" w:rsidP="00AB450C">
            <w:pPr>
              <w:pStyle w:val="BodyText1"/>
              <w:spacing w:after="0"/>
            </w:pPr>
            <w:r>
              <w:t>Unique ide</w:t>
            </w:r>
            <w:r w:rsidR="00441CFC">
              <w:t>ntifier</w:t>
            </w:r>
          </w:p>
        </w:tc>
        <w:tc>
          <w:tcPr>
            <w:tcW w:w="6519" w:type="dxa"/>
          </w:tcPr>
          <w:p w14:paraId="51092670" w14:textId="6D94582C" w:rsidR="00C358FD" w:rsidRPr="00092A59" w:rsidRDefault="009E7B07" w:rsidP="00280F84">
            <w:pPr>
              <w:pStyle w:val="BodyText1"/>
              <w:spacing w:after="0"/>
            </w:pPr>
            <w:r>
              <w:t>i</w:t>
            </w:r>
            <w:r w:rsidR="00441CFC">
              <w:t>s</w:t>
            </w:r>
            <w:r>
              <w:t xml:space="preserve"> as defined in regulation 8 of the Procurement Regulations 2024. In the case of a supplier, it is the unique code which is submitted to the </w:t>
            </w:r>
            <w:r w:rsidR="00280F84">
              <w:t xml:space="preserve">Central Digital Platform </w:t>
            </w:r>
            <w:r>
              <w:t>and is recognised by that platform or, where no such code is submitted and recognised, it is the unique code which is allocated by that platform when the supplier registers on that platform.</w:t>
            </w:r>
          </w:p>
        </w:tc>
      </w:tr>
    </w:tbl>
    <w:p w14:paraId="7C939DEC" w14:textId="77777777" w:rsidR="00DF644D" w:rsidRPr="00170C6F" w:rsidRDefault="00DF644D" w:rsidP="00AB450C">
      <w:pPr>
        <w:pStyle w:val="BodyText1"/>
      </w:pPr>
    </w:p>
    <w:p w14:paraId="461E6D75" w14:textId="55481C06" w:rsidR="00DF644D" w:rsidRPr="002147DD" w:rsidRDefault="00DF644D" w:rsidP="00DF644D">
      <w:pPr>
        <w:pStyle w:val="Heading1"/>
        <w:numPr>
          <w:ilvl w:val="0"/>
          <w:numId w:val="0"/>
        </w:numPr>
      </w:pPr>
      <w:bookmarkStart w:id="38" w:name="_Toc214868689"/>
      <w:r>
        <w:lastRenderedPageBreak/>
        <w:t xml:space="preserve">Appendix </w:t>
      </w:r>
      <w:r w:rsidR="00826365">
        <w:t>F</w:t>
      </w:r>
      <w:r>
        <w:t>: Form of tender</w:t>
      </w:r>
      <w:bookmarkEnd w:id="38"/>
    </w:p>
    <w:p w14:paraId="1859EB9C" w14:textId="77777777" w:rsidR="00AB450C" w:rsidRDefault="00AB450C" w:rsidP="00AB450C">
      <w:pPr>
        <w:pStyle w:val="BodyText1"/>
      </w:pPr>
      <w:r>
        <w:t>Dear Sir or Madam</w:t>
      </w:r>
    </w:p>
    <w:p w14:paraId="4CB08BCC" w14:textId="77777777" w:rsidR="00AB450C" w:rsidRDefault="00AB450C" w:rsidP="00BE665B">
      <w:pPr>
        <w:pStyle w:val="Heading2-NotToC"/>
      </w:pPr>
      <w:r>
        <w:t xml:space="preserve">Form of tender </w:t>
      </w:r>
    </w:p>
    <w:p w14:paraId="2BEFFFEE" w14:textId="2101962A" w:rsidR="00AB450C" w:rsidRDefault="00AB450C" w:rsidP="00AB450C">
      <w:pPr>
        <w:pStyle w:val="BodyText1"/>
      </w:pPr>
      <w:r>
        <w:t xml:space="preserve">I/We, the undersigned, tender and offer to provide the </w:t>
      </w:r>
      <w:r w:rsidR="006461CC">
        <w:t>C</w:t>
      </w:r>
      <w:r>
        <w:t xml:space="preserve">ontract as listed below, which is more particularly referred to in the </w:t>
      </w:r>
      <w:r w:rsidR="00E640F0">
        <w:t>I</w:t>
      </w:r>
      <w:r>
        <w:t xml:space="preserve">nvitation to </w:t>
      </w:r>
      <w:r w:rsidR="00E640F0">
        <w:t>T</w:t>
      </w:r>
      <w:r>
        <w:t xml:space="preserve">ender supplied to me/us for the purpose of tendering for the provision of the </w:t>
      </w:r>
      <w:r w:rsidR="006461CC">
        <w:t>C</w:t>
      </w:r>
      <w:r>
        <w:t xml:space="preserve">ontract and on the terms of the </w:t>
      </w:r>
      <w:r w:rsidR="006461CC">
        <w:t>draft C</w:t>
      </w:r>
      <w:r>
        <w:t>ontract.</w:t>
      </w:r>
    </w:p>
    <w:p w14:paraId="313A19BD" w14:textId="77777777" w:rsidR="00AB450C" w:rsidRDefault="00AB450C" w:rsidP="00AB450C">
      <w:pPr>
        <w:pStyle w:val="BodyText1"/>
      </w:pPr>
      <w:r>
        <w:t>Included within this document are the following:</w:t>
      </w:r>
    </w:p>
    <w:p w14:paraId="1CFA3E0E" w14:textId="77777777" w:rsidR="00DF644D" w:rsidRDefault="00AB450C" w:rsidP="00BE665B">
      <w:pPr>
        <w:pStyle w:val="Heading2-NotToC"/>
      </w:pPr>
      <w:r>
        <w:t>Checklist for tenderers</w:t>
      </w:r>
    </w:p>
    <w:p w14:paraId="472B631F" w14:textId="1A9DD6B8" w:rsidR="001D5839" w:rsidRDefault="001D5839" w:rsidP="001D5839">
      <w:pPr>
        <w:pStyle w:val="BodyText1"/>
      </w:pPr>
      <w:r>
        <w:t>List all documents to be submitted</w:t>
      </w:r>
      <w:r w:rsidR="00375142">
        <w:t xml:space="preserve"> to the Portal.</w:t>
      </w:r>
    </w:p>
    <w:tbl>
      <w:tblPr>
        <w:tblStyle w:val="TableGrid"/>
        <w:tblW w:w="0" w:type="auto"/>
        <w:tblBorders>
          <w:bottom w:val="single" w:sz="4" w:space="0" w:color="auto"/>
          <w:insideH w:val="single" w:sz="4"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D5839" w:rsidRPr="00845A54" w14:paraId="7BC492CE" w14:textId="77777777" w:rsidTr="001D5839">
        <w:trPr>
          <w:tblHeader/>
        </w:trPr>
        <w:tc>
          <w:tcPr>
            <w:tcW w:w="1651" w:type="dxa"/>
            <w:shd w:val="clear" w:color="auto" w:fill="BEDDFF"/>
            <w:vAlign w:val="bottom"/>
          </w:tcPr>
          <w:p w14:paraId="66867367" w14:textId="77777777" w:rsidR="001D5839" w:rsidRPr="00845A54" w:rsidRDefault="001D5839"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number</w:t>
            </w:r>
          </w:p>
        </w:tc>
        <w:tc>
          <w:tcPr>
            <w:tcW w:w="6713" w:type="dxa"/>
            <w:gridSpan w:val="2"/>
            <w:shd w:val="clear" w:color="auto" w:fill="BEDDFF"/>
            <w:vAlign w:val="bottom"/>
          </w:tcPr>
          <w:p w14:paraId="4F0619C6" w14:textId="77777777" w:rsidR="001D5839" w:rsidRPr="00845A54" w:rsidRDefault="001D5839"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name</w:t>
            </w:r>
          </w:p>
        </w:tc>
        <w:tc>
          <w:tcPr>
            <w:tcW w:w="1274" w:type="dxa"/>
            <w:shd w:val="clear" w:color="auto" w:fill="BEDDFF"/>
            <w:vAlign w:val="bottom"/>
          </w:tcPr>
          <w:p w14:paraId="3817953A" w14:textId="77777777" w:rsidR="001D5839" w:rsidRDefault="001D5839" w:rsidP="00632AA6">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Included (Y/N)</w:t>
            </w:r>
          </w:p>
        </w:tc>
      </w:tr>
      <w:tr w:rsidR="001D5839" w:rsidRPr="0018563A" w14:paraId="587BFC32" w14:textId="77777777" w:rsidTr="001D5839">
        <w:tc>
          <w:tcPr>
            <w:tcW w:w="1651" w:type="dxa"/>
          </w:tcPr>
          <w:p w14:paraId="3F40E6A4" w14:textId="77777777" w:rsidR="001D5839" w:rsidRPr="0018563A" w:rsidRDefault="001D5839" w:rsidP="00963669">
            <w:pPr>
              <w:pStyle w:val="BodyText1"/>
              <w:spacing w:after="0"/>
            </w:pPr>
          </w:p>
        </w:tc>
        <w:tc>
          <w:tcPr>
            <w:tcW w:w="6429" w:type="dxa"/>
          </w:tcPr>
          <w:p w14:paraId="37DCFA85" w14:textId="2D7CB5DF" w:rsidR="001D5839" w:rsidRPr="0018563A" w:rsidRDefault="00D8310C" w:rsidP="00963669">
            <w:pPr>
              <w:pStyle w:val="BodyText1"/>
              <w:spacing w:after="0"/>
            </w:pPr>
            <w:r>
              <w:t>Qualification Envelope</w:t>
            </w:r>
          </w:p>
        </w:tc>
        <w:tc>
          <w:tcPr>
            <w:tcW w:w="1558" w:type="dxa"/>
            <w:gridSpan w:val="2"/>
          </w:tcPr>
          <w:p w14:paraId="33838B19" w14:textId="77777777" w:rsidR="001D5839" w:rsidRPr="00CC010A" w:rsidRDefault="001D5839" w:rsidP="00963669">
            <w:pPr>
              <w:pStyle w:val="BodyText1"/>
              <w:spacing w:after="0"/>
            </w:pPr>
          </w:p>
        </w:tc>
      </w:tr>
      <w:tr w:rsidR="001606B0" w:rsidRPr="0018563A" w14:paraId="556623C9" w14:textId="77777777" w:rsidTr="001D5839">
        <w:tc>
          <w:tcPr>
            <w:tcW w:w="1651" w:type="dxa"/>
          </w:tcPr>
          <w:p w14:paraId="1EE74450" w14:textId="77777777" w:rsidR="001606B0" w:rsidRPr="0018563A" w:rsidRDefault="001606B0" w:rsidP="00963669">
            <w:pPr>
              <w:pStyle w:val="BodyText1"/>
              <w:spacing w:after="0"/>
            </w:pPr>
          </w:p>
        </w:tc>
        <w:tc>
          <w:tcPr>
            <w:tcW w:w="6429" w:type="dxa"/>
          </w:tcPr>
          <w:p w14:paraId="293480F0" w14:textId="78B5DF42" w:rsidR="001606B0" w:rsidRPr="00F478C7" w:rsidRDefault="00D8310C" w:rsidP="00963669">
            <w:pPr>
              <w:pStyle w:val="BodyText1"/>
              <w:spacing w:after="0"/>
            </w:pPr>
            <w:r>
              <w:t>Technical Envelope</w:t>
            </w:r>
          </w:p>
        </w:tc>
        <w:tc>
          <w:tcPr>
            <w:tcW w:w="1558" w:type="dxa"/>
            <w:gridSpan w:val="2"/>
          </w:tcPr>
          <w:p w14:paraId="5E4342CA" w14:textId="77777777" w:rsidR="001606B0" w:rsidRPr="00CC010A" w:rsidRDefault="001606B0" w:rsidP="00963669">
            <w:pPr>
              <w:pStyle w:val="BodyText1"/>
              <w:spacing w:after="0"/>
            </w:pPr>
          </w:p>
        </w:tc>
      </w:tr>
      <w:tr w:rsidR="001606B0" w:rsidRPr="0018563A" w14:paraId="75876470" w14:textId="77777777" w:rsidTr="001D5839">
        <w:tc>
          <w:tcPr>
            <w:tcW w:w="1651" w:type="dxa"/>
          </w:tcPr>
          <w:p w14:paraId="2F0B7456" w14:textId="77777777" w:rsidR="001606B0" w:rsidRPr="0018563A" w:rsidRDefault="001606B0" w:rsidP="00963669">
            <w:pPr>
              <w:pStyle w:val="BodyText1"/>
              <w:spacing w:after="0"/>
            </w:pPr>
          </w:p>
        </w:tc>
        <w:tc>
          <w:tcPr>
            <w:tcW w:w="6429" w:type="dxa"/>
          </w:tcPr>
          <w:p w14:paraId="657AE473" w14:textId="466524F8" w:rsidR="001606B0" w:rsidRPr="00F478C7" w:rsidRDefault="00D8310C" w:rsidP="00963669">
            <w:pPr>
              <w:pStyle w:val="BodyText1"/>
              <w:spacing w:after="0"/>
            </w:pPr>
            <w:r>
              <w:t>Commercial Envelope</w:t>
            </w:r>
          </w:p>
        </w:tc>
        <w:tc>
          <w:tcPr>
            <w:tcW w:w="1558" w:type="dxa"/>
            <w:gridSpan w:val="2"/>
          </w:tcPr>
          <w:p w14:paraId="369B0E7B" w14:textId="77777777" w:rsidR="001606B0" w:rsidRPr="00CC010A" w:rsidRDefault="001606B0" w:rsidP="00963669">
            <w:pPr>
              <w:pStyle w:val="BodyText1"/>
              <w:spacing w:after="0"/>
            </w:pPr>
          </w:p>
        </w:tc>
      </w:tr>
      <w:tr w:rsidR="001606B0" w:rsidRPr="0018563A" w14:paraId="6F72E83A" w14:textId="77777777" w:rsidTr="001D5839">
        <w:tc>
          <w:tcPr>
            <w:tcW w:w="1651" w:type="dxa"/>
          </w:tcPr>
          <w:p w14:paraId="28894424" w14:textId="77777777" w:rsidR="001606B0" w:rsidRPr="0018563A" w:rsidRDefault="001606B0" w:rsidP="001606B0">
            <w:pPr>
              <w:pStyle w:val="BodyText1"/>
              <w:spacing w:after="0"/>
            </w:pPr>
          </w:p>
        </w:tc>
        <w:tc>
          <w:tcPr>
            <w:tcW w:w="6429" w:type="dxa"/>
          </w:tcPr>
          <w:p w14:paraId="3507D4DF" w14:textId="438D6BAF" w:rsidR="001606B0" w:rsidRPr="00F478C7" w:rsidRDefault="001606B0" w:rsidP="001606B0">
            <w:pPr>
              <w:pStyle w:val="BodyText1"/>
              <w:spacing w:after="0"/>
            </w:pPr>
            <w:r w:rsidRPr="00F478C7">
              <w:t>Appendix G: Certificate of non-collusion and non-canvassing</w:t>
            </w:r>
          </w:p>
        </w:tc>
        <w:tc>
          <w:tcPr>
            <w:tcW w:w="1558" w:type="dxa"/>
            <w:gridSpan w:val="2"/>
          </w:tcPr>
          <w:p w14:paraId="087E46E8" w14:textId="77777777" w:rsidR="001606B0" w:rsidRPr="00CC010A" w:rsidRDefault="001606B0" w:rsidP="001606B0">
            <w:pPr>
              <w:pStyle w:val="BodyText1"/>
              <w:spacing w:after="0"/>
            </w:pPr>
          </w:p>
        </w:tc>
      </w:tr>
      <w:tr w:rsidR="001606B0" w:rsidRPr="0018563A" w14:paraId="4A4C83D8" w14:textId="77777777" w:rsidTr="001D5839">
        <w:tc>
          <w:tcPr>
            <w:tcW w:w="1651" w:type="dxa"/>
          </w:tcPr>
          <w:p w14:paraId="2786FA42" w14:textId="77777777" w:rsidR="001606B0" w:rsidRPr="0018563A" w:rsidRDefault="001606B0" w:rsidP="001606B0">
            <w:pPr>
              <w:pStyle w:val="BodyText1"/>
              <w:spacing w:after="0"/>
            </w:pPr>
          </w:p>
        </w:tc>
        <w:tc>
          <w:tcPr>
            <w:tcW w:w="6429" w:type="dxa"/>
          </w:tcPr>
          <w:p w14:paraId="003B85A1" w14:textId="77777777" w:rsidR="001606B0" w:rsidRPr="0018563A" w:rsidRDefault="001606B0" w:rsidP="001606B0">
            <w:pPr>
              <w:pStyle w:val="BodyText1"/>
              <w:spacing w:after="0"/>
            </w:pPr>
            <w:r w:rsidRPr="00F478C7">
              <w:t>Appendix F: Form of tender</w:t>
            </w:r>
          </w:p>
        </w:tc>
        <w:tc>
          <w:tcPr>
            <w:tcW w:w="1558" w:type="dxa"/>
            <w:gridSpan w:val="2"/>
          </w:tcPr>
          <w:p w14:paraId="06822831" w14:textId="77777777" w:rsidR="001606B0" w:rsidRPr="00CC010A" w:rsidRDefault="001606B0" w:rsidP="001606B0">
            <w:pPr>
              <w:pStyle w:val="BodyText1"/>
              <w:spacing w:after="0"/>
            </w:pPr>
          </w:p>
        </w:tc>
      </w:tr>
      <w:tr w:rsidR="001606B0" w:rsidRPr="0018563A" w14:paraId="67E974DE" w14:textId="77777777" w:rsidTr="001D5839">
        <w:tc>
          <w:tcPr>
            <w:tcW w:w="1651" w:type="dxa"/>
          </w:tcPr>
          <w:p w14:paraId="746AC57A" w14:textId="77777777" w:rsidR="001606B0" w:rsidRPr="0018563A" w:rsidRDefault="001606B0" w:rsidP="001606B0">
            <w:pPr>
              <w:pStyle w:val="BodyText1"/>
              <w:spacing w:after="0"/>
            </w:pPr>
          </w:p>
        </w:tc>
        <w:tc>
          <w:tcPr>
            <w:tcW w:w="6429" w:type="dxa"/>
          </w:tcPr>
          <w:p w14:paraId="3F26C25F" w14:textId="77777777" w:rsidR="001606B0" w:rsidRPr="0018563A" w:rsidRDefault="001606B0" w:rsidP="001606B0">
            <w:pPr>
              <w:tabs>
                <w:tab w:val="left" w:pos="2751"/>
              </w:tabs>
            </w:pPr>
            <w:r w:rsidRPr="00F478C7">
              <w:t>Appendix H: Commercially sensitive information</w:t>
            </w:r>
          </w:p>
        </w:tc>
        <w:tc>
          <w:tcPr>
            <w:tcW w:w="1558" w:type="dxa"/>
            <w:gridSpan w:val="2"/>
          </w:tcPr>
          <w:p w14:paraId="4CFB8350" w14:textId="77777777" w:rsidR="001606B0" w:rsidRPr="00CC010A" w:rsidRDefault="001606B0" w:rsidP="001606B0">
            <w:pPr>
              <w:tabs>
                <w:tab w:val="left" w:pos="2751"/>
              </w:tabs>
              <w:ind w:left="57"/>
            </w:pPr>
          </w:p>
        </w:tc>
      </w:tr>
      <w:tr w:rsidR="001606B0" w:rsidRPr="0018563A" w14:paraId="21ED4D9C" w14:textId="77777777" w:rsidTr="001D5839">
        <w:tc>
          <w:tcPr>
            <w:tcW w:w="1651" w:type="dxa"/>
          </w:tcPr>
          <w:p w14:paraId="02355C91" w14:textId="77777777" w:rsidR="001606B0" w:rsidRPr="0018563A" w:rsidRDefault="001606B0" w:rsidP="001606B0">
            <w:pPr>
              <w:pStyle w:val="BodyText1"/>
              <w:spacing w:after="0"/>
            </w:pPr>
          </w:p>
        </w:tc>
        <w:tc>
          <w:tcPr>
            <w:tcW w:w="6429" w:type="dxa"/>
          </w:tcPr>
          <w:p w14:paraId="542CDA13" w14:textId="4097AE2D" w:rsidR="001606B0" w:rsidRPr="0018563A" w:rsidRDefault="001606B0" w:rsidP="001606B0">
            <w:pPr>
              <w:tabs>
                <w:tab w:val="left" w:pos="2751"/>
              </w:tabs>
            </w:pPr>
            <w:r>
              <w:t xml:space="preserve">Exclusions information (in PDF format) for associated persons (if any), if not shared via the Central Digital Platform </w:t>
            </w:r>
          </w:p>
        </w:tc>
        <w:tc>
          <w:tcPr>
            <w:tcW w:w="1558" w:type="dxa"/>
            <w:gridSpan w:val="2"/>
          </w:tcPr>
          <w:p w14:paraId="57B6FBF8" w14:textId="77777777" w:rsidR="001606B0" w:rsidRPr="00CC010A" w:rsidRDefault="001606B0" w:rsidP="001606B0">
            <w:pPr>
              <w:tabs>
                <w:tab w:val="left" w:pos="2751"/>
              </w:tabs>
              <w:ind w:left="57"/>
            </w:pPr>
          </w:p>
        </w:tc>
      </w:tr>
    </w:tbl>
    <w:p w14:paraId="7302AAF5" w14:textId="77777777" w:rsidR="00AB450C" w:rsidRDefault="00AB450C" w:rsidP="00DF644D">
      <w:pPr>
        <w:pStyle w:val="BodyText1"/>
      </w:pPr>
    </w:p>
    <w:p w14:paraId="48656892" w14:textId="77777777" w:rsidR="00AB450C" w:rsidRDefault="00AB450C" w:rsidP="00AB450C">
      <w:pPr>
        <w:pStyle w:val="BodyText1"/>
      </w:pPr>
      <w:r w:rsidRPr="00AB450C">
        <w:rPr>
          <w:b/>
          <w:bCs/>
        </w:rPr>
        <w:t>Note:</w:t>
      </w:r>
      <w:r>
        <w:t xml:space="preserve"> </w:t>
      </w:r>
      <w:bookmarkStart w:id="39" w:name="_Hlk190549044"/>
      <w:r>
        <w:t xml:space="preserve">If Suppliers do not provide </w:t>
      </w:r>
      <w:proofErr w:type="gramStart"/>
      <w:r>
        <w:t>all of</w:t>
      </w:r>
      <w:proofErr w:type="gramEnd"/>
      <w:r>
        <w:t xml:space="preserve"> the items in the checklist, this may result in the response being treated as non-compliant and therefore rejected</w:t>
      </w:r>
      <w:bookmarkEnd w:id="39"/>
      <w:r>
        <w:t>.</w:t>
      </w:r>
    </w:p>
    <w:p w14:paraId="756994B5" w14:textId="773EB686" w:rsidR="00AB450C" w:rsidRDefault="00AB450C" w:rsidP="00AB450C">
      <w:pPr>
        <w:pStyle w:val="BodyText1"/>
      </w:pPr>
      <w:r>
        <w:t xml:space="preserve">[I/We confirm that I/we can supply the </w:t>
      </w:r>
      <w:r w:rsidR="00E640F0">
        <w:t xml:space="preserve">Contract </w:t>
      </w:r>
      <w:r>
        <w:t xml:space="preserve">as specified in our response to the </w:t>
      </w:r>
      <w:r w:rsidR="00E640F0">
        <w:t>I</w:t>
      </w:r>
      <w:r>
        <w:t xml:space="preserve">nvitation to </w:t>
      </w:r>
      <w:r w:rsidR="00E640F0">
        <w:t>T</w:t>
      </w:r>
      <w:r>
        <w:t>ender and in accordance with the financial model response submitted</w:t>
      </w:r>
      <w:r w:rsidR="00E640F0">
        <w:t xml:space="preserve"> and other terms of our tender submission</w:t>
      </w:r>
      <w:r>
        <w:t>.]</w:t>
      </w:r>
    </w:p>
    <w:p w14:paraId="6E7AE4A1" w14:textId="27B4F044" w:rsidR="00AB450C" w:rsidRDefault="00AB450C" w:rsidP="00AB450C">
      <w:pPr>
        <w:pStyle w:val="BodyText1"/>
      </w:pPr>
      <w:r>
        <w:t xml:space="preserve">[I/We confirm that we accept the </w:t>
      </w:r>
      <w:r w:rsidR="00092A59">
        <w:t xml:space="preserve">terms of the draft </w:t>
      </w:r>
      <w:r w:rsidR="006461CC">
        <w:t>C</w:t>
      </w:r>
      <w:r>
        <w:t xml:space="preserve">ontract as issued with the Invitation to </w:t>
      </w:r>
      <w:r w:rsidR="00E640F0">
        <w:t>T</w:t>
      </w:r>
      <w:r>
        <w:t>ender.]</w:t>
      </w:r>
    </w:p>
    <w:p w14:paraId="7BA1DE82" w14:textId="13917599" w:rsidR="00AB450C" w:rsidRDefault="00AB450C" w:rsidP="00AB450C">
      <w:pPr>
        <w:pStyle w:val="BodyText1"/>
      </w:pPr>
      <w:r>
        <w:t xml:space="preserve">I/We understand that the Authority reserves the right to accept or refuse this tender in accordance with the Procurement Act 2023 and/or the </w:t>
      </w:r>
      <w:r w:rsidR="00E640F0">
        <w:t>I</w:t>
      </w:r>
      <w:r>
        <w:t xml:space="preserve">nvitation to </w:t>
      </w:r>
      <w:r w:rsidR="00E640F0">
        <w:t>T</w:t>
      </w:r>
      <w:r>
        <w:t>ender.</w:t>
      </w:r>
    </w:p>
    <w:p w14:paraId="0BE22255" w14:textId="4B289F51" w:rsidR="00AB450C" w:rsidRDefault="00AB450C" w:rsidP="00AB450C">
      <w:pPr>
        <w:pStyle w:val="BodyText1"/>
      </w:pPr>
      <w:r>
        <w:lastRenderedPageBreak/>
        <w:t>I/We confirm that all information supplied to the Authority and forming part of this tender is true and accurate.</w:t>
      </w:r>
    </w:p>
    <w:p w14:paraId="7D4BC927" w14:textId="77777777" w:rsidR="00AB450C" w:rsidRDefault="00AB450C" w:rsidP="00F22687">
      <w:pPr>
        <w:pStyle w:val="BodyText1"/>
        <w:keepNext/>
        <w:keepLines/>
      </w:pPr>
      <w:r>
        <w:t>I/We confirm that the Supplier, together with all Associated Suppliers:</w:t>
      </w:r>
    </w:p>
    <w:p w14:paraId="5F70D8CC" w14:textId="77777777" w:rsidR="00AB450C" w:rsidRDefault="00AB450C" w:rsidP="00AB450C">
      <w:pPr>
        <w:pStyle w:val="BodyText1"/>
        <w:ind w:left="680" w:hanging="340"/>
      </w:pPr>
      <w:r>
        <w:t>•</w:t>
      </w:r>
      <w:r>
        <w:tab/>
        <w:t>are registered on the Central Digital Platform</w:t>
      </w:r>
    </w:p>
    <w:p w14:paraId="0739FF14" w14:textId="77777777" w:rsidR="00AB450C" w:rsidRDefault="00AB450C" w:rsidP="00AB450C">
      <w:pPr>
        <w:pStyle w:val="BodyText1"/>
        <w:ind w:left="680" w:hanging="340"/>
      </w:pPr>
      <w:r>
        <w:t>•</w:t>
      </w:r>
      <w:r>
        <w:tab/>
        <w:t>have ensured their information contained on the Central Digital Platform is true and accurate</w:t>
      </w:r>
      <w:r w:rsidR="003F6CC0">
        <w:t xml:space="preserve"> </w:t>
      </w:r>
    </w:p>
    <w:p w14:paraId="56FB4422" w14:textId="77777777" w:rsidR="00AB450C" w:rsidRDefault="00AB450C" w:rsidP="00AB450C">
      <w:pPr>
        <w:pStyle w:val="BodyText1"/>
      </w:pPr>
      <w:r>
        <w:t xml:space="preserve">I/We confirm and undertake that if any of such information becomes untrue or misleading that I/we shall notify the Authority immediately and update such information should this be required. </w:t>
      </w:r>
    </w:p>
    <w:p w14:paraId="478A7739" w14:textId="45012324" w:rsidR="00092A59" w:rsidRDefault="00AB450C" w:rsidP="00470B13">
      <w:pPr>
        <w:pStyle w:val="BodyText1"/>
      </w:pPr>
      <w:r>
        <w:t xml:space="preserve">I/We confirm that this tender will remain valid for </w:t>
      </w:r>
      <w:r w:rsidR="007B2DC3">
        <w:t>90 days</w:t>
      </w:r>
      <w:r>
        <w:t xml:space="preserve"> from the date of this form of tender</w:t>
      </w:r>
      <w:r w:rsidR="00092A59">
        <w:t xml:space="preserve"> or</w:t>
      </w:r>
      <w:r w:rsidR="00E640F0">
        <w:t>, if later,</w:t>
      </w:r>
      <w:r w:rsidR="00092A59">
        <w:t xml:space="preserve"> until any procurement challenge/s have been resolved. </w:t>
      </w:r>
    </w:p>
    <w:p w14:paraId="2396F0C0" w14:textId="6D646A14" w:rsidR="00AB450C" w:rsidRDefault="00AB450C" w:rsidP="00AB450C">
      <w:pPr>
        <w:pStyle w:val="BodyText1"/>
      </w:pPr>
      <w:r>
        <w:t xml:space="preserve">I/We confirm that I/we are authorised to commit the Supplier to the contractual obligations contained in the </w:t>
      </w:r>
      <w:r w:rsidR="00E640F0">
        <w:t>I</w:t>
      </w:r>
      <w:r>
        <w:t xml:space="preserve">nvitation to </w:t>
      </w:r>
      <w:r w:rsidR="00E640F0">
        <w:t>T</w:t>
      </w:r>
      <w:r>
        <w:t xml:space="preserve">ender and the </w:t>
      </w:r>
      <w:r w:rsidR="006461CC">
        <w:t>draft C</w:t>
      </w:r>
      <w:r>
        <w:t>ontract.</w:t>
      </w:r>
    </w:p>
    <w:p w14:paraId="709EB8A9" w14:textId="24EF5D98" w:rsidR="00AB450C" w:rsidRDefault="00AB450C" w:rsidP="00AB450C">
      <w:pPr>
        <w:pStyle w:val="BodyText1"/>
      </w:pPr>
      <w:r>
        <w:t xml:space="preserve">I/We understand that non-compliance with the requirements of the </w:t>
      </w:r>
      <w:r w:rsidR="00E640F0">
        <w:t>I</w:t>
      </w:r>
      <w:r>
        <w:t xml:space="preserve">nvitation to </w:t>
      </w:r>
      <w:r w:rsidR="00E640F0">
        <w:t>T</w:t>
      </w:r>
      <w:r>
        <w:t>ender or with any other instructions given by the Authority may lead to me/us being excluded by the Authority from (further) participation in the Procurement.</w:t>
      </w:r>
    </w:p>
    <w:p w14:paraId="141F189B" w14:textId="77777777" w:rsidR="00AB450C" w:rsidRDefault="00AB450C" w:rsidP="00AB450C">
      <w:pPr>
        <w:pStyle w:val="BodyText1"/>
      </w:pPr>
      <w: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124D91F5" w14:textId="786F2117" w:rsidR="00CB4048" w:rsidRDefault="00CB4048" w:rsidP="00CB4048">
      <w:pPr>
        <w:pStyle w:val="Heading2-NotToC"/>
      </w:pPr>
      <w:r>
        <w:t xml:space="preserve">Improving Transparency of AI use in Procurement </w:t>
      </w:r>
    </w:p>
    <w:p w14:paraId="23FDFA5A" w14:textId="37D75660" w:rsidR="00CB4048" w:rsidRPr="00D5580F" w:rsidRDefault="00CB4048" w:rsidP="00CB4048">
      <w:pPr>
        <w:pStyle w:val="BodyText1"/>
        <w:pBdr>
          <w:top w:val="none" w:sz="0" w:space="0" w:color="auto"/>
          <w:left w:val="none" w:sz="0" w:space="0" w:color="auto"/>
          <w:bottom w:val="none" w:sz="0" w:space="0" w:color="auto"/>
          <w:right w:val="none" w:sz="0" w:space="0" w:color="auto"/>
          <w:between w:val="none" w:sz="0" w:space="0" w:color="auto"/>
        </w:pBdr>
        <w:rPr>
          <w:color w:val="auto"/>
        </w:rPr>
      </w:pPr>
      <w:r w:rsidRPr="00D5580F">
        <w:rPr>
          <w:color w:val="auto"/>
        </w:rPr>
        <w:t xml:space="preserve">For Information Only (Not Scored) AI tools can be used to improve the efficiency of your bid writing process, however they may also introduce an increased risk of misleading statements via ‘hallucination’. Have you used AI or machine learning tools, including large language models, to assist in any part of your tender submission? This may include using these tools to support the drafting of responses to award questions. </w:t>
      </w:r>
    </w:p>
    <w:p w14:paraId="617A25C3" w14:textId="77777777" w:rsidR="00CB4048" w:rsidRPr="00D5580F" w:rsidRDefault="00CB4048" w:rsidP="00CB4048">
      <w:pPr>
        <w:pStyle w:val="BodyText1"/>
        <w:pBdr>
          <w:top w:val="none" w:sz="0" w:space="0" w:color="auto"/>
          <w:left w:val="none" w:sz="0" w:space="0" w:color="auto"/>
          <w:bottom w:val="none" w:sz="0" w:space="0" w:color="auto"/>
          <w:right w:val="none" w:sz="0" w:space="0" w:color="auto"/>
          <w:between w:val="none" w:sz="0" w:space="0" w:color="auto"/>
        </w:pBdr>
        <w:rPr>
          <w:rFonts w:ascii="MS Gothic" w:eastAsia="MS Gothic" w:hAnsi="MS Gothic" w:cs="MS Gothic"/>
          <w:color w:val="auto"/>
        </w:rPr>
      </w:pPr>
      <w:proofErr w:type="gramStart"/>
      <w:r w:rsidRPr="00D5580F">
        <w:rPr>
          <w:color w:val="auto"/>
        </w:rPr>
        <w:t>Yes</w:t>
      </w:r>
      <w:proofErr w:type="gramEnd"/>
      <w:r w:rsidRPr="00D5580F">
        <w:rPr>
          <w:color w:val="auto"/>
        </w:rPr>
        <w:t xml:space="preserve"> </w:t>
      </w:r>
      <w:r w:rsidRPr="00D5580F">
        <w:rPr>
          <w:rFonts w:ascii="MS Gothic" w:eastAsia="MS Gothic" w:hAnsi="MS Gothic" w:cs="MS Gothic" w:hint="eastAsia"/>
          <w:color w:val="auto"/>
        </w:rPr>
        <w:t>ロ</w:t>
      </w:r>
      <w:r w:rsidRPr="00D5580F">
        <w:rPr>
          <w:color w:val="auto"/>
        </w:rPr>
        <w:t xml:space="preserve"> No </w:t>
      </w:r>
      <w:r w:rsidRPr="00D5580F">
        <w:rPr>
          <w:rFonts w:ascii="MS Gothic" w:eastAsia="MS Gothic" w:hAnsi="MS Gothic" w:cs="MS Gothic" w:hint="eastAsia"/>
          <w:color w:val="auto"/>
        </w:rPr>
        <w:t>ロ</w:t>
      </w:r>
    </w:p>
    <w:p w14:paraId="2607863A" w14:textId="5B1977F1" w:rsidR="00CB4048" w:rsidRPr="00D5580F" w:rsidRDefault="00CB4048" w:rsidP="00CB4048">
      <w:pPr>
        <w:pStyle w:val="BodyText1"/>
        <w:pBdr>
          <w:top w:val="none" w:sz="0" w:space="0" w:color="auto"/>
          <w:left w:val="none" w:sz="0" w:space="0" w:color="auto"/>
          <w:bottom w:val="none" w:sz="0" w:space="0" w:color="auto"/>
          <w:right w:val="none" w:sz="0" w:space="0" w:color="auto"/>
          <w:between w:val="none" w:sz="0" w:space="0" w:color="auto"/>
        </w:pBdr>
        <w:rPr>
          <w:color w:val="auto"/>
        </w:rPr>
      </w:pPr>
      <w:r w:rsidRPr="00D5580F">
        <w:rPr>
          <w:color w:val="auto"/>
        </w:rPr>
        <w:t>Please provide details: Where AI tools have been used to support the generation of Tender responses, please confirm that they have been checked and verified for accuracy:</w:t>
      </w:r>
    </w:p>
    <w:tbl>
      <w:tblPr>
        <w:tblStyle w:val="TableGrid"/>
        <w:tblW w:w="0" w:type="auto"/>
        <w:tblLook w:val="04A0" w:firstRow="1" w:lastRow="0" w:firstColumn="1" w:lastColumn="0" w:noHBand="0" w:noVBand="1"/>
      </w:tblPr>
      <w:tblGrid>
        <w:gridCol w:w="9628"/>
      </w:tblGrid>
      <w:tr w:rsidR="00CB4048" w14:paraId="13BF64E5" w14:textId="77777777" w:rsidTr="00756E33">
        <w:tc>
          <w:tcPr>
            <w:tcW w:w="9628" w:type="dxa"/>
          </w:tcPr>
          <w:p w14:paraId="09B5377D" w14:textId="77777777" w:rsidR="00CB4048" w:rsidRDefault="00CB4048" w:rsidP="00756E33">
            <w:pPr>
              <w:pStyle w:val="BodyText1"/>
              <w:pBdr>
                <w:top w:val="none" w:sz="0" w:space="0" w:color="auto"/>
                <w:left w:val="none" w:sz="0" w:space="0" w:color="auto"/>
                <w:bottom w:val="none" w:sz="0" w:space="0" w:color="auto"/>
                <w:right w:val="none" w:sz="0" w:space="0" w:color="auto"/>
                <w:between w:val="none" w:sz="0" w:space="0" w:color="auto"/>
              </w:pBdr>
              <w:rPr>
                <w:color w:val="auto"/>
                <w:highlight w:val="yellow"/>
              </w:rPr>
            </w:pPr>
          </w:p>
          <w:p w14:paraId="081E76C7" w14:textId="77777777" w:rsidR="00CB4048" w:rsidRDefault="00CB4048" w:rsidP="00756E33">
            <w:pPr>
              <w:pStyle w:val="BodyText1"/>
              <w:pBdr>
                <w:top w:val="none" w:sz="0" w:space="0" w:color="auto"/>
                <w:left w:val="none" w:sz="0" w:space="0" w:color="auto"/>
                <w:bottom w:val="none" w:sz="0" w:space="0" w:color="auto"/>
                <w:right w:val="none" w:sz="0" w:space="0" w:color="auto"/>
                <w:between w:val="none" w:sz="0" w:space="0" w:color="auto"/>
              </w:pBdr>
              <w:rPr>
                <w:color w:val="auto"/>
                <w:highlight w:val="yellow"/>
              </w:rPr>
            </w:pPr>
          </w:p>
        </w:tc>
      </w:tr>
    </w:tbl>
    <w:p w14:paraId="308E6C4D" w14:textId="77777777" w:rsidR="00CB4048" w:rsidRDefault="00CB4048" w:rsidP="00CB4048">
      <w:pPr>
        <w:pStyle w:val="BodyText1"/>
        <w:pBdr>
          <w:top w:val="none" w:sz="0" w:space="0" w:color="auto"/>
          <w:left w:val="none" w:sz="0" w:space="0" w:color="auto"/>
          <w:bottom w:val="none" w:sz="0" w:space="0" w:color="auto"/>
          <w:right w:val="none" w:sz="0" w:space="0" w:color="auto"/>
          <w:between w:val="none" w:sz="0" w:space="0" w:color="auto"/>
        </w:pBdr>
        <w:rPr>
          <w:color w:val="auto"/>
          <w:highlight w:val="yellow"/>
        </w:rPr>
      </w:pPr>
    </w:p>
    <w:p w14:paraId="07FFAF14" w14:textId="32946264" w:rsidR="007B2DC3" w:rsidRDefault="007B2DC3">
      <w:pPr>
        <w:rPr>
          <w:color w:val="000000"/>
        </w:rPr>
      </w:pPr>
      <w:r>
        <w:rPr>
          <w:color w:val="000000"/>
        </w:rPr>
        <w:br w:type="page"/>
      </w:r>
    </w:p>
    <w:p w14:paraId="018F54F9"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615259BE" w14:textId="77777777" w:rsidTr="00632AA6">
        <w:trPr>
          <w:cantSplit/>
        </w:trPr>
        <w:tc>
          <w:tcPr>
            <w:tcW w:w="2410" w:type="dxa"/>
            <w:tcBorders>
              <w:right w:val="single" w:sz="4" w:space="0" w:color="auto"/>
            </w:tcBorders>
            <w:tcMar>
              <w:left w:w="0" w:type="dxa"/>
            </w:tcMar>
          </w:tcPr>
          <w:p w14:paraId="76EC51A7" w14:textId="77777777" w:rsidR="003B534A" w:rsidRPr="008F2D44" w:rsidRDefault="003B534A" w:rsidP="00632AA6">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tcPr>
          <w:p w14:paraId="63056721" w14:textId="77777777" w:rsidR="003B534A" w:rsidRDefault="003B534A" w:rsidP="00632AA6">
            <w:pPr>
              <w:rPr>
                <w:color w:val="000000"/>
              </w:rPr>
            </w:pPr>
          </w:p>
        </w:tc>
      </w:tr>
    </w:tbl>
    <w:p w14:paraId="2F49B86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5DCA67BA" w14:textId="77777777" w:rsidTr="00632AA6">
        <w:trPr>
          <w:cantSplit/>
        </w:trPr>
        <w:tc>
          <w:tcPr>
            <w:tcW w:w="2410" w:type="dxa"/>
            <w:tcBorders>
              <w:right w:val="single" w:sz="4" w:space="0" w:color="auto"/>
            </w:tcBorders>
            <w:tcMar>
              <w:left w:w="0" w:type="dxa"/>
            </w:tcMar>
          </w:tcPr>
          <w:p w14:paraId="3A34DE60" w14:textId="77777777" w:rsidR="003B534A" w:rsidRPr="008F2D44" w:rsidRDefault="003B534A" w:rsidP="00632AA6">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tcPr>
          <w:p w14:paraId="1943EC3C" w14:textId="77777777" w:rsidR="003B534A" w:rsidRDefault="003B534A" w:rsidP="00632AA6">
            <w:pPr>
              <w:rPr>
                <w:color w:val="000000"/>
              </w:rPr>
            </w:pPr>
          </w:p>
        </w:tc>
      </w:tr>
    </w:tbl>
    <w:p w14:paraId="38FA31A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15D06D8B" w14:textId="77777777" w:rsidTr="00632AA6">
        <w:trPr>
          <w:cantSplit/>
          <w:trHeight w:val="23"/>
        </w:trPr>
        <w:tc>
          <w:tcPr>
            <w:tcW w:w="2410" w:type="dxa"/>
            <w:tcBorders>
              <w:right w:val="single" w:sz="4" w:space="0" w:color="auto"/>
            </w:tcBorders>
            <w:tcMar>
              <w:left w:w="0" w:type="dxa"/>
            </w:tcMar>
          </w:tcPr>
          <w:p w14:paraId="71506AEC" w14:textId="77777777" w:rsidR="003B534A" w:rsidRPr="008F2D44" w:rsidRDefault="003B534A" w:rsidP="00632AA6">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tcPr>
          <w:p w14:paraId="3522DEF7" w14:textId="77777777" w:rsidR="003B534A" w:rsidRDefault="003B534A" w:rsidP="00632AA6">
            <w:pPr>
              <w:rPr>
                <w:color w:val="000000"/>
              </w:rPr>
            </w:pPr>
          </w:p>
        </w:tc>
      </w:tr>
    </w:tbl>
    <w:p w14:paraId="78072FBB"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230B0048" w14:textId="77777777" w:rsidTr="00632AA6">
        <w:trPr>
          <w:cantSplit/>
        </w:trPr>
        <w:tc>
          <w:tcPr>
            <w:tcW w:w="2410" w:type="dxa"/>
            <w:tcBorders>
              <w:right w:val="single" w:sz="4" w:space="0" w:color="auto"/>
            </w:tcBorders>
            <w:tcMar>
              <w:left w:w="0" w:type="dxa"/>
            </w:tcMar>
          </w:tcPr>
          <w:p w14:paraId="46BF08A7" w14:textId="77777777" w:rsidR="003B534A" w:rsidRPr="008F2D44" w:rsidRDefault="003B534A" w:rsidP="00632AA6">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tcPr>
          <w:p w14:paraId="29BBC1EA" w14:textId="77777777" w:rsidR="003B534A" w:rsidRDefault="003B534A" w:rsidP="00632AA6">
            <w:pPr>
              <w:rPr>
                <w:color w:val="000000"/>
              </w:rPr>
            </w:pPr>
          </w:p>
        </w:tc>
      </w:tr>
    </w:tbl>
    <w:p w14:paraId="78168E90" w14:textId="77777777" w:rsidR="003B534A" w:rsidRDefault="003B534A" w:rsidP="003B534A">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14:paraId="4EA90D97" w14:textId="77777777" w:rsidTr="003B534A">
        <w:trPr>
          <w:cantSplit/>
        </w:trPr>
        <w:tc>
          <w:tcPr>
            <w:tcW w:w="2410" w:type="dxa"/>
            <w:tcBorders>
              <w:right w:val="single" w:sz="4" w:space="0" w:color="auto"/>
            </w:tcBorders>
            <w:tcMar>
              <w:left w:w="0" w:type="dxa"/>
            </w:tcMar>
          </w:tcPr>
          <w:p w14:paraId="1468244C" w14:textId="77777777" w:rsidR="003B534A" w:rsidRPr="008F2D44" w:rsidRDefault="003B534A" w:rsidP="00632AA6">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7A45465B" w14:textId="77777777" w:rsidR="003B534A" w:rsidRDefault="003B534A" w:rsidP="00632AA6">
            <w:pPr>
              <w:rPr>
                <w:color w:val="000000"/>
              </w:rPr>
            </w:pPr>
          </w:p>
        </w:tc>
      </w:tr>
    </w:tbl>
    <w:p w14:paraId="7ED44CD5" w14:textId="12AAACE7" w:rsidR="00DF644D" w:rsidRPr="002147DD" w:rsidRDefault="00DF644D" w:rsidP="00DF644D">
      <w:pPr>
        <w:pStyle w:val="Heading1"/>
        <w:numPr>
          <w:ilvl w:val="0"/>
          <w:numId w:val="0"/>
        </w:numPr>
      </w:pPr>
      <w:bookmarkStart w:id="40" w:name="_Toc214868690"/>
      <w:r>
        <w:lastRenderedPageBreak/>
        <w:t xml:space="preserve">Appendix </w:t>
      </w:r>
      <w:r w:rsidR="00826365">
        <w:t>G</w:t>
      </w:r>
      <w:r>
        <w:t>: Certificate of non-collusion and non-canvassing</w:t>
      </w:r>
      <w:bookmarkEnd w:id="40"/>
    </w:p>
    <w:p w14:paraId="31948FF9" w14:textId="77777777" w:rsidR="00BE665B" w:rsidRDefault="00BE665B" w:rsidP="00BE665B">
      <w:pPr>
        <w:pStyle w:val="Heading2-NotToC"/>
      </w:pPr>
      <w:r>
        <w:t>Statement of non-canvassing</w:t>
      </w:r>
    </w:p>
    <w:p w14:paraId="2B642265" w14:textId="07C4E80D" w:rsidR="00BE665B" w:rsidRDefault="00BE665B" w:rsidP="00BE665B">
      <w:pPr>
        <w:pStyle w:val="BodyText1"/>
      </w:pPr>
      <w:r>
        <w:t xml:space="preserve">I/we hereby certify that I/we have not canvassed any minister, official, representative or adviser of the Authority in connection with this Procurement and the proposed award of the </w:t>
      </w:r>
      <w:r w:rsidR="004E43AA">
        <w:t xml:space="preserve">Contract </w:t>
      </w:r>
      <w:r>
        <w:t>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5E0F45B3" w:rsidR="00BE665B" w:rsidRDefault="00BE665B" w:rsidP="00BE665B">
      <w:pPr>
        <w:pStyle w:val="BodyText1"/>
      </w:pPr>
      <w:r>
        <w:t xml:space="preserve">I/we further hereby undertake that I/we will not canvass any minister, official, representative or adviser of the Authority in connection with the Procurement and/or award of the </w:t>
      </w:r>
      <w:r w:rsidR="004E43AA">
        <w:t xml:space="preserve">Contract </w:t>
      </w:r>
      <w:r>
        <w:t>and that no person employed by me/us or acting on my/our behalf, or advising me/us, will do any such act.</w:t>
      </w:r>
    </w:p>
    <w:p w14:paraId="7378CA1C" w14:textId="77777777" w:rsidR="00BE665B" w:rsidRDefault="00BE665B" w:rsidP="00BE665B">
      <w:pPr>
        <w:pStyle w:val="Heading2-NotToC"/>
      </w:pPr>
      <w:r>
        <w:t>Statement of non-collusion</w:t>
      </w:r>
    </w:p>
    <w:p w14:paraId="7BEE7BDF" w14:textId="77777777" w:rsidR="00BE665B" w:rsidRDefault="00BE665B" w:rsidP="00BE665B">
      <w:pPr>
        <w:pStyle w:val="BodyText1"/>
      </w:pPr>
      <w:r>
        <w:t>The Authority must receive bona fide competitive tenders from all Suppliers.</w:t>
      </w:r>
    </w:p>
    <w:p w14:paraId="071302D7" w14:textId="77777777" w:rsidR="00BE665B" w:rsidRDefault="00BE665B" w:rsidP="00BE665B">
      <w:pPr>
        <w:pStyle w:val="BodyText1"/>
      </w:pPr>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09E391E5" w:rsidR="00BE665B" w:rsidRDefault="00BE665B" w:rsidP="00BE665B">
      <w:pPr>
        <w:pStyle w:val="BodyText1"/>
      </w:pPr>
      <w:r>
        <w:t xml:space="preserve">I/we also certify that I/we have not done, and undertake that I/we will not do, at any time during the Procurement or, in the event of my/our final tender being successful, during the term of the </w:t>
      </w:r>
      <w:r w:rsidR="004E43AA">
        <w:t>Contract</w:t>
      </w:r>
      <w:r>
        <w:t>, any of the following acts:</w:t>
      </w:r>
    </w:p>
    <w:p w14:paraId="3A698F0B" w14:textId="77777777" w:rsidR="00BE665B" w:rsidRDefault="00BE665B" w:rsidP="00BE665B">
      <w:pPr>
        <w:pStyle w:val="BodyText1"/>
        <w:ind w:left="714" w:hanging="357"/>
      </w:pPr>
      <w:r>
        <w:t>1.</w:t>
      </w:r>
      <w: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Default="00BE665B" w:rsidP="00BE665B">
      <w:pPr>
        <w:pStyle w:val="BodyText1"/>
        <w:ind w:left="714" w:hanging="357"/>
      </w:pPr>
      <w:r>
        <w:t>2.</w:t>
      </w:r>
      <w:r>
        <w:tab/>
        <w:t xml:space="preserve">enter into any agreement or agreements with any other person that they shall refrain from participating in the tendering process carried out by the Authority or as to the amount of any offer submitted by them </w:t>
      </w:r>
      <w:proofErr w:type="gramStart"/>
      <w:r>
        <w:t>during the course of</w:t>
      </w:r>
      <w:proofErr w:type="gramEnd"/>
      <w:r>
        <w:t xml:space="preserve"> this process</w:t>
      </w:r>
    </w:p>
    <w:p w14:paraId="101EABAE" w14:textId="728872A8" w:rsidR="00BE665B" w:rsidRDefault="00BE665B" w:rsidP="00BE665B">
      <w:pPr>
        <w:pStyle w:val="BodyText1"/>
        <w:ind w:left="714" w:hanging="357"/>
      </w:pPr>
      <w:r>
        <w:t>3.</w:t>
      </w:r>
      <w:r>
        <w:tab/>
        <w:t xml:space="preserve">cause or induce any person to enter into such an agreement as is mentioned in paragraph 2 above or to inform us of the amount or the approximate amount of any other tender for the </w:t>
      </w:r>
      <w:r w:rsidR="004E43AA">
        <w:t>Contract</w:t>
      </w:r>
    </w:p>
    <w:p w14:paraId="03ACEA7C" w14:textId="77777777" w:rsidR="00BE665B" w:rsidRDefault="00BE665B" w:rsidP="00BE665B">
      <w:pPr>
        <w:pStyle w:val="BodyText1"/>
        <w:ind w:left="714" w:hanging="357"/>
      </w:pPr>
      <w:r>
        <w:t>4.</w:t>
      </w:r>
      <w:r>
        <w:tab/>
        <w:t>commit any offence under the Bribery Act 2010</w:t>
      </w:r>
    </w:p>
    <w:p w14:paraId="1BAC5A56" w14:textId="632BDBA1" w:rsidR="00BE665B" w:rsidRDefault="00BE665B" w:rsidP="00BE665B">
      <w:pPr>
        <w:pStyle w:val="BodyText1"/>
        <w:ind w:left="714" w:hanging="357"/>
      </w:pPr>
      <w:r>
        <w:t>5.</w:t>
      </w:r>
      <w:r>
        <w:tab/>
        <w:t xml:space="preserve">offer or agree to pay or give or </w:t>
      </w:r>
      <w:proofErr w:type="gramStart"/>
      <w:r>
        <w:t>actually pay</w:t>
      </w:r>
      <w:proofErr w:type="gramEnd"/>
      <w:r>
        <w:t xml:space="preserve"> or give any sum of money, inducement or valuable consideration, directly or indirectly, to any person for doing or having done or having caused to be done </w:t>
      </w:r>
      <w:r w:rsidR="004E43AA">
        <w:t xml:space="preserve">any act or omission </w:t>
      </w:r>
      <w:r>
        <w:t xml:space="preserve">in relation to any other tender or proposed tender for the performance of the </w:t>
      </w:r>
      <w:r w:rsidR="004E43AA">
        <w:t>Contract.</w:t>
      </w:r>
    </w:p>
    <w:p w14:paraId="3E124D10" w14:textId="77777777" w:rsidR="00BE665B" w:rsidRDefault="00BE665B" w:rsidP="00BE665B">
      <w:pPr>
        <w:pStyle w:val="BodyText1"/>
      </w:pPr>
      <w:r>
        <w:lastRenderedPageBreak/>
        <w:t>In this certificate, the word ’person’ includes any person, body or association, corporate or incorporate and ‘agreement’ includes any arrangement whether formal or informal and whether legally binding or not.</w:t>
      </w:r>
    </w:p>
    <w:p w14:paraId="5F234503" w14:textId="77777777" w:rsidR="00BE665B" w:rsidRDefault="00BE665B" w:rsidP="00BE665B">
      <w:pPr>
        <w:pStyle w:val="BodyText1"/>
      </w:pPr>
      <w:r>
        <w:t>I/we agree that the Authority may, in its consideration of the tender and in any subsequent actions, rely on the statements made in this Certificate.</w:t>
      </w:r>
    </w:p>
    <w:p w14:paraId="671B7B00"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4DEB8FEC" w14:textId="77777777" w:rsidTr="00632AA6">
        <w:trPr>
          <w:cantSplit/>
        </w:trPr>
        <w:tc>
          <w:tcPr>
            <w:tcW w:w="2410" w:type="dxa"/>
            <w:tcBorders>
              <w:right w:val="single" w:sz="4" w:space="0" w:color="auto"/>
            </w:tcBorders>
            <w:tcMar>
              <w:left w:w="0" w:type="dxa"/>
            </w:tcMar>
          </w:tcPr>
          <w:p w14:paraId="244A92F5" w14:textId="77777777" w:rsidR="00BE665B" w:rsidRPr="008F2D44" w:rsidRDefault="00BE665B" w:rsidP="00632AA6">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tcPr>
          <w:p w14:paraId="5BF48051" w14:textId="77777777" w:rsidR="00BE665B" w:rsidRDefault="00BE665B" w:rsidP="00632AA6">
            <w:pPr>
              <w:rPr>
                <w:color w:val="000000"/>
              </w:rPr>
            </w:pPr>
          </w:p>
        </w:tc>
      </w:tr>
    </w:tbl>
    <w:p w14:paraId="60FD2B2C"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19ED6A2C" w14:textId="77777777" w:rsidTr="00632AA6">
        <w:trPr>
          <w:cantSplit/>
        </w:trPr>
        <w:tc>
          <w:tcPr>
            <w:tcW w:w="2410" w:type="dxa"/>
            <w:tcBorders>
              <w:right w:val="single" w:sz="4" w:space="0" w:color="auto"/>
            </w:tcBorders>
            <w:tcMar>
              <w:left w:w="0" w:type="dxa"/>
            </w:tcMar>
          </w:tcPr>
          <w:p w14:paraId="6B6E1A0A" w14:textId="77777777" w:rsidR="00BE665B" w:rsidRPr="008F2D44" w:rsidRDefault="00BE665B" w:rsidP="00632AA6">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tcPr>
          <w:p w14:paraId="79E9D06A" w14:textId="77777777" w:rsidR="00BE665B" w:rsidRDefault="00BE665B" w:rsidP="00632AA6">
            <w:pPr>
              <w:rPr>
                <w:color w:val="000000"/>
              </w:rPr>
            </w:pPr>
          </w:p>
        </w:tc>
      </w:tr>
    </w:tbl>
    <w:p w14:paraId="440ED09B"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25C2976C" w14:textId="77777777" w:rsidTr="00632AA6">
        <w:trPr>
          <w:cantSplit/>
          <w:trHeight w:val="23"/>
        </w:trPr>
        <w:tc>
          <w:tcPr>
            <w:tcW w:w="2410" w:type="dxa"/>
            <w:tcBorders>
              <w:right w:val="single" w:sz="4" w:space="0" w:color="auto"/>
            </w:tcBorders>
            <w:tcMar>
              <w:left w:w="0" w:type="dxa"/>
            </w:tcMar>
          </w:tcPr>
          <w:p w14:paraId="0765B41C" w14:textId="77777777" w:rsidR="00BE665B" w:rsidRPr="008F2D44" w:rsidRDefault="00BE665B" w:rsidP="00632AA6">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tcPr>
          <w:p w14:paraId="63BB5BEE" w14:textId="77777777" w:rsidR="00BE665B" w:rsidRDefault="00BE665B" w:rsidP="00632AA6">
            <w:pPr>
              <w:rPr>
                <w:color w:val="000000"/>
              </w:rPr>
            </w:pPr>
          </w:p>
        </w:tc>
      </w:tr>
    </w:tbl>
    <w:p w14:paraId="3537DB88"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220D0DA" w14:textId="77777777" w:rsidTr="00632AA6">
        <w:trPr>
          <w:cantSplit/>
        </w:trPr>
        <w:tc>
          <w:tcPr>
            <w:tcW w:w="2410" w:type="dxa"/>
            <w:tcBorders>
              <w:right w:val="single" w:sz="4" w:space="0" w:color="auto"/>
            </w:tcBorders>
            <w:tcMar>
              <w:left w:w="0" w:type="dxa"/>
            </w:tcMar>
          </w:tcPr>
          <w:p w14:paraId="3AEDCD51" w14:textId="77777777" w:rsidR="00BE665B" w:rsidRPr="008F2D44" w:rsidRDefault="00BE665B" w:rsidP="00632AA6">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tcPr>
          <w:p w14:paraId="4FEA7F41" w14:textId="77777777" w:rsidR="00BE665B" w:rsidRDefault="00BE665B" w:rsidP="00632AA6">
            <w:pPr>
              <w:rPr>
                <w:color w:val="000000"/>
              </w:rPr>
            </w:pPr>
          </w:p>
        </w:tc>
      </w:tr>
    </w:tbl>
    <w:p w14:paraId="6FF93F24" w14:textId="77777777" w:rsidR="00BE665B" w:rsidRDefault="00BE665B" w:rsidP="00BE665B">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0CB6087F" w14:textId="77777777" w:rsidTr="00632AA6">
        <w:trPr>
          <w:cantSplit/>
        </w:trPr>
        <w:tc>
          <w:tcPr>
            <w:tcW w:w="2410" w:type="dxa"/>
            <w:tcBorders>
              <w:right w:val="single" w:sz="4" w:space="0" w:color="auto"/>
            </w:tcBorders>
            <w:tcMar>
              <w:left w:w="0" w:type="dxa"/>
            </w:tcMar>
          </w:tcPr>
          <w:p w14:paraId="47F84356" w14:textId="77777777" w:rsidR="00BE665B" w:rsidRPr="008F2D44" w:rsidRDefault="00BE665B" w:rsidP="00632AA6">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1A3C0C71" w14:textId="77777777" w:rsidR="00BE665B" w:rsidRDefault="00BE665B" w:rsidP="00632AA6">
            <w:pPr>
              <w:rPr>
                <w:color w:val="000000"/>
              </w:rPr>
            </w:pPr>
          </w:p>
        </w:tc>
      </w:tr>
    </w:tbl>
    <w:p w14:paraId="3E70A184" w14:textId="77777777" w:rsidR="00BE665B" w:rsidRDefault="00BE665B" w:rsidP="00BE665B">
      <w:pPr>
        <w:tabs>
          <w:tab w:val="left" w:pos="2751"/>
        </w:tabs>
        <w:ind w:left="57"/>
        <w:rPr>
          <w:color w:val="000000"/>
        </w:rPr>
      </w:pPr>
    </w:p>
    <w:p w14:paraId="01F11355" w14:textId="7DD6B2CB" w:rsidR="00DF644D" w:rsidRPr="002147DD" w:rsidRDefault="00DF644D" w:rsidP="00DF644D">
      <w:pPr>
        <w:pStyle w:val="Heading1"/>
        <w:numPr>
          <w:ilvl w:val="0"/>
          <w:numId w:val="0"/>
        </w:numPr>
      </w:pPr>
      <w:bookmarkStart w:id="41" w:name="_Toc214868691"/>
      <w:r>
        <w:lastRenderedPageBreak/>
        <w:t xml:space="preserve">Appendix </w:t>
      </w:r>
      <w:r w:rsidR="00826365">
        <w:t>H</w:t>
      </w:r>
      <w:r>
        <w:t>: Commercially sensitive information</w:t>
      </w:r>
      <w:bookmarkEnd w:id="41"/>
    </w:p>
    <w:p w14:paraId="187F5735" w14:textId="77777777" w:rsidR="00BE665B" w:rsidRDefault="00BE665B" w:rsidP="00BE665B">
      <w:pPr>
        <w:pStyle w:val="BodyText1"/>
      </w:pPr>
      <w:r>
        <w:t>This appendix should be read in conjunction with the relevant paragraphs relating to freedom of information (FOIA) and environmental information (EIR) in the Procurement terms and conditions.</w:t>
      </w:r>
    </w:p>
    <w:p w14:paraId="68414FFD" w14:textId="77777777" w:rsidR="00BE665B" w:rsidRDefault="00BE665B" w:rsidP="00BE665B">
      <w:pPr>
        <w:pStyle w:val="BodyText1"/>
      </w:pPr>
      <w: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0DC3E046" w14:textId="77777777" w:rsidTr="00CB63E6">
        <w:trPr>
          <w:cantSplit/>
          <w:trHeight w:val="1134"/>
        </w:trPr>
        <w:tc>
          <w:tcPr>
            <w:tcW w:w="10194" w:type="dxa"/>
          </w:tcPr>
          <w:p w14:paraId="2CA6958C" w14:textId="77777777" w:rsidR="005054C1" w:rsidRPr="005F6FA3" w:rsidRDefault="005054C1" w:rsidP="00632AA6">
            <w:pPr>
              <w:spacing w:after="120"/>
              <w:rPr>
                <w:sz w:val="20"/>
                <w:szCs w:val="20"/>
              </w:rPr>
            </w:pPr>
          </w:p>
        </w:tc>
      </w:tr>
    </w:tbl>
    <w:p w14:paraId="2E7F8AB0" w14:textId="77777777" w:rsidR="00BE665B" w:rsidRDefault="00BE665B" w:rsidP="00BE665B">
      <w:pPr>
        <w:pStyle w:val="BodyText1"/>
      </w:pPr>
    </w:p>
    <w:p w14:paraId="6DF850AF" w14:textId="77777777" w:rsidR="00BE665B" w:rsidRDefault="00BE665B" w:rsidP="000F2971">
      <w:pPr>
        <w:pStyle w:val="BodyText1"/>
        <w:ind w:right="-427"/>
      </w:pPr>
      <w: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255A4F4E" w14:textId="77777777" w:rsidTr="00CB63E6">
        <w:trPr>
          <w:cantSplit/>
          <w:trHeight w:val="1134"/>
        </w:trPr>
        <w:tc>
          <w:tcPr>
            <w:tcW w:w="10194" w:type="dxa"/>
          </w:tcPr>
          <w:p w14:paraId="6A3C461A" w14:textId="77777777" w:rsidR="005054C1" w:rsidRPr="005F6FA3" w:rsidRDefault="005054C1" w:rsidP="00632AA6">
            <w:pPr>
              <w:spacing w:after="120"/>
              <w:rPr>
                <w:sz w:val="20"/>
                <w:szCs w:val="20"/>
              </w:rPr>
            </w:pPr>
          </w:p>
        </w:tc>
      </w:tr>
    </w:tbl>
    <w:p w14:paraId="14A1207B" w14:textId="77777777" w:rsidR="005054C1" w:rsidRDefault="005054C1" w:rsidP="005054C1">
      <w:pPr>
        <w:pStyle w:val="BodyText1"/>
      </w:pPr>
    </w:p>
    <w:p w14:paraId="0467CA8E" w14:textId="77777777" w:rsidR="00BE665B" w:rsidRDefault="00BE665B" w:rsidP="00BE665B">
      <w:pPr>
        <w:pStyle w:val="BodyText1"/>
      </w:pPr>
      <w:r>
        <w:t xml:space="preserve">The </w:t>
      </w:r>
      <w:proofErr w:type="gramStart"/>
      <w:r>
        <w:t>period of time</w:t>
      </w:r>
      <w:proofErr w:type="gramEnd"/>
      <w:r>
        <w:t xml:space="preserv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5054C1" w14:paraId="4E0997D2" w14:textId="77777777" w:rsidTr="00CB63E6">
        <w:trPr>
          <w:cantSplit/>
          <w:trHeight w:val="1134"/>
        </w:trPr>
        <w:tc>
          <w:tcPr>
            <w:tcW w:w="10194" w:type="dxa"/>
          </w:tcPr>
          <w:p w14:paraId="6983570A" w14:textId="77777777" w:rsidR="005054C1" w:rsidRDefault="005054C1" w:rsidP="00632AA6">
            <w:pPr>
              <w:spacing w:after="120"/>
              <w:rPr>
                <w:sz w:val="20"/>
                <w:szCs w:val="20"/>
              </w:rPr>
            </w:pPr>
          </w:p>
          <w:p w14:paraId="1CD26216" w14:textId="15F48663" w:rsidR="004E43AA" w:rsidRPr="005F6FA3" w:rsidRDefault="004E43AA" w:rsidP="00632AA6">
            <w:pPr>
              <w:spacing w:after="120"/>
              <w:rPr>
                <w:sz w:val="20"/>
                <w:szCs w:val="20"/>
              </w:rPr>
            </w:pPr>
            <w:r>
              <w:t>[until award of the Contract OR during the period of the Contract OR for a period of [number] years until [month], [year]].*</w:t>
            </w:r>
          </w:p>
        </w:tc>
      </w:tr>
    </w:tbl>
    <w:p w14:paraId="10268A80" w14:textId="77E9962F" w:rsidR="00BE665B" w:rsidRDefault="004E43AA" w:rsidP="00BE665B">
      <w:pPr>
        <w:pStyle w:val="BodyText1"/>
      </w:pPr>
      <w:r>
        <w:t>*</w:t>
      </w:r>
      <w:r w:rsidR="00BE665B" w:rsidRPr="00241DBB">
        <w:rPr>
          <w:i/>
        </w:rPr>
        <w:t>Supplier to amend as appropriate</w:t>
      </w:r>
      <w:r w:rsidR="00BE665B">
        <w:t xml:space="preserve"> </w:t>
      </w:r>
    </w:p>
    <w:p w14:paraId="37B96928" w14:textId="77777777" w:rsidR="005054C1" w:rsidRDefault="005054C1" w:rsidP="005054C1">
      <w:pPr>
        <w:pStyle w:val="BodyText1"/>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664DC957" w14:textId="77777777" w:rsidTr="00632AA6">
        <w:trPr>
          <w:cantSplit/>
        </w:trPr>
        <w:tc>
          <w:tcPr>
            <w:tcW w:w="2410" w:type="dxa"/>
            <w:tcBorders>
              <w:right w:val="single" w:sz="4" w:space="0" w:color="auto"/>
            </w:tcBorders>
            <w:tcMar>
              <w:left w:w="0" w:type="dxa"/>
            </w:tcMar>
          </w:tcPr>
          <w:p w14:paraId="5F040191" w14:textId="77777777" w:rsidR="00BE665B" w:rsidRPr="008F2D44" w:rsidRDefault="00BE665B" w:rsidP="00632AA6">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tcPr>
          <w:p w14:paraId="37BCEFF1" w14:textId="77777777" w:rsidR="00BE665B" w:rsidRDefault="00BE665B" w:rsidP="00632AA6">
            <w:pPr>
              <w:rPr>
                <w:color w:val="000000"/>
              </w:rPr>
            </w:pPr>
          </w:p>
        </w:tc>
      </w:tr>
    </w:tbl>
    <w:p w14:paraId="5131F1CF"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3F8FF2B" w14:textId="77777777" w:rsidTr="00632AA6">
        <w:trPr>
          <w:cantSplit/>
        </w:trPr>
        <w:tc>
          <w:tcPr>
            <w:tcW w:w="2410" w:type="dxa"/>
            <w:tcBorders>
              <w:right w:val="single" w:sz="4" w:space="0" w:color="auto"/>
            </w:tcBorders>
            <w:tcMar>
              <w:left w:w="0" w:type="dxa"/>
            </w:tcMar>
          </w:tcPr>
          <w:p w14:paraId="04167EED" w14:textId="77777777" w:rsidR="00BE665B" w:rsidRPr="008F2D44" w:rsidRDefault="00BE665B" w:rsidP="00632AA6">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tcPr>
          <w:p w14:paraId="6E0FECB6" w14:textId="77777777" w:rsidR="00BE665B" w:rsidRDefault="00BE665B" w:rsidP="00632AA6">
            <w:pPr>
              <w:rPr>
                <w:color w:val="000000"/>
              </w:rPr>
            </w:pPr>
          </w:p>
        </w:tc>
      </w:tr>
    </w:tbl>
    <w:p w14:paraId="32621AF8"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CFD963C" w14:textId="77777777" w:rsidTr="00632AA6">
        <w:trPr>
          <w:cantSplit/>
          <w:trHeight w:val="23"/>
        </w:trPr>
        <w:tc>
          <w:tcPr>
            <w:tcW w:w="2410" w:type="dxa"/>
            <w:tcBorders>
              <w:right w:val="single" w:sz="4" w:space="0" w:color="auto"/>
            </w:tcBorders>
            <w:tcMar>
              <w:left w:w="0" w:type="dxa"/>
            </w:tcMar>
          </w:tcPr>
          <w:p w14:paraId="78B169CB" w14:textId="77777777" w:rsidR="00BE665B" w:rsidRPr="008F2D44" w:rsidRDefault="00BE665B" w:rsidP="00632AA6">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tcPr>
          <w:p w14:paraId="49347872" w14:textId="77777777" w:rsidR="00BE665B" w:rsidRDefault="00BE665B" w:rsidP="00632AA6">
            <w:pPr>
              <w:rPr>
                <w:color w:val="000000"/>
              </w:rPr>
            </w:pPr>
          </w:p>
        </w:tc>
      </w:tr>
    </w:tbl>
    <w:p w14:paraId="2779806C"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B03238F" w14:textId="77777777" w:rsidTr="00632AA6">
        <w:trPr>
          <w:cantSplit/>
        </w:trPr>
        <w:tc>
          <w:tcPr>
            <w:tcW w:w="2410" w:type="dxa"/>
            <w:tcBorders>
              <w:right w:val="single" w:sz="4" w:space="0" w:color="auto"/>
            </w:tcBorders>
            <w:tcMar>
              <w:left w:w="0" w:type="dxa"/>
            </w:tcMar>
          </w:tcPr>
          <w:p w14:paraId="7B40760A" w14:textId="77777777" w:rsidR="00BE665B" w:rsidRPr="008F2D44" w:rsidRDefault="00BE665B" w:rsidP="00632AA6">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tcPr>
          <w:p w14:paraId="72FD506C" w14:textId="77777777" w:rsidR="00BE665B" w:rsidRDefault="00BE665B" w:rsidP="00632AA6">
            <w:pPr>
              <w:rPr>
                <w:color w:val="000000"/>
              </w:rPr>
            </w:pPr>
          </w:p>
        </w:tc>
      </w:tr>
    </w:tbl>
    <w:p w14:paraId="42782D8B" w14:textId="77777777" w:rsidR="00BE665B" w:rsidRDefault="00BE665B" w:rsidP="00BE665B">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525AEDF6" w14:textId="77777777" w:rsidTr="00632AA6">
        <w:trPr>
          <w:cantSplit/>
        </w:trPr>
        <w:tc>
          <w:tcPr>
            <w:tcW w:w="2410" w:type="dxa"/>
            <w:tcBorders>
              <w:right w:val="single" w:sz="4" w:space="0" w:color="auto"/>
            </w:tcBorders>
            <w:tcMar>
              <w:left w:w="0" w:type="dxa"/>
            </w:tcMar>
          </w:tcPr>
          <w:p w14:paraId="17780C6F" w14:textId="77777777" w:rsidR="00BE665B" w:rsidRPr="008F2D44" w:rsidRDefault="00BE665B" w:rsidP="00632AA6">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7381B71E" w14:textId="77777777" w:rsidR="00BE665B" w:rsidRDefault="00BE665B" w:rsidP="00632AA6">
            <w:pPr>
              <w:rPr>
                <w:color w:val="000000"/>
              </w:rPr>
            </w:pPr>
          </w:p>
        </w:tc>
      </w:tr>
    </w:tbl>
    <w:p w14:paraId="0567DE26" w14:textId="6156A1EB" w:rsidR="005F226E" w:rsidRDefault="005F226E" w:rsidP="00D8310C">
      <w:pPr>
        <w:tabs>
          <w:tab w:val="left" w:pos="2751"/>
        </w:tabs>
        <w:rPr>
          <w:color w:val="000000"/>
        </w:rPr>
      </w:pPr>
    </w:p>
    <w:p w14:paraId="538E8D63" w14:textId="77777777" w:rsidR="005F226E" w:rsidRDefault="005F226E">
      <w:pPr>
        <w:rPr>
          <w:color w:val="000000"/>
        </w:rPr>
      </w:pPr>
      <w:r>
        <w:rPr>
          <w:color w:val="000000"/>
        </w:rPr>
        <w:br w:type="page"/>
      </w:r>
    </w:p>
    <w:p w14:paraId="1ED2E0B7" w14:textId="7DD53225" w:rsidR="005F226E" w:rsidRDefault="005F226E" w:rsidP="005F226E">
      <w:pPr>
        <w:pStyle w:val="Heading1"/>
        <w:numPr>
          <w:ilvl w:val="0"/>
          <w:numId w:val="0"/>
        </w:numPr>
      </w:pPr>
      <w:bookmarkStart w:id="42" w:name="_Toc214868692"/>
      <w:r>
        <w:lastRenderedPageBreak/>
        <w:t>Appendix I: Procurement Specific Questionnaire</w:t>
      </w:r>
      <w:bookmarkEnd w:id="42"/>
    </w:p>
    <w:p w14:paraId="4BF93F2D" w14:textId="59D2C59F" w:rsidR="00B047FF" w:rsidRDefault="00B047FF" w:rsidP="00B047FF">
      <w:r>
        <w:t>Please find embedded here the PSQ:</w:t>
      </w:r>
    </w:p>
    <w:bookmarkStart w:id="43" w:name="_MON_1824450985"/>
    <w:bookmarkEnd w:id="43"/>
    <w:p w14:paraId="3310E062" w14:textId="3765347E" w:rsidR="00A5636B" w:rsidRDefault="00A5636B" w:rsidP="00B047FF">
      <w:r>
        <w:object w:dxaOrig="1501" w:dyaOrig="980" w14:anchorId="409B8816">
          <v:shape id="_x0000_i1026" type="#_x0000_t75" style="width:75pt;height:49pt" o:ole="">
            <v:imagedata r:id="rId43" o:title=""/>
          </v:shape>
          <o:OLEObject Type="Embed" ProgID="Word.Document.12" ShapeID="_x0000_i1026" DrawAspect="Icon" ObjectID="_1825481444" r:id="rId44">
            <o:FieldCodes>\s</o:FieldCodes>
          </o:OLEObject>
        </w:object>
      </w:r>
    </w:p>
    <w:p w14:paraId="29A8CE26" w14:textId="77777777" w:rsidR="00B047FF" w:rsidRPr="00B047FF" w:rsidRDefault="00B047FF" w:rsidP="00B047FF"/>
    <w:p w14:paraId="2FB30535" w14:textId="040D3636" w:rsidR="005F226E" w:rsidRPr="005F226E" w:rsidRDefault="005F226E" w:rsidP="005F226E"/>
    <w:p w14:paraId="41F7FAA0" w14:textId="2984FC68" w:rsidR="00C2222C" w:rsidRDefault="00C2222C">
      <w:pPr>
        <w:rPr>
          <w:color w:val="000000"/>
        </w:rPr>
      </w:pPr>
      <w:r>
        <w:rPr>
          <w:color w:val="000000"/>
        </w:rPr>
        <w:br w:type="page"/>
      </w:r>
    </w:p>
    <w:p w14:paraId="744FA3A2" w14:textId="6BB8F765" w:rsidR="00C2222C" w:rsidRDefault="00C2222C" w:rsidP="00C2222C">
      <w:pPr>
        <w:pStyle w:val="Heading1"/>
        <w:numPr>
          <w:ilvl w:val="0"/>
          <w:numId w:val="0"/>
        </w:numPr>
      </w:pPr>
      <w:bookmarkStart w:id="44" w:name="_Toc214868693"/>
      <w:r>
        <w:lastRenderedPageBreak/>
        <w:t>Appendix J: Pricing</w:t>
      </w:r>
      <w:bookmarkEnd w:id="44"/>
      <w:r>
        <w:t xml:space="preserve"> </w:t>
      </w:r>
    </w:p>
    <w:p w14:paraId="0C0E571E" w14:textId="10C10421" w:rsidR="00C2222C" w:rsidRPr="00C2222C" w:rsidRDefault="00C2222C" w:rsidP="00C2222C">
      <w:r>
        <w:t xml:space="preserve">Please see attached ‘Appendix J: Pricing’ in the Atamis tender box. </w:t>
      </w:r>
    </w:p>
    <w:p w14:paraId="6DD3E045" w14:textId="3EF55D5E" w:rsidR="00600529" w:rsidRDefault="00600529">
      <w:pPr>
        <w:rPr>
          <w:color w:val="000000"/>
        </w:rPr>
      </w:pPr>
      <w:r>
        <w:rPr>
          <w:color w:val="000000"/>
        </w:rPr>
        <w:br w:type="page"/>
      </w:r>
    </w:p>
    <w:p w14:paraId="1B8E2AFA" w14:textId="77777777" w:rsidR="00600529" w:rsidRPr="00600529" w:rsidRDefault="00600529" w:rsidP="00600529">
      <w:pPr>
        <w:pStyle w:val="Heading1"/>
        <w:numPr>
          <w:ilvl w:val="0"/>
          <w:numId w:val="0"/>
        </w:numPr>
      </w:pPr>
      <w:bookmarkStart w:id="45" w:name="_Toc213688737"/>
      <w:bookmarkStart w:id="46" w:name="_Toc214868694"/>
      <w:r w:rsidRPr="00600529">
        <w:lastRenderedPageBreak/>
        <w:t>Appendix K: Security Policy</w:t>
      </w:r>
      <w:bookmarkEnd w:id="45"/>
      <w:bookmarkEnd w:id="46"/>
    </w:p>
    <w:p w14:paraId="38138672" w14:textId="77777777" w:rsidR="00600529" w:rsidRPr="00600529" w:rsidRDefault="00600529" w:rsidP="00600529">
      <w:pPr>
        <w:tabs>
          <w:tab w:val="left" w:pos="2751"/>
        </w:tabs>
        <w:rPr>
          <w:color w:val="000000"/>
        </w:rPr>
      </w:pPr>
      <w:r w:rsidRPr="00600529">
        <w:rPr>
          <w:color w:val="000000"/>
        </w:rPr>
        <w:t xml:space="preserve">Please see attached ‘Appendix K: Security Policy’ in the Atamis tender box. </w:t>
      </w:r>
    </w:p>
    <w:p w14:paraId="660BA8BA" w14:textId="77777777" w:rsidR="00BE665B" w:rsidRDefault="00BE665B" w:rsidP="00D8310C">
      <w:pPr>
        <w:tabs>
          <w:tab w:val="left" w:pos="2751"/>
        </w:tabs>
        <w:rPr>
          <w:color w:val="000000"/>
        </w:rPr>
      </w:pPr>
    </w:p>
    <w:sectPr w:rsidR="00BE665B" w:rsidSect="001C5F1D">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A66E" w14:textId="77777777" w:rsidR="00015374" w:rsidRDefault="00015374">
      <w:r>
        <w:separator/>
      </w:r>
    </w:p>
  </w:endnote>
  <w:endnote w:type="continuationSeparator" w:id="0">
    <w:p w14:paraId="42A69594" w14:textId="77777777" w:rsidR="00015374" w:rsidRDefault="00015374">
      <w:r>
        <w:continuationSeparator/>
      </w:r>
    </w:p>
  </w:endnote>
  <w:endnote w:type="continuationNotice" w:id="1">
    <w:p w14:paraId="257A1692" w14:textId="77777777" w:rsidR="00015374" w:rsidRDefault="00015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55AE1" w:rsidRDefault="00255AE1"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24A476E0" w14:textId="0C8751FC" w:rsidR="00255AE1" w:rsidRDefault="00255AE1" w:rsidP="000D2562">
    <w:pPr>
      <w:pStyle w:val="Header"/>
      <w:jc w:val="center"/>
      <w:rPr>
        <w:color w:val="000000"/>
        <w:sz w:val="20"/>
        <w:szCs w:val="20"/>
      </w:rPr>
    </w:pPr>
    <w:r>
      <w:t>[Insert whether the document is Confidential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118724"/>
      <w:docPartObj>
        <w:docPartGallery w:val="Page Numbers (Bottom of Page)"/>
        <w:docPartUnique/>
      </w:docPartObj>
    </w:sdtPr>
    <w:sdtEndPr>
      <w:rPr>
        <w:noProof/>
      </w:rPr>
    </w:sdtEndPr>
    <w:sdtContent>
      <w:p w14:paraId="14E17669" w14:textId="7719BEFF" w:rsidR="00255AE1" w:rsidRDefault="00255AE1">
        <w:pPr>
          <w:pStyle w:val="Footer"/>
          <w:jc w:val="right"/>
        </w:pPr>
        <w:r>
          <w:fldChar w:fldCharType="begin"/>
        </w:r>
        <w:r>
          <w:instrText xml:space="preserve"> PAGE   \* MERGEFORMAT </w:instrText>
        </w:r>
        <w:r>
          <w:fldChar w:fldCharType="separate"/>
        </w:r>
        <w:r w:rsidR="00B85074">
          <w:rPr>
            <w:noProof/>
          </w:rPr>
          <w:t>1</w:t>
        </w:r>
        <w:r>
          <w:rPr>
            <w:noProof/>
          </w:rPr>
          <w:fldChar w:fldCharType="end"/>
        </w:r>
      </w:p>
    </w:sdtContent>
  </w:sdt>
  <w:p w14:paraId="2C429F6E" w14:textId="2324BBDD" w:rsidR="00255AE1" w:rsidRPr="00523FCD" w:rsidRDefault="00255AE1" w:rsidP="00523FCD">
    <w:pPr>
      <w:tabs>
        <w:tab w:val="center" w:pos="4820"/>
      </w:tabs>
      <w:spacing w:after="120" w:line="192" w:lineRule="auto"/>
      <w:rPr>
        <w:color w:val="000000"/>
        <w:sz w:val="20"/>
        <w:szCs w:val="20"/>
      </w:rPr>
    </w:pPr>
    <w:r>
      <w:rPr>
        <w:color w:val="000000"/>
        <w:sz w:val="20"/>
        <w:szCs w:val="20"/>
      </w:rPr>
      <w:t xml:space="preserve"> Open </w:t>
    </w:r>
    <w:r w:rsidRPr="00523FCD">
      <w:rPr>
        <w:color w:val="000000"/>
        <w:sz w:val="20"/>
        <w:szCs w:val="20"/>
      </w:rPr>
      <w:t>Procedure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255AE1" w:rsidRDefault="00255AE1"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43647"/>
      <w:docPartObj>
        <w:docPartGallery w:val="Page Numbers (Bottom of Page)"/>
        <w:docPartUnique/>
      </w:docPartObj>
    </w:sdtPr>
    <w:sdtEndPr>
      <w:rPr>
        <w:noProof/>
      </w:rPr>
    </w:sdtEndPr>
    <w:sdtContent>
      <w:p w14:paraId="728C2F8B" w14:textId="00B66E2D" w:rsidR="00255AE1" w:rsidRPr="00523FCD" w:rsidRDefault="00C74902" w:rsidP="001149D1">
        <w:pPr>
          <w:tabs>
            <w:tab w:val="center" w:pos="4820"/>
          </w:tabs>
          <w:spacing w:after="120" w:line="192" w:lineRule="auto"/>
          <w:rPr>
            <w:color w:val="000000"/>
            <w:sz w:val="20"/>
            <w:szCs w:val="20"/>
          </w:rPr>
        </w:pPr>
        <w:r>
          <w:rPr>
            <w:color w:val="000000"/>
            <w:sz w:val="20"/>
            <w:szCs w:val="20"/>
          </w:rPr>
          <w:t>C334420</w:t>
        </w:r>
        <w:r w:rsidR="00BC24A7">
          <w:rPr>
            <w:color w:val="000000"/>
            <w:sz w:val="20"/>
            <w:szCs w:val="20"/>
          </w:rPr>
          <w:t xml:space="preserve"> </w:t>
        </w:r>
        <w:r>
          <w:rPr>
            <w:color w:val="000000"/>
            <w:sz w:val="20"/>
            <w:szCs w:val="20"/>
          </w:rPr>
          <w:t>Learning Management System - ITT</w:t>
        </w:r>
        <w:r w:rsidR="00255AE1">
          <w:rPr>
            <w:color w:val="000000"/>
            <w:sz w:val="20"/>
            <w:szCs w:val="20"/>
          </w:rPr>
          <w:tab/>
        </w:r>
        <w:r w:rsidR="00255AE1">
          <w:rPr>
            <w:color w:val="000000"/>
            <w:sz w:val="20"/>
            <w:szCs w:val="20"/>
          </w:rPr>
          <w:tab/>
        </w:r>
        <w:r w:rsidR="00255AE1">
          <w:rPr>
            <w:color w:val="000000"/>
            <w:sz w:val="20"/>
            <w:szCs w:val="20"/>
          </w:rPr>
          <w:tab/>
        </w:r>
        <w:r w:rsidR="00255AE1">
          <w:rPr>
            <w:color w:val="000000"/>
            <w:sz w:val="20"/>
            <w:szCs w:val="20"/>
          </w:rPr>
          <w:tab/>
        </w:r>
        <w:r w:rsidR="00255AE1">
          <w:rPr>
            <w:color w:val="000000"/>
            <w:sz w:val="20"/>
            <w:szCs w:val="20"/>
          </w:rPr>
          <w:tab/>
        </w:r>
        <w:r w:rsidR="00255AE1">
          <w:rPr>
            <w:color w:val="000000"/>
            <w:sz w:val="20"/>
            <w:szCs w:val="20"/>
          </w:rPr>
          <w:tab/>
        </w:r>
        <w:r w:rsidR="00BC24A7">
          <w:rPr>
            <w:color w:val="000000"/>
            <w:sz w:val="20"/>
            <w:szCs w:val="20"/>
          </w:rPr>
          <w:t xml:space="preserve">          </w:t>
        </w:r>
        <w:r w:rsidR="001149D1">
          <w:rPr>
            <w:color w:val="000000"/>
            <w:sz w:val="20"/>
            <w:szCs w:val="20"/>
          </w:rPr>
          <w:tab/>
        </w:r>
        <w:r w:rsidR="001149D1">
          <w:rPr>
            <w:color w:val="000000"/>
            <w:sz w:val="20"/>
            <w:szCs w:val="20"/>
          </w:rPr>
          <w:tab/>
        </w:r>
        <w:r w:rsidR="001149D1">
          <w:rPr>
            <w:color w:val="000000"/>
            <w:sz w:val="20"/>
            <w:szCs w:val="20"/>
          </w:rPr>
          <w:tab/>
        </w:r>
        <w:r w:rsidR="001149D1">
          <w:rPr>
            <w:color w:val="000000"/>
            <w:sz w:val="20"/>
            <w:szCs w:val="20"/>
          </w:rPr>
          <w:tab/>
        </w:r>
        <w:r w:rsidR="001149D1">
          <w:rPr>
            <w:color w:val="000000"/>
            <w:sz w:val="20"/>
            <w:szCs w:val="20"/>
          </w:rPr>
          <w:tab/>
        </w:r>
        <w:r w:rsidR="001149D1">
          <w:rPr>
            <w:color w:val="000000"/>
            <w:sz w:val="20"/>
            <w:szCs w:val="20"/>
          </w:rPr>
          <w:tab/>
        </w:r>
        <w:r w:rsidR="001149D1">
          <w:rPr>
            <w:color w:val="000000"/>
            <w:sz w:val="20"/>
            <w:szCs w:val="20"/>
          </w:rPr>
          <w:tab/>
        </w:r>
        <w:r w:rsidR="00BC24A7">
          <w:rPr>
            <w:color w:val="000000"/>
            <w:sz w:val="20"/>
            <w:szCs w:val="20"/>
          </w:rPr>
          <w:t xml:space="preserve">     </w:t>
        </w:r>
        <w:r w:rsidR="00255AE1">
          <w:fldChar w:fldCharType="begin"/>
        </w:r>
        <w:r w:rsidR="00255AE1">
          <w:instrText xml:space="preserve"> PAGE   \* MERGEFORMAT </w:instrText>
        </w:r>
        <w:r w:rsidR="00255AE1">
          <w:fldChar w:fldCharType="separate"/>
        </w:r>
        <w:r w:rsidR="00F37DAF">
          <w:rPr>
            <w:noProof/>
          </w:rPr>
          <w:t>3</w:t>
        </w:r>
        <w:r w:rsidR="00255AE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73B6" w14:textId="77777777" w:rsidR="00015374" w:rsidRDefault="00015374">
      <w:r>
        <w:separator/>
      </w:r>
    </w:p>
  </w:footnote>
  <w:footnote w:type="continuationSeparator" w:id="0">
    <w:p w14:paraId="2C20A293" w14:textId="77777777" w:rsidR="00015374" w:rsidRDefault="00015374">
      <w:r>
        <w:continuationSeparator/>
      </w:r>
    </w:p>
  </w:footnote>
  <w:footnote w:type="continuationNotice" w:id="1">
    <w:p w14:paraId="3EA353BB" w14:textId="77777777" w:rsidR="00015374" w:rsidRDefault="00015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C8C1" w14:textId="719FE83C" w:rsidR="00255AE1" w:rsidRDefault="00255AE1" w:rsidP="00D310F9">
    <w:pPr>
      <w:pStyle w:val="Header"/>
      <w:jc w:val="center"/>
    </w:pPr>
    <w:r>
      <w:t>[Insert whether the document is Confidential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D958" w14:textId="13EFEB61" w:rsidR="00255AE1" w:rsidRDefault="0082475E" w:rsidP="008A068D">
    <w:pPr>
      <w:pStyle w:val="Header"/>
    </w:pPr>
    <w:r>
      <w:t>Commercial in 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5C5630ED" w:rsidR="00255AE1" w:rsidRDefault="00255AE1">
    <w:pPr>
      <w:pStyle w:val="Header"/>
    </w:pPr>
    <w:r>
      <w:rPr>
        <w:noProof/>
      </w:rPr>
      <w:drawing>
        <wp:inline distT="0" distB="0" distL="0" distR="0" wp14:anchorId="1A58867E" wp14:editId="512C4546">
          <wp:extent cx="947420" cy="947420"/>
          <wp:effectExtent l="0" t="0" r="5080" b="5080"/>
          <wp:docPr id="493491754" name="image1.jpg"/>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532C" w14:textId="69A49854" w:rsidR="00255AE1" w:rsidRDefault="00255A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32CB0694" w:rsidR="00255AE1" w:rsidRPr="00523FCD" w:rsidRDefault="007A2AAF" w:rsidP="00523FCD">
    <w:pPr>
      <w:pStyle w:val="Header"/>
    </w:pPr>
    <w:r>
      <w:t>Commercial in Confidence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DA96" w14:textId="0FF29E03" w:rsidR="00255AE1" w:rsidRDefault="00255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207F"/>
    <w:multiLevelType w:val="hybridMultilevel"/>
    <w:tmpl w:val="BC64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15EF"/>
    <w:multiLevelType w:val="hybridMultilevel"/>
    <w:tmpl w:val="7B1EA6B8"/>
    <w:lvl w:ilvl="0" w:tplc="69B6C7A6">
      <w:start w:val="1"/>
      <w:numFmt w:val="bullet"/>
      <w:lvlText w:val=""/>
      <w:lvlJc w:val="left"/>
      <w:pPr>
        <w:ind w:left="720" w:hanging="360"/>
      </w:pPr>
      <w:rPr>
        <w:rFonts w:ascii="Symbol" w:hAnsi="Symbol" w:hint="default"/>
      </w:rPr>
    </w:lvl>
    <w:lvl w:ilvl="1" w:tplc="A8AA1E92">
      <w:start w:val="1"/>
      <w:numFmt w:val="bullet"/>
      <w:lvlText w:val="o"/>
      <w:lvlJc w:val="left"/>
      <w:pPr>
        <w:ind w:left="1440" w:hanging="360"/>
      </w:pPr>
      <w:rPr>
        <w:rFonts w:ascii="Courier New" w:hAnsi="Courier New" w:hint="default"/>
      </w:rPr>
    </w:lvl>
    <w:lvl w:ilvl="2" w:tplc="2D02322E">
      <w:start w:val="1"/>
      <w:numFmt w:val="bullet"/>
      <w:lvlText w:val=""/>
      <w:lvlJc w:val="left"/>
      <w:pPr>
        <w:ind w:left="2160" w:hanging="360"/>
      </w:pPr>
      <w:rPr>
        <w:rFonts w:ascii="Wingdings" w:hAnsi="Wingdings" w:hint="default"/>
      </w:rPr>
    </w:lvl>
    <w:lvl w:ilvl="3" w:tplc="615A1994">
      <w:start w:val="1"/>
      <w:numFmt w:val="bullet"/>
      <w:lvlText w:val=""/>
      <w:lvlJc w:val="left"/>
      <w:pPr>
        <w:ind w:left="2880" w:hanging="360"/>
      </w:pPr>
      <w:rPr>
        <w:rFonts w:ascii="Symbol" w:hAnsi="Symbol" w:hint="default"/>
      </w:rPr>
    </w:lvl>
    <w:lvl w:ilvl="4" w:tplc="8B0CE78E">
      <w:start w:val="1"/>
      <w:numFmt w:val="bullet"/>
      <w:lvlText w:val="o"/>
      <w:lvlJc w:val="left"/>
      <w:pPr>
        <w:ind w:left="3600" w:hanging="360"/>
      </w:pPr>
      <w:rPr>
        <w:rFonts w:ascii="Courier New" w:hAnsi="Courier New" w:hint="default"/>
      </w:rPr>
    </w:lvl>
    <w:lvl w:ilvl="5" w:tplc="CC6AAC7C">
      <w:start w:val="1"/>
      <w:numFmt w:val="bullet"/>
      <w:lvlText w:val=""/>
      <w:lvlJc w:val="left"/>
      <w:pPr>
        <w:ind w:left="4320" w:hanging="360"/>
      </w:pPr>
      <w:rPr>
        <w:rFonts w:ascii="Wingdings" w:hAnsi="Wingdings" w:hint="default"/>
      </w:rPr>
    </w:lvl>
    <w:lvl w:ilvl="6" w:tplc="7DBC0214">
      <w:start w:val="1"/>
      <w:numFmt w:val="bullet"/>
      <w:lvlText w:val=""/>
      <w:lvlJc w:val="left"/>
      <w:pPr>
        <w:ind w:left="5040" w:hanging="360"/>
      </w:pPr>
      <w:rPr>
        <w:rFonts w:ascii="Symbol" w:hAnsi="Symbol" w:hint="default"/>
      </w:rPr>
    </w:lvl>
    <w:lvl w:ilvl="7" w:tplc="1414900E">
      <w:start w:val="1"/>
      <w:numFmt w:val="bullet"/>
      <w:lvlText w:val="o"/>
      <w:lvlJc w:val="left"/>
      <w:pPr>
        <w:ind w:left="5760" w:hanging="360"/>
      </w:pPr>
      <w:rPr>
        <w:rFonts w:ascii="Courier New" w:hAnsi="Courier New" w:hint="default"/>
      </w:rPr>
    </w:lvl>
    <w:lvl w:ilvl="8" w:tplc="EDDA4E82">
      <w:start w:val="1"/>
      <w:numFmt w:val="bullet"/>
      <w:lvlText w:val=""/>
      <w:lvlJc w:val="left"/>
      <w:pPr>
        <w:ind w:left="6480" w:hanging="360"/>
      </w:pPr>
      <w:rPr>
        <w:rFonts w:ascii="Wingdings" w:hAnsi="Wingdings" w:hint="default"/>
      </w:rPr>
    </w:lvl>
  </w:abstractNum>
  <w:abstractNum w:abstractNumId="2" w15:restartNumberingAfterBreak="0">
    <w:nsid w:val="04D51553"/>
    <w:multiLevelType w:val="hybridMultilevel"/>
    <w:tmpl w:val="6332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924AF"/>
    <w:multiLevelType w:val="multilevel"/>
    <w:tmpl w:val="2F8EDCB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D2CB3"/>
    <w:multiLevelType w:val="hybridMultilevel"/>
    <w:tmpl w:val="13A26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52AF3"/>
    <w:multiLevelType w:val="multilevel"/>
    <w:tmpl w:val="EF74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D5F83"/>
    <w:multiLevelType w:val="hybridMultilevel"/>
    <w:tmpl w:val="D87A69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CF5143"/>
    <w:multiLevelType w:val="multilevel"/>
    <w:tmpl w:val="72B8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0FD4"/>
    <w:multiLevelType w:val="multilevel"/>
    <w:tmpl w:val="B2888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4D4833"/>
    <w:multiLevelType w:val="multilevel"/>
    <w:tmpl w:val="3FF29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42A2"/>
    <w:multiLevelType w:val="hybridMultilevel"/>
    <w:tmpl w:val="B77CB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F18E4"/>
    <w:multiLevelType w:val="multilevel"/>
    <w:tmpl w:val="ACCA4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7"/>
      <w:numFmt w:val="decimal"/>
      <w:lvlText w:val="%3."/>
      <w:lvlJc w:val="left"/>
      <w:pPr>
        <w:ind w:left="2295" w:hanging="495"/>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160A1"/>
    <w:multiLevelType w:val="multilevel"/>
    <w:tmpl w:val="8D4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F5A69"/>
    <w:multiLevelType w:val="hybridMultilevel"/>
    <w:tmpl w:val="BEB22BE0"/>
    <w:lvl w:ilvl="0" w:tplc="B4A23B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83772"/>
    <w:multiLevelType w:val="multilevel"/>
    <w:tmpl w:val="882A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D7833"/>
    <w:multiLevelType w:val="hybridMultilevel"/>
    <w:tmpl w:val="4DF636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1FA7AF5"/>
    <w:multiLevelType w:val="hybridMultilevel"/>
    <w:tmpl w:val="97C26B9A"/>
    <w:lvl w:ilvl="0" w:tplc="85B8762E">
      <w:start w:val="1"/>
      <w:numFmt w:val="decimal"/>
      <w:lvlText w:val="%1."/>
      <w:lvlJc w:val="left"/>
      <w:pPr>
        <w:ind w:left="36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3D44C8"/>
    <w:multiLevelType w:val="multilevel"/>
    <w:tmpl w:val="D01C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110EE"/>
    <w:multiLevelType w:val="hybridMultilevel"/>
    <w:tmpl w:val="7FAE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F04E7"/>
    <w:multiLevelType w:val="hybridMultilevel"/>
    <w:tmpl w:val="A486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C35D2"/>
    <w:multiLevelType w:val="multilevel"/>
    <w:tmpl w:val="E304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77F91"/>
    <w:multiLevelType w:val="hybridMultilevel"/>
    <w:tmpl w:val="497E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F74B3"/>
    <w:multiLevelType w:val="multilevel"/>
    <w:tmpl w:val="A8BE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8800D4C"/>
    <w:multiLevelType w:val="multilevel"/>
    <w:tmpl w:val="7AD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E2168F"/>
    <w:multiLevelType w:val="multilevel"/>
    <w:tmpl w:val="2B5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85987"/>
    <w:multiLevelType w:val="multilevel"/>
    <w:tmpl w:val="A6E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31F4F"/>
    <w:multiLevelType w:val="hybridMultilevel"/>
    <w:tmpl w:val="59E4D196"/>
    <w:lvl w:ilvl="0" w:tplc="E996C90A">
      <w:start w:val="1"/>
      <w:numFmt w:val="decimal"/>
      <w:lvlText w:val="%1."/>
      <w:lvlJc w:val="left"/>
      <w:pPr>
        <w:ind w:left="360" w:hanging="360"/>
      </w:pPr>
      <w:rPr>
        <w:b/>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961F2"/>
    <w:multiLevelType w:val="hybridMultilevel"/>
    <w:tmpl w:val="A8D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75C43"/>
    <w:multiLevelType w:val="hybridMultilevel"/>
    <w:tmpl w:val="8874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21C19"/>
    <w:multiLevelType w:val="multilevel"/>
    <w:tmpl w:val="94D664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587C657C"/>
    <w:multiLevelType w:val="multilevel"/>
    <w:tmpl w:val="409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56A57"/>
    <w:multiLevelType w:val="multilevel"/>
    <w:tmpl w:val="8FA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7B1C1A"/>
    <w:multiLevelType w:val="multilevel"/>
    <w:tmpl w:val="8DCE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D4FFC"/>
    <w:multiLevelType w:val="multilevel"/>
    <w:tmpl w:val="90A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A420A"/>
    <w:multiLevelType w:val="hybridMultilevel"/>
    <w:tmpl w:val="B77CB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9776A9"/>
    <w:multiLevelType w:val="multilevel"/>
    <w:tmpl w:val="FFE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CA5D2C"/>
    <w:multiLevelType w:val="hybridMultilevel"/>
    <w:tmpl w:val="64E8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CA5FA9"/>
    <w:multiLevelType w:val="hybridMultilevel"/>
    <w:tmpl w:val="689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32EDA"/>
    <w:multiLevelType w:val="hybridMultilevel"/>
    <w:tmpl w:val="322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40144"/>
    <w:multiLevelType w:val="multilevel"/>
    <w:tmpl w:val="60D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C10D14"/>
    <w:multiLevelType w:val="multilevel"/>
    <w:tmpl w:val="E6F00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CF1CCB"/>
    <w:multiLevelType w:val="multilevel"/>
    <w:tmpl w:val="08CE488C"/>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575" w:hanging="49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229293">
    <w:abstractNumId w:val="37"/>
  </w:num>
  <w:num w:numId="2" w16cid:durableId="1750686603">
    <w:abstractNumId w:val="45"/>
  </w:num>
  <w:num w:numId="3" w16cid:durableId="1188561197">
    <w:abstractNumId w:val="38"/>
  </w:num>
  <w:num w:numId="4" w16cid:durableId="1029836393">
    <w:abstractNumId w:val="28"/>
  </w:num>
  <w:num w:numId="5" w16cid:durableId="237518126">
    <w:abstractNumId w:val="16"/>
  </w:num>
  <w:num w:numId="6" w16cid:durableId="993728310">
    <w:abstractNumId w:val="44"/>
  </w:num>
  <w:num w:numId="7" w16cid:durableId="921259893">
    <w:abstractNumId w:val="24"/>
  </w:num>
  <w:num w:numId="8" w16cid:durableId="2028556402">
    <w:abstractNumId w:val="23"/>
  </w:num>
  <w:num w:numId="9" w16cid:durableId="1141001217">
    <w:abstractNumId w:val="2"/>
  </w:num>
  <w:num w:numId="10" w16cid:durableId="2145393182">
    <w:abstractNumId w:val="19"/>
  </w:num>
  <w:num w:numId="11" w16cid:durableId="179047662">
    <w:abstractNumId w:val="3"/>
  </w:num>
  <w:num w:numId="12" w16cid:durableId="712192198">
    <w:abstractNumId w:val="14"/>
  </w:num>
  <w:num w:numId="13" w16cid:durableId="1351682887">
    <w:abstractNumId w:val="25"/>
  </w:num>
  <w:num w:numId="14" w16cid:durableId="637685330">
    <w:abstractNumId w:val="22"/>
  </w:num>
  <w:num w:numId="15" w16cid:durableId="1305890382">
    <w:abstractNumId w:val="32"/>
  </w:num>
  <w:num w:numId="16" w16cid:durableId="1719621731">
    <w:abstractNumId w:val="27"/>
  </w:num>
  <w:num w:numId="17" w16cid:durableId="1066683948">
    <w:abstractNumId w:val="35"/>
  </w:num>
  <w:num w:numId="18" w16cid:durableId="1829133593">
    <w:abstractNumId w:val="34"/>
  </w:num>
  <w:num w:numId="19" w16cid:durableId="1629238565">
    <w:abstractNumId w:val="9"/>
  </w:num>
  <w:num w:numId="20" w16cid:durableId="68427066">
    <w:abstractNumId w:val="7"/>
  </w:num>
  <w:num w:numId="21" w16cid:durableId="492379027">
    <w:abstractNumId w:val="39"/>
  </w:num>
  <w:num w:numId="22" w16cid:durableId="973800823">
    <w:abstractNumId w:val="5"/>
  </w:num>
  <w:num w:numId="23" w16cid:durableId="711728921">
    <w:abstractNumId w:val="33"/>
  </w:num>
  <w:num w:numId="24" w16cid:durableId="362749995">
    <w:abstractNumId w:val="12"/>
  </w:num>
  <w:num w:numId="25" w16cid:durableId="466515199">
    <w:abstractNumId w:val="20"/>
  </w:num>
  <w:num w:numId="26" w16cid:durableId="377824866">
    <w:abstractNumId w:val="26"/>
  </w:num>
  <w:num w:numId="27" w16cid:durableId="1799101524">
    <w:abstractNumId w:val="11"/>
  </w:num>
  <w:num w:numId="28" w16cid:durableId="1383752401">
    <w:abstractNumId w:val="47"/>
  </w:num>
  <w:num w:numId="29" w16cid:durableId="1959794395">
    <w:abstractNumId w:val="46"/>
  </w:num>
  <w:num w:numId="30" w16cid:durableId="8214875">
    <w:abstractNumId w:val="43"/>
  </w:num>
  <w:num w:numId="31" w16cid:durableId="849026173">
    <w:abstractNumId w:val="4"/>
  </w:num>
  <w:num w:numId="32" w16cid:durableId="1153520008">
    <w:abstractNumId w:val="17"/>
  </w:num>
  <w:num w:numId="33" w16cid:durableId="156500437">
    <w:abstractNumId w:val="0"/>
  </w:num>
  <w:num w:numId="34" w16cid:durableId="701319774">
    <w:abstractNumId w:val="18"/>
  </w:num>
  <w:num w:numId="35" w16cid:durableId="2013146410">
    <w:abstractNumId w:val="41"/>
  </w:num>
  <w:num w:numId="36" w16cid:durableId="438573066">
    <w:abstractNumId w:val="13"/>
  </w:num>
  <w:num w:numId="37" w16cid:durableId="419956895">
    <w:abstractNumId w:val="40"/>
  </w:num>
  <w:num w:numId="38" w16cid:durableId="285551133">
    <w:abstractNumId w:val="29"/>
  </w:num>
  <w:num w:numId="39" w16cid:durableId="80566920">
    <w:abstractNumId w:val="30"/>
  </w:num>
  <w:num w:numId="40" w16cid:durableId="495802142">
    <w:abstractNumId w:val="42"/>
  </w:num>
  <w:num w:numId="41" w16cid:durableId="1035276707">
    <w:abstractNumId w:val="36"/>
  </w:num>
  <w:num w:numId="42" w16cid:durableId="279144713">
    <w:abstractNumId w:val="10"/>
  </w:num>
  <w:num w:numId="43" w16cid:durableId="1423641287">
    <w:abstractNumId w:val="15"/>
  </w:num>
  <w:num w:numId="44" w16cid:durableId="546767105">
    <w:abstractNumId w:val="21"/>
  </w:num>
  <w:num w:numId="45" w16cid:durableId="324475869">
    <w:abstractNumId w:val="6"/>
  </w:num>
  <w:num w:numId="46" w16cid:durableId="45760905">
    <w:abstractNumId w:val="1"/>
  </w:num>
  <w:num w:numId="47" w16cid:durableId="85153996">
    <w:abstractNumId w:val="31"/>
  </w:num>
  <w:num w:numId="48" w16cid:durableId="1939678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7750139">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10B2"/>
    <w:rsid w:val="00002160"/>
    <w:rsid w:val="000022F7"/>
    <w:rsid w:val="00002CE0"/>
    <w:rsid w:val="000035A8"/>
    <w:rsid w:val="00003799"/>
    <w:rsid w:val="00003F1D"/>
    <w:rsid w:val="00003F44"/>
    <w:rsid w:val="0000465B"/>
    <w:rsid w:val="00005E30"/>
    <w:rsid w:val="000125A6"/>
    <w:rsid w:val="00014CDC"/>
    <w:rsid w:val="00015374"/>
    <w:rsid w:val="000153CC"/>
    <w:rsid w:val="0001613C"/>
    <w:rsid w:val="00016EFF"/>
    <w:rsid w:val="000170A0"/>
    <w:rsid w:val="000170BC"/>
    <w:rsid w:val="00017245"/>
    <w:rsid w:val="000176FA"/>
    <w:rsid w:val="00017D07"/>
    <w:rsid w:val="00025870"/>
    <w:rsid w:val="00026549"/>
    <w:rsid w:val="00027601"/>
    <w:rsid w:val="00027BFD"/>
    <w:rsid w:val="00030032"/>
    <w:rsid w:val="0003073B"/>
    <w:rsid w:val="00030DCE"/>
    <w:rsid w:val="00032083"/>
    <w:rsid w:val="00032DC3"/>
    <w:rsid w:val="0003315B"/>
    <w:rsid w:val="00034436"/>
    <w:rsid w:val="00034ACA"/>
    <w:rsid w:val="00035A5B"/>
    <w:rsid w:val="00035B59"/>
    <w:rsid w:val="00037367"/>
    <w:rsid w:val="00037697"/>
    <w:rsid w:val="000377C5"/>
    <w:rsid w:val="00037EC8"/>
    <w:rsid w:val="000418D2"/>
    <w:rsid w:val="000423BB"/>
    <w:rsid w:val="0004261D"/>
    <w:rsid w:val="00042E53"/>
    <w:rsid w:val="0004336C"/>
    <w:rsid w:val="000436AE"/>
    <w:rsid w:val="00043977"/>
    <w:rsid w:val="000466C3"/>
    <w:rsid w:val="00046E2E"/>
    <w:rsid w:val="00047DBE"/>
    <w:rsid w:val="00050885"/>
    <w:rsid w:val="0005139A"/>
    <w:rsid w:val="00051491"/>
    <w:rsid w:val="00051626"/>
    <w:rsid w:val="000524AC"/>
    <w:rsid w:val="000528A6"/>
    <w:rsid w:val="000538B9"/>
    <w:rsid w:val="0005424C"/>
    <w:rsid w:val="00057ECA"/>
    <w:rsid w:val="00060811"/>
    <w:rsid w:val="00061EB9"/>
    <w:rsid w:val="00062940"/>
    <w:rsid w:val="00063A8C"/>
    <w:rsid w:val="000643AC"/>
    <w:rsid w:val="00064CE2"/>
    <w:rsid w:val="00065D70"/>
    <w:rsid w:val="00067CB7"/>
    <w:rsid w:val="00070396"/>
    <w:rsid w:val="00070686"/>
    <w:rsid w:val="00071589"/>
    <w:rsid w:val="000721F2"/>
    <w:rsid w:val="00072738"/>
    <w:rsid w:val="0007432C"/>
    <w:rsid w:val="00074A8E"/>
    <w:rsid w:val="00076415"/>
    <w:rsid w:val="0007780E"/>
    <w:rsid w:val="0007782A"/>
    <w:rsid w:val="0008010B"/>
    <w:rsid w:val="000804A7"/>
    <w:rsid w:val="000804DF"/>
    <w:rsid w:val="00080C14"/>
    <w:rsid w:val="00080E74"/>
    <w:rsid w:val="00080F08"/>
    <w:rsid w:val="00080FA5"/>
    <w:rsid w:val="00081659"/>
    <w:rsid w:val="000818D8"/>
    <w:rsid w:val="00082BDE"/>
    <w:rsid w:val="000865CE"/>
    <w:rsid w:val="00086C70"/>
    <w:rsid w:val="00087FE2"/>
    <w:rsid w:val="00091799"/>
    <w:rsid w:val="00091B9B"/>
    <w:rsid w:val="00091C0E"/>
    <w:rsid w:val="000923C5"/>
    <w:rsid w:val="000927CE"/>
    <w:rsid w:val="00092A59"/>
    <w:rsid w:val="00093FC8"/>
    <w:rsid w:val="0009585E"/>
    <w:rsid w:val="000971E7"/>
    <w:rsid w:val="000A0E95"/>
    <w:rsid w:val="000A0F17"/>
    <w:rsid w:val="000A10AD"/>
    <w:rsid w:val="000A19C6"/>
    <w:rsid w:val="000A2840"/>
    <w:rsid w:val="000A415E"/>
    <w:rsid w:val="000A432F"/>
    <w:rsid w:val="000A518E"/>
    <w:rsid w:val="000A55A1"/>
    <w:rsid w:val="000A5CDB"/>
    <w:rsid w:val="000A6526"/>
    <w:rsid w:val="000A6797"/>
    <w:rsid w:val="000A6F5C"/>
    <w:rsid w:val="000A7323"/>
    <w:rsid w:val="000A739D"/>
    <w:rsid w:val="000A765B"/>
    <w:rsid w:val="000A7811"/>
    <w:rsid w:val="000A7D91"/>
    <w:rsid w:val="000A7EEF"/>
    <w:rsid w:val="000A7F23"/>
    <w:rsid w:val="000B0B77"/>
    <w:rsid w:val="000B23B0"/>
    <w:rsid w:val="000B2555"/>
    <w:rsid w:val="000B27F5"/>
    <w:rsid w:val="000B42B4"/>
    <w:rsid w:val="000B4506"/>
    <w:rsid w:val="000B4ABA"/>
    <w:rsid w:val="000B6024"/>
    <w:rsid w:val="000B67EE"/>
    <w:rsid w:val="000B6F86"/>
    <w:rsid w:val="000B6F97"/>
    <w:rsid w:val="000B700D"/>
    <w:rsid w:val="000B7B7E"/>
    <w:rsid w:val="000B7C84"/>
    <w:rsid w:val="000C0292"/>
    <w:rsid w:val="000C0FC6"/>
    <w:rsid w:val="000C0FD5"/>
    <w:rsid w:val="000C1157"/>
    <w:rsid w:val="000C1B0F"/>
    <w:rsid w:val="000C2404"/>
    <w:rsid w:val="000C2FB2"/>
    <w:rsid w:val="000C38C1"/>
    <w:rsid w:val="000C4C05"/>
    <w:rsid w:val="000C538D"/>
    <w:rsid w:val="000C61F8"/>
    <w:rsid w:val="000C6E71"/>
    <w:rsid w:val="000C709F"/>
    <w:rsid w:val="000C7250"/>
    <w:rsid w:val="000C76B5"/>
    <w:rsid w:val="000C7AAD"/>
    <w:rsid w:val="000D0ACF"/>
    <w:rsid w:val="000D169C"/>
    <w:rsid w:val="000D2243"/>
    <w:rsid w:val="000D2562"/>
    <w:rsid w:val="000D2B6C"/>
    <w:rsid w:val="000D33F9"/>
    <w:rsid w:val="000D35C4"/>
    <w:rsid w:val="000D36CC"/>
    <w:rsid w:val="000D397A"/>
    <w:rsid w:val="000D4DEF"/>
    <w:rsid w:val="000D4E0C"/>
    <w:rsid w:val="000D5F93"/>
    <w:rsid w:val="000D61E6"/>
    <w:rsid w:val="000D62EF"/>
    <w:rsid w:val="000D70E6"/>
    <w:rsid w:val="000D783B"/>
    <w:rsid w:val="000E03BF"/>
    <w:rsid w:val="000E2006"/>
    <w:rsid w:val="000E25B4"/>
    <w:rsid w:val="000E2F4B"/>
    <w:rsid w:val="000E452B"/>
    <w:rsid w:val="000E66ED"/>
    <w:rsid w:val="000E6F90"/>
    <w:rsid w:val="000F0382"/>
    <w:rsid w:val="000F175E"/>
    <w:rsid w:val="000F224A"/>
    <w:rsid w:val="000F2971"/>
    <w:rsid w:val="000F2BA6"/>
    <w:rsid w:val="000F33F1"/>
    <w:rsid w:val="000F3616"/>
    <w:rsid w:val="000F5155"/>
    <w:rsid w:val="000F699D"/>
    <w:rsid w:val="000F6B43"/>
    <w:rsid w:val="000F6EAD"/>
    <w:rsid w:val="000F7785"/>
    <w:rsid w:val="001004C5"/>
    <w:rsid w:val="001004FD"/>
    <w:rsid w:val="00100A34"/>
    <w:rsid w:val="0010171D"/>
    <w:rsid w:val="00101742"/>
    <w:rsid w:val="00102357"/>
    <w:rsid w:val="001025C2"/>
    <w:rsid w:val="00102733"/>
    <w:rsid w:val="00102A10"/>
    <w:rsid w:val="00104158"/>
    <w:rsid w:val="00104700"/>
    <w:rsid w:val="001048A5"/>
    <w:rsid w:val="00105B0D"/>
    <w:rsid w:val="00105D61"/>
    <w:rsid w:val="001074CF"/>
    <w:rsid w:val="00107623"/>
    <w:rsid w:val="00111095"/>
    <w:rsid w:val="0011196D"/>
    <w:rsid w:val="00111FFD"/>
    <w:rsid w:val="0011294C"/>
    <w:rsid w:val="00112F84"/>
    <w:rsid w:val="001144B0"/>
    <w:rsid w:val="00114581"/>
    <w:rsid w:val="00114686"/>
    <w:rsid w:val="001149D1"/>
    <w:rsid w:val="00114A07"/>
    <w:rsid w:val="00114CD7"/>
    <w:rsid w:val="00114DA9"/>
    <w:rsid w:val="001151C6"/>
    <w:rsid w:val="00115268"/>
    <w:rsid w:val="00115575"/>
    <w:rsid w:val="0011699F"/>
    <w:rsid w:val="00116B10"/>
    <w:rsid w:val="00116C0D"/>
    <w:rsid w:val="00116DFC"/>
    <w:rsid w:val="00116F0B"/>
    <w:rsid w:val="001177D0"/>
    <w:rsid w:val="00120320"/>
    <w:rsid w:val="001205D2"/>
    <w:rsid w:val="00120F06"/>
    <w:rsid w:val="00121146"/>
    <w:rsid w:val="0012245F"/>
    <w:rsid w:val="00123CDF"/>
    <w:rsid w:val="001242F8"/>
    <w:rsid w:val="00125322"/>
    <w:rsid w:val="00125989"/>
    <w:rsid w:val="00125FB1"/>
    <w:rsid w:val="00126670"/>
    <w:rsid w:val="001266DF"/>
    <w:rsid w:val="001268D6"/>
    <w:rsid w:val="00126CFA"/>
    <w:rsid w:val="00131C2E"/>
    <w:rsid w:val="00132498"/>
    <w:rsid w:val="00133672"/>
    <w:rsid w:val="001353CD"/>
    <w:rsid w:val="0013641A"/>
    <w:rsid w:val="00136E13"/>
    <w:rsid w:val="00137B42"/>
    <w:rsid w:val="00140369"/>
    <w:rsid w:val="00140C1B"/>
    <w:rsid w:val="001417CA"/>
    <w:rsid w:val="00141903"/>
    <w:rsid w:val="00141B78"/>
    <w:rsid w:val="00142016"/>
    <w:rsid w:val="001434A2"/>
    <w:rsid w:val="00144388"/>
    <w:rsid w:val="00144A55"/>
    <w:rsid w:val="00145182"/>
    <w:rsid w:val="00146BFD"/>
    <w:rsid w:val="00146FFE"/>
    <w:rsid w:val="001471B4"/>
    <w:rsid w:val="001475D1"/>
    <w:rsid w:val="00147C65"/>
    <w:rsid w:val="00150BF5"/>
    <w:rsid w:val="00151431"/>
    <w:rsid w:val="001518B5"/>
    <w:rsid w:val="00151C16"/>
    <w:rsid w:val="00151E26"/>
    <w:rsid w:val="00152BD4"/>
    <w:rsid w:val="001534B6"/>
    <w:rsid w:val="00153E43"/>
    <w:rsid w:val="00154199"/>
    <w:rsid w:val="00155581"/>
    <w:rsid w:val="00156E8D"/>
    <w:rsid w:val="00156F23"/>
    <w:rsid w:val="0016048E"/>
    <w:rsid w:val="001606B0"/>
    <w:rsid w:val="00160CD8"/>
    <w:rsid w:val="001616A3"/>
    <w:rsid w:val="00161D5D"/>
    <w:rsid w:val="00161D68"/>
    <w:rsid w:val="001625D3"/>
    <w:rsid w:val="00162D2B"/>
    <w:rsid w:val="00163104"/>
    <w:rsid w:val="00163151"/>
    <w:rsid w:val="001636F8"/>
    <w:rsid w:val="00163B0B"/>
    <w:rsid w:val="00165C32"/>
    <w:rsid w:val="00165F24"/>
    <w:rsid w:val="00166E22"/>
    <w:rsid w:val="001705C2"/>
    <w:rsid w:val="00170701"/>
    <w:rsid w:val="00170856"/>
    <w:rsid w:val="00170C6F"/>
    <w:rsid w:val="0017101E"/>
    <w:rsid w:val="00172009"/>
    <w:rsid w:val="001726D4"/>
    <w:rsid w:val="00173940"/>
    <w:rsid w:val="00174769"/>
    <w:rsid w:val="00174849"/>
    <w:rsid w:val="00175EFA"/>
    <w:rsid w:val="0017699F"/>
    <w:rsid w:val="00177DB7"/>
    <w:rsid w:val="001800FA"/>
    <w:rsid w:val="001806CF"/>
    <w:rsid w:val="00181040"/>
    <w:rsid w:val="001813F3"/>
    <w:rsid w:val="00181996"/>
    <w:rsid w:val="00183126"/>
    <w:rsid w:val="001839F5"/>
    <w:rsid w:val="00183E49"/>
    <w:rsid w:val="00183EA3"/>
    <w:rsid w:val="00183F84"/>
    <w:rsid w:val="001840F9"/>
    <w:rsid w:val="00184139"/>
    <w:rsid w:val="0018498D"/>
    <w:rsid w:val="00184FC2"/>
    <w:rsid w:val="001851A8"/>
    <w:rsid w:val="001854F0"/>
    <w:rsid w:val="0018563A"/>
    <w:rsid w:val="001857B3"/>
    <w:rsid w:val="00185A38"/>
    <w:rsid w:val="00185D36"/>
    <w:rsid w:val="00190274"/>
    <w:rsid w:val="00190B89"/>
    <w:rsid w:val="00190CC6"/>
    <w:rsid w:val="001910AC"/>
    <w:rsid w:val="001926F2"/>
    <w:rsid w:val="0019361D"/>
    <w:rsid w:val="00193C40"/>
    <w:rsid w:val="0019412C"/>
    <w:rsid w:val="001A2550"/>
    <w:rsid w:val="001A2784"/>
    <w:rsid w:val="001A300D"/>
    <w:rsid w:val="001A3B5C"/>
    <w:rsid w:val="001A3CC6"/>
    <w:rsid w:val="001A411D"/>
    <w:rsid w:val="001A4538"/>
    <w:rsid w:val="001A4AC1"/>
    <w:rsid w:val="001A5236"/>
    <w:rsid w:val="001A5656"/>
    <w:rsid w:val="001A5B96"/>
    <w:rsid w:val="001A5F4B"/>
    <w:rsid w:val="001A5F90"/>
    <w:rsid w:val="001A6CBF"/>
    <w:rsid w:val="001A7B3D"/>
    <w:rsid w:val="001A7BA2"/>
    <w:rsid w:val="001B00F0"/>
    <w:rsid w:val="001B1ED2"/>
    <w:rsid w:val="001B3328"/>
    <w:rsid w:val="001B3353"/>
    <w:rsid w:val="001B36E8"/>
    <w:rsid w:val="001B3880"/>
    <w:rsid w:val="001B4ED8"/>
    <w:rsid w:val="001B6BB2"/>
    <w:rsid w:val="001B6E4A"/>
    <w:rsid w:val="001B7722"/>
    <w:rsid w:val="001B7F12"/>
    <w:rsid w:val="001B7FC4"/>
    <w:rsid w:val="001C27E4"/>
    <w:rsid w:val="001C31C1"/>
    <w:rsid w:val="001C3B79"/>
    <w:rsid w:val="001C402E"/>
    <w:rsid w:val="001C4AE5"/>
    <w:rsid w:val="001C5F1D"/>
    <w:rsid w:val="001C64AF"/>
    <w:rsid w:val="001C664F"/>
    <w:rsid w:val="001C7293"/>
    <w:rsid w:val="001C7B2C"/>
    <w:rsid w:val="001C7E8B"/>
    <w:rsid w:val="001D1E90"/>
    <w:rsid w:val="001D273A"/>
    <w:rsid w:val="001D352B"/>
    <w:rsid w:val="001D3839"/>
    <w:rsid w:val="001D3AC9"/>
    <w:rsid w:val="001D471B"/>
    <w:rsid w:val="001D51CF"/>
    <w:rsid w:val="001D51F6"/>
    <w:rsid w:val="001D5839"/>
    <w:rsid w:val="001D5A69"/>
    <w:rsid w:val="001D72BB"/>
    <w:rsid w:val="001D75C6"/>
    <w:rsid w:val="001D767E"/>
    <w:rsid w:val="001D7B64"/>
    <w:rsid w:val="001D7C8D"/>
    <w:rsid w:val="001D7FEF"/>
    <w:rsid w:val="001E0DF6"/>
    <w:rsid w:val="001E179D"/>
    <w:rsid w:val="001E18F0"/>
    <w:rsid w:val="001E286D"/>
    <w:rsid w:val="001E2CE6"/>
    <w:rsid w:val="001E3200"/>
    <w:rsid w:val="001E3A4E"/>
    <w:rsid w:val="001E3C67"/>
    <w:rsid w:val="001E3D8E"/>
    <w:rsid w:val="001E4C66"/>
    <w:rsid w:val="001E5299"/>
    <w:rsid w:val="001E6948"/>
    <w:rsid w:val="001E698F"/>
    <w:rsid w:val="001E7637"/>
    <w:rsid w:val="001F0881"/>
    <w:rsid w:val="001F1A0B"/>
    <w:rsid w:val="001F2551"/>
    <w:rsid w:val="001F28E8"/>
    <w:rsid w:val="001F33DF"/>
    <w:rsid w:val="001F686E"/>
    <w:rsid w:val="001F6A3C"/>
    <w:rsid w:val="001F6A7C"/>
    <w:rsid w:val="001F71D7"/>
    <w:rsid w:val="00203228"/>
    <w:rsid w:val="002035A0"/>
    <w:rsid w:val="00203A2B"/>
    <w:rsid w:val="00204A13"/>
    <w:rsid w:val="00205136"/>
    <w:rsid w:val="00205281"/>
    <w:rsid w:val="002053ED"/>
    <w:rsid w:val="00205D9A"/>
    <w:rsid w:val="00205F23"/>
    <w:rsid w:val="0020640C"/>
    <w:rsid w:val="002105F0"/>
    <w:rsid w:val="002107B6"/>
    <w:rsid w:val="00211D50"/>
    <w:rsid w:val="00212094"/>
    <w:rsid w:val="002122B2"/>
    <w:rsid w:val="00212463"/>
    <w:rsid w:val="00212DA6"/>
    <w:rsid w:val="002147DD"/>
    <w:rsid w:val="0021491D"/>
    <w:rsid w:val="00216033"/>
    <w:rsid w:val="002161B5"/>
    <w:rsid w:val="00216646"/>
    <w:rsid w:val="0021709C"/>
    <w:rsid w:val="002209D2"/>
    <w:rsid w:val="00220E70"/>
    <w:rsid w:val="00221DFF"/>
    <w:rsid w:val="0022202E"/>
    <w:rsid w:val="002221BD"/>
    <w:rsid w:val="002222D1"/>
    <w:rsid w:val="00223C84"/>
    <w:rsid w:val="002245CF"/>
    <w:rsid w:val="00224691"/>
    <w:rsid w:val="00225537"/>
    <w:rsid w:val="00225824"/>
    <w:rsid w:val="00225FDB"/>
    <w:rsid w:val="0023010E"/>
    <w:rsid w:val="00230159"/>
    <w:rsid w:val="00231310"/>
    <w:rsid w:val="002317F4"/>
    <w:rsid w:val="00232580"/>
    <w:rsid w:val="00232B90"/>
    <w:rsid w:val="0023359C"/>
    <w:rsid w:val="002338EF"/>
    <w:rsid w:val="00234BF5"/>
    <w:rsid w:val="00235863"/>
    <w:rsid w:val="00237114"/>
    <w:rsid w:val="00237D1D"/>
    <w:rsid w:val="00240C00"/>
    <w:rsid w:val="00240C64"/>
    <w:rsid w:val="00241516"/>
    <w:rsid w:val="00241DBB"/>
    <w:rsid w:val="00243548"/>
    <w:rsid w:val="00243721"/>
    <w:rsid w:val="00244250"/>
    <w:rsid w:val="00244AA4"/>
    <w:rsid w:val="00245443"/>
    <w:rsid w:val="00245F2E"/>
    <w:rsid w:val="0024630E"/>
    <w:rsid w:val="0025160A"/>
    <w:rsid w:val="00251A2B"/>
    <w:rsid w:val="0025224B"/>
    <w:rsid w:val="00252288"/>
    <w:rsid w:val="0025250B"/>
    <w:rsid w:val="00252656"/>
    <w:rsid w:val="00252844"/>
    <w:rsid w:val="002528E2"/>
    <w:rsid w:val="00252AA5"/>
    <w:rsid w:val="00252F89"/>
    <w:rsid w:val="002531E9"/>
    <w:rsid w:val="002536BC"/>
    <w:rsid w:val="00254525"/>
    <w:rsid w:val="00254AD0"/>
    <w:rsid w:val="0025500A"/>
    <w:rsid w:val="00255286"/>
    <w:rsid w:val="00255AE1"/>
    <w:rsid w:val="00255B60"/>
    <w:rsid w:val="0025764E"/>
    <w:rsid w:val="00257869"/>
    <w:rsid w:val="002652A9"/>
    <w:rsid w:val="00265F3F"/>
    <w:rsid w:val="00270598"/>
    <w:rsid w:val="00270692"/>
    <w:rsid w:val="00270EF8"/>
    <w:rsid w:val="00271FB4"/>
    <w:rsid w:val="00271FC1"/>
    <w:rsid w:val="00272074"/>
    <w:rsid w:val="00272B43"/>
    <w:rsid w:val="00272FFE"/>
    <w:rsid w:val="002737A5"/>
    <w:rsid w:val="00273FCA"/>
    <w:rsid w:val="002749D2"/>
    <w:rsid w:val="00275BFC"/>
    <w:rsid w:val="002760A2"/>
    <w:rsid w:val="002762FF"/>
    <w:rsid w:val="002763BB"/>
    <w:rsid w:val="002763E4"/>
    <w:rsid w:val="00280A1E"/>
    <w:rsid w:val="00280F84"/>
    <w:rsid w:val="00281616"/>
    <w:rsid w:val="00281AFA"/>
    <w:rsid w:val="0028222E"/>
    <w:rsid w:val="00282B01"/>
    <w:rsid w:val="00283FBA"/>
    <w:rsid w:val="002840CF"/>
    <w:rsid w:val="00284777"/>
    <w:rsid w:val="00284CD3"/>
    <w:rsid w:val="002854CB"/>
    <w:rsid w:val="00285550"/>
    <w:rsid w:val="00285740"/>
    <w:rsid w:val="00285CC7"/>
    <w:rsid w:val="00287C20"/>
    <w:rsid w:val="0029152F"/>
    <w:rsid w:val="002926A6"/>
    <w:rsid w:val="00292AC4"/>
    <w:rsid w:val="00293180"/>
    <w:rsid w:val="00294C5C"/>
    <w:rsid w:val="00295D63"/>
    <w:rsid w:val="002962E9"/>
    <w:rsid w:val="002964D2"/>
    <w:rsid w:val="002A0551"/>
    <w:rsid w:val="002A0995"/>
    <w:rsid w:val="002A147A"/>
    <w:rsid w:val="002A1BD8"/>
    <w:rsid w:val="002A2086"/>
    <w:rsid w:val="002A3695"/>
    <w:rsid w:val="002A3CCB"/>
    <w:rsid w:val="002A4CCD"/>
    <w:rsid w:val="002A54DB"/>
    <w:rsid w:val="002A5652"/>
    <w:rsid w:val="002A5EEE"/>
    <w:rsid w:val="002A6D7A"/>
    <w:rsid w:val="002A76AF"/>
    <w:rsid w:val="002A7BBA"/>
    <w:rsid w:val="002A7E9E"/>
    <w:rsid w:val="002B0668"/>
    <w:rsid w:val="002B0A14"/>
    <w:rsid w:val="002B10EA"/>
    <w:rsid w:val="002B1FD5"/>
    <w:rsid w:val="002B21B2"/>
    <w:rsid w:val="002B23C5"/>
    <w:rsid w:val="002B3E31"/>
    <w:rsid w:val="002B4971"/>
    <w:rsid w:val="002B6249"/>
    <w:rsid w:val="002B6C70"/>
    <w:rsid w:val="002B7CD4"/>
    <w:rsid w:val="002C01C1"/>
    <w:rsid w:val="002C0B5B"/>
    <w:rsid w:val="002C162B"/>
    <w:rsid w:val="002C220A"/>
    <w:rsid w:val="002C2B5B"/>
    <w:rsid w:val="002C46B2"/>
    <w:rsid w:val="002C47D2"/>
    <w:rsid w:val="002C4E41"/>
    <w:rsid w:val="002C5FF2"/>
    <w:rsid w:val="002C64AD"/>
    <w:rsid w:val="002C662D"/>
    <w:rsid w:val="002C6D19"/>
    <w:rsid w:val="002C710C"/>
    <w:rsid w:val="002C7140"/>
    <w:rsid w:val="002C76D1"/>
    <w:rsid w:val="002C7A0F"/>
    <w:rsid w:val="002C7B7A"/>
    <w:rsid w:val="002D0059"/>
    <w:rsid w:val="002D229D"/>
    <w:rsid w:val="002D24B7"/>
    <w:rsid w:val="002D2847"/>
    <w:rsid w:val="002D44B5"/>
    <w:rsid w:val="002D4A25"/>
    <w:rsid w:val="002D4BEE"/>
    <w:rsid w:val="002D4E9E"/>
    <w:rsid w:val="002D5063"/>
    <w:rsid w:val="002D5F4A"/>
    <w:rsid w:val="002D6BBD"/>
    <w:rsid w:val="002D74D4"/>
    <w:rsid w:val="002D7649"/>
    <w:rsid w:val="002D7FEE"/>
    <w:rsid w:val="002E2CA4"/>
    <w:rsid w:val="002E4729"/>
    <w:rsid w:val="002E5383"/>
    <w:rsid w:val="002E598B"/>
    <w:rsid w:val="002E6B23"/>
    <w:rsid w:val="002E7561"/>
    <w:rsid w:val="002F059D"/>
    <w:rsid w:val="002F07FC"/>
    <w:rsid w:val="002F0AA3"/>
    <w:rsid w:val="002F20BF"/>
    <w:rsid w:val="002F37AE"/>
    <w:rsid w:val="002F4A43"/>
    <w:rsid w:val="002F50EC"/>
    <w:rsid w:val="002F53C9"/>
    <w:rsid w:val="002F5C37"/>
    <w:rsid w:val="002F5F5E"/>
    <w:rsid w:val="002F65F9"/>
    <w:rsid w:val="002F6A8B"/>
    <w:rsid w:val="002F6B57"/>
    <w:rsid w:val="002F7D1E"/>
    <w:rsid w:val="003007FC"/>
    <w:rsid w:val="00300D25"/>
    <w:rsid w:val="00301874"/>
    <w:rsid w:val="00301C86"/>
    <w:rsid w:val="00301D76"/>
    <w:rsid w:val="00302146"/>
    <w:rsid w:val="003022FC"/>
    <w:rsid w:val="00302BA9"/>
    <w:rsid w:val="003047E5"/>
    <w:rsid w:val="00306D3D"/>
    <w:rsid w:val="003079A7"/>
    <w:rsid w:val="00307C24"/>
    <w:rsid w:val="003102C0"/>
    <w:rsid w:val="00311651"/>
    <w:rsid w:val="00311924"/>
    <w:rsid w:val="0031224B"/>
    <w:rsid w:val="00312B2D"/>
    <w:rsid w:val="00313693"/>
    <w:rsid w:val="0031370D"/>
    <w:rsid w:val="003138C1"/>
    <w:rsid w:val="003153FD"/>
    <w:rsid w:val="0031570D"/>
    <w:rsid w:val="003158FA"/>
    <w:rsid w:val="00316414"/>
    <w:rsid w:val="0031756A"/>
    <w:rsid w:val="00320E85"/>
    <w:rsid w:val="003210DE"/>
    <w:rsid w:val="003215A0"/>
    <w:rsid w:val="003216F3"/>
    <w:rsid w:val="00322276"/>
    <w:rsid w:val="0032262B"/>
    <w:rsid w:val="00323AD2"/>
    <w:rsid w:val="00323F85"/>
    <w:rsid w:val="003265E6"/>
    <w:rsid w:val="00326A57"/>
    <w:rsid w:val="0032737E"/>
    <w:rsid w:val="003276F4"/>
    <w:rsid w:val="00327D89"/>
    <w:rsid w:val="0033180C"/>
    <w:rsid w:val="003329A8"/>
    <w:rsid w:val="00332AA4"/>
    <w:rsid w:val="00333E2C"/>
    <w:rsid w:val="00334109"/>
    <w:rsid w:val="00334403"/>
    <w:rsid w:val="00335BFF"/>
    <w:rsid w:val="00336764"/>
    <w:rsid w:val="0033699F"/>
    <w:rsid w:val="00336CEE"/>
    <w:rsid w:val="00336EB3"/>
    <w:rsid w:val="00336F3C"/>
    <w:rsid w:val="00337266"/>
    <w:rsid w:val="00337737"/>
    <w:rsid w:val="00337AC8"/>
    <w:rsid w:val="00340FA6"/>
    <w:rsid w:val="003411D3"/>
    <w:rsid w:val="00341565"/>
    <w:rsid w:val="0034158D"/>
    <w:rsid w:val="003426BC"/>
    <w:rsid w:val="00343F98"/>
    <w:rsid w:val="00344680"/>
    <w:rsid w:val="003465C3"/>
    <w:rsid w:val="00346F8E"/>
    <w:rsid w:val="00347202"/>
    <w:rsid w:val="003479CB"/>
    <w:rsid w:val="00347A77"/>
    <w:rsid w:val="00352649"/>
    <w:rsid w:val="00354422"/>
    <w:rsid w:val="00355CF2"/>
    <w:rsid w:val="00356B6A"/>
    <w:rsid w:val="00357062"/>
    <w:rsid w:val="00357BA7"/>
    <w:rsid w:val="00357CB5"/>
    <w:rsid w:val="00361485"/>
    <w:rsid w:val="00362812"/>
    <w:rsid w:val="00363117"/>
    <w:rsid w:val="003637B5"/>
    <w:rsid w:val="00363F7D"/>
    <w:rsid w:val="0036449F"/>
    <w:rsid w:val="0036584A"/>
    <w:rsid w:val="00365F97"/>
    <w:rsid w:val="003660E4"/>
    <w:rsid w:val="0036624D"/>
    <w:rsid w:val="00366F68"/>
    <w:rsid w:val="0036748E"/>
    <w:rsid w:val="00371708"/>
    <w:rsid w:val="00372D53"/>
    <w:rsid w:val="00373810"/>
    <w:rsid w:val="003739D4"/>
    <w:rsid w:val="00375142"/>
    <w:rsid w:val="00375A3D"/>
    <w:rsid w:val="00380A65"/>
    <w:rsid w:val="00381274"/>
    <w:rsid w:val="00383073"/>
    <w:rsid w:val="003830BE"/>
    <w:rsid w:val="00383368"/>
    <w:rsid w:val="003837F5"/>
    <w:rsid w:val="00384193"/>
    <w:rsid w:val="00384D69"/>
    <w:rsid w:val="00385138"/>
    <w:rsid w:val="00385974"/>
    <w:rsid w:val="00385DD1"/>
    <w:rsid w:val="00385F07"/>
    <w:rsid w:val="00385F45"/>
    <w:rsid w:val="00387C88"/>
    <w:rsid w:val="0039072C"/>
    <w:rsid w:val="00390A17"/>
    <w:rsid w:val="0039110C"/>
    <w:rsid w:val="00391CA9"/>
    <w:rsid w:val="00392BEF"/>
    <w:rsid w:val="00392E32"/>
    <w:rsid w:val="003935BE"/>
    <w:rsid w:val="00393987"/>
    <w:rsid w:val="00394316"/>
    <w:rsid w:val="00394848"/>
    <w:rsid w:val="0039581C"/>
    <w:rsid w:val="003962F7"/>
    <w:rsid w:val="0039645F"/>
    <w:rsid w:val="00396DB5"/>
    <w:rsid w:val="003A0105"/>
    <w:rsid w:val="003A07D0"/>
    <w:rsid w:val="003A08A2"/>
    <w:rsid w:val="003A0BEE"/>
    <w:rsid w:val="003A1237"/>
    <w:rsid w:val="003A201D"/>
    <w:rsid w:val="003A21B8"/>
    <w:rsid w:val="003A21BA"/>
    <w:rsid w:val="003A4BBE"/>
    <w:rsid w:val="003A4F8F"/>
    <w:rsid w:val="003A5ECC"/>
    <w:rsid w:val="003A6343"/>
    <w:rsid w:val="003A6DC1"/>
    <w:rsid w:val="003A73A5"/>
    <w:rsid w:val="003B0E32"/>
    <w:rsid w:val="003B11F4"/>
    <w:rsid w:val="003B1515"/>
    <w:rsid w:val="003B1611"/>
    <w:rsid w:val="003B3B5E"/>
    <w:rsid w:val="003B3CAC"/>
    <w:rsid w:val="003B3D70"/>
    <w:rsid w:val="003B534A"/>
    <w:rsid w:val="003B5482"/>
    <w:rsid w:val="003B61A9"/>
    <w:rsid w:val="003B62CB"/>
    <w:rsid w:val="003B681C"/>
    <w:rsid w:val="003B72C9"/>
    <w:rsid w:val="003C0877"/>
    <w:rsid w:val="003C0D8E"/>
    <w:rsid w:val="003C1FD4"/>
    <w:rsid w:val="003C2420"/>
    <w:rsid w:val="003C3C85"/>
    <w:rsid w:val="003C4144"/>
    <w:rsid w:val="003C53BD"/>
    <w:rsid w:val="003C58B8"/>
    <w:rsid w:val="003C5B77"/>
    <w:rsid w:val="003C633B"/>
    <w:rsid w:val="003C6E26"/>
    <w:rsid w:val="003C6E7C"/>
    <w:rsid w:val="003C71B5"/>
    <w:rsid w:val="003C738B"/>
    <w:rsid w:val="003D12D2"/>
    <w:rsid w:val="003D187C"/>
    <w:rsid w:val="003D1A8B"/>
    <w:rsid w:val="003D327F"/>
    <w:rsid w:val="003D44E1"/>
    <w:rsid w:val="003D4702"/>
    <w:rsid w:val="003D49A5"/>
    <w:rsid w:val="003D4C40"/>
    <w:rsid w:val="003D5696"/>
    <w:rsid w:val="003D5EC8"/>
    <w:rsid w:val="003D64A2"/>
    <w:rsid w:val="003D657A"/>
    <w:rsid w:val="003D72E6"/>
    <w:rsid w:val="003D783E"/>
    <w:rsid w:val="003D7BAE"/>
    <w:rsid w:val="003D7BF8"/>
    <w:rsid w:val="003E1398"/>
    <w:rsid w:val="003E26F4"/>
    <w:rsid w:val="003E3288"/>
    <w:rsid w:val="003E38B6"/>
    <w:rsid w:val="003E40D8"/>
    <w:rsid w:val="003E548A"/>
    <w:rsid w:val="003E673C"/>
    <w:rsid w:val="003E67E1"/>
    <w:rsid w:val="003E69EB"/>
    <w:rsid w:val="003E6C0F"/>
    <w:rsid w:val="003F11F5"/>
    <w:rsid w:val="003F2AC9"/>
    <w:rsid w:val="003F30D2"/>
    <w:rsid w:val="003F3610"/>
    <w:rsid w:val="003F3CB2"/>
    <w:rsid w:val="003F3DBF"/>
    <w:rsid w:val="003F3E2E"/>
    <w:rsid w:val="003F4688"/>
    <w:rsid w:val="003F477E"/>
    <w:rsid w:val="003F4F98"/>
    <w:rsid w:val="003F61CF"/>
    <w:rsid w:val="003F648F"/>
    <w:rsid w:val="003F6747"/>
    <w:rsid w:val="003F67BA"/>
    <w:rsid w:val="003F6CC0"/>
    <w:rsid w:val="003F6DDD"/>
    <w:rsid w:val="003F6E9C"/>
    <w:rsid w:val="003F7028"/>
    <w:rsid w:val="003F74E8"/>
    <w:rsid w:val="003F7F7F"/>
    <w:rsid w:val="00400348"/>
    <w:rsid w:val="004004DE"/>
    <w:rsid w:val="004014C9"/>
    <w:rsid w:val="00403664"/>
    <w:rsid w:val="00406064"/>
    <w:rsid w:val="004065F7"/>
    <w:rsid w:val="0040775A"/>
    <w:rsid w:val="00407D63"/>
    <w:rsid w:val="00407D8C"/>
    <w:rsid w:val="00407F46"/>
    <w:rsid w:val="004103AF"/>
    <w:rsid w:val="00411270"/>
    <w:rsid w:val="00411293"/>
    <w:rsid w:val="00411C31"/>
    <w:rsid w:val="00411FC0"/>
    <w:rsid w:val="0041212E"/>
    <w:rsid w:val="0041277A"/>
    <w:rsid w:val="00412DF9"/>
    <w:rsid w:val="00414131"/>
    <w:rsid w:val="00414A69"/>
    <w:rsid w:val="0041502F"/>
    <w:rsid w:val="0041555A"/>
    <w:rsid w:val="0041577C"/>
    <w:rsid w:val="004161FB"/>
    <w:rsid w:val="00416F27"/>
    <w:rsid w:val="0041709A"/>
    <w:rsid w:val="004215F3"/>
    <w:rsid w:val="0042195E"/>
    <w:rsid w:val="00421981"/>
    <w:rsid w:val="004222CA"/>
    <w:rsid w:val="0042347A"/>
    <w:rsid w:val="00424780"/>
    <w:rsid w:val="00425B2B"/>
    <w:rsid w:val="00425D32"/>
    <w:rsid w:val="00426D24"/>
    <w:rsid w:val="0042779C"/>
    <w:rsid w:val="00430510"/>
    <w:rsid w:val="004313BC"/>
    <w:rsid w:val="00431409"/>
    <w:rsid w:val="00431C97"/>
    <w:rsid w:val="00433F55"/>
    <w:rsid w:val="00434C9C"/>
    <w:rsid w:val="00434DCD"/>
    <w:rsid w:val="00434FAB"/>
    <w:rsid w:val="00435A80"/>
    <w:rsid w:val="00435D3B"/>
    <w:rsid w:val="00436D5C"/>
    <w:rsid w:val="004410C5"/>
    <w:rsid w:val="00441641"/>
    <w:rsid w:val="00441976"/>
    <w:rsid w:val="00441CFC"/>
    <w:rsid w:val="00442981"/>
    <w:rsid w:val="00443D64"/>
    <w:rsid w:val="004445E7"/>
    <w:rsid w:val="0044517B"/>
    <w:rsid w:val="00445953"/>
    <w:rsid w:val="00446E98"/>
    <w:rsid w:val="00447369"/>
    <w:rsid w:val="00447C21"/>
    <w:rsid w:val="00450881"/>
    <w:rsid w:val="0045094F"/>
    <w:rsid w:val="00451CC8"/>
    <w:rsid w:val="00452EAB"/>
    <w:rsid w:val="00453A23"/>
    <w:rsid w:val="00453DC9"/>
    <w:rsid w:val="004541B0"/>
    <w:rsid w:val="00454232"/>
    <w:rsid w:val="00455C0F"/>
    <w:rsid w:val="004560BF"/>
    <w:rsid w:val="00456642"/>
    <w:rsid w:val="00456A5F"/>
    <w:rsid w:val="00460BAC"/>
    <w:rsid w:val="00460E0E"/>
    <w:rsid w:val="0046276F"/>
    <w:rsid w:val="00462A7F"/>
    <w:rsid w:val="004637AC"/>
    <w:rsid w:val="00464079"/>
    <w:rsid w:val="00465118"/>
    <w:rsid w:val="0046581B"/>
    <w:rsid w:val="00465E2B"/>
    <w:rsid w:val="00465F56"/>
    <w:rsid w:val="0046678F"/>
    <w:rsid w:val="004704F9"/>
    <w:rsid w:val="004707CC"/>
    <w:rsid w:val="00470AC1"/>
    <w:rsid w:val="00470B13"/>
    <w:rsid w:val="00471E10"/>
    <w:rsid w:val="0047376A"/>
    <w:rsid w:val="00473BDB"/>
    <w:rsid w:val="00474E07"/>
    <w:rsid w:val="0047500D"/>
    <w:rsid w:val="004759C2"/>
    <w:rsid w:val="00475E58"/>
    <w:rsid w:val="00477465"/>
    <w:rsid w:val="00477A1C"/>
    <w:rsid w:val="00480B35"/>
    <w:rsid w:val="00481588"/>
    <w:rsid w:val="00481A2B"/>
    <w:rsid w:val="00481AA4"/>
    <w:rsid w:val="00482356"/>
    <w:rsid w:val="00482DD6"/>
    <w:rsid w:val="00484A5E"/>
    <w:rsid w:val="0048524B"/>
    <w:rsid w:val="004856A7"/>
    <w:rsid w:val="00485A19"/>
    <w:rsid w:val="00485C3A"/>
    <w:rsid w:val="00485D3D"/>
    <w:rsid w:val="00486377"/>
    <w:rsid w:val="00487A3E"/>
    <w:rsid w:val="00490B1F"/>
    <w:rsid w:val="004913E7"/>
    <w:rsid w:val="004929A6"/>
    <w:rsid w:val="00493330"/>
    <w:rsid w:val="004935C6"/>
    <w:rsid w:val="00493A39"/>
    <w:rsid w:val="00493A46"/>
    <w:rsid w:val="00494710"/>
    <w:rsid w:val="00494BB2"/>
    <w:rsid w:val="00495010"/>
    <w:rsid w:val="0049517D"/>
    <w:rsid w:val="0049690F"/>
    <w:rsid w:val="004971D1"/>
    <w:rsid w:val="00497D83"/>
    <w:rsid w:val="004A0173"/>
    <w:rsid w:val="004A09ED"/>
    <w:rsid w:val="004A1C8E"/>
    <w:rsid w:val="004A1F43"/>
    <w:rsid w:val="004A3ECD"/>
    <w:rsid w:val="004A58F0"/>
    <w:rsid w:val="004A59E5"/>
    <w:rsid w:val="004A5BF8"/>
    <w:rsid w:val="004A6BF3"/>
    <w:rsid w:val="004B21D5"/>
    <w:rsid w:val="004B32CC"/>
    <w:rsid w:val="004B392B"/>
    <w:rsid w:val="004B3BBC"/>
    <w:rsid w:val="004B3EC8"/>
    <w:rsid w:val="004B4A18"/>
    <w:rsid w:val="004B6993"/>
    <w:rsid w:val="004C05C0"/>
    <w:rsid w:val="004C0EF8"/>
    <w:rsid w:val="004C1664"/>
    <w:rsid w:val="004C1956"/>
    <w:rsid w:val="004C31F9"/>
    <w:rsid w:val="004C4A3C"/>
    <w:rsid w:val="004C517F"/>
    <w:rsid w:val="004C53ED"/>
    <w:rsid w:val="004C589E"/>
    <w:rsid w:val="004C691F"/>
    <w:rsid w:val="004C6A3A"/>
    <w:rsid w:val="004C6C51"/>
    <w:rsid w:val="004C724B"/>
    <w:rsid w:val="004D0266"/>
    <w:rsid w:val="004D22FC"/>
    <w:rsid w:val="004D2753"/>
    <w:rsid w:val="004D420B"/>
    <w:rsid w:val="004D4954"/>
    <w:rsid w:val="004D5777"/>
    <w:rsid w:val="004D583B"/>
    <w:rsid w:val="004D5F13"/>
    <w:rsid w:val="004D671D"/>
    <w:rsid w:val="004D69E1"/>
    <w:rsid w:val="004D6C83"/>
    <w:rsid w:val="004D7433"/>
    <w:rsid w:val="004E2CCF"/>
    <w:rsid w:val="004E319F"/>
    <w:rsid w:val="004E321A"/>
    <w:rsid w:val="004E43AA"/>
    <w:rsid w:val="004E4E99"/>
    <w:rsid w:val="004E58B4"/>
    <w:rsid w:val="004E59F4"/>
    <w:rsid w:val="004E5B07"/>
    <w:rsid w:val="004E5DB3"/>
    <w:rsid w:val="004E76AE"/>
    <w:rsid w:val="004E7F4C"/>
    <w:rsid w:val="004F0E99"/>
    <w:rsid w:val="004F1624"/>
    <w:rsid w:val="004F1743"/>
    <w:rsid w:val="004F203A"/>
    <w:rsid w:val="004F24B1"/>
    <w:rsid w:val="004F297F"/>
    <w:rsid w:val="004F29D5"/>
    <w:rsid w:val="004F29FC"/>
    <w:rsid w:val="004F3985"/>
    <w:rsid w:val="004F43DD"/>
    <w:rsid w:val="004F50FC"/>
    <w:rsid w:val="004F5229"/>
    <w:rsid w:val="004F7245"/>
    <w:rsid w:val="004F7318"/>
    <w:rsid w:val="004F7768"/>
    <w:rsid w:val="004F792E"/>
    <w:rsid w:val="005005C9"/>
    <w:rsid w:val="005014C8"/>
    <w:rsid w:val="00502868"/>
    <w:rsid w:val="00505257"/>
    <w:rsid w:val="005054C1"/>
    <w:rsid w:val="005062DB"/>
    <w:rsid w:val="00506422"/>
    <w:rsid w:val="00510EA4"/>
    <w:rsid w:val="005118A5"/>
    <w:rsid w:val="00511B03"/>
    <w:rsid w:val="00512A03"/>
    <w:rsid w:val="00512AC0"/>
    <w:rsid w:val="00512CEC"/>
    <w:rsid w:val="005147B4"/>
    <w:rsid w:val="00515802"/>
    <w:rsid w:val="0051592D"/>
    <w:rsid w:val="00516CD1"/>
    <w:rsid w:val="005173E5"/>
    <w:rsid w:val="005178E3"/>
    <w:rsid w:val="00521D1D"/>
    <w:rsid w:val="00523AB6"/>
    <w:rsid w:val="00523CCD"/>
    <w:rsid w:val="00523FCD"/>
    <w:rsid w:val="005240CE"/>
    <w:rsid w:val="005245D0"/>
    <w:rsid w:val="0052572B"/>
    <w:rsid w:val="0052730E"/>
    <w:rsid w:val="00527702"/>
    <w:rsid w:val="0053013C"/>
    <w:rsid w:val="005301E6"/>
    <w:rsid w:val="005323D2"/>
    <w:rsid w:val="00532734"/>
    <w:rsid w:val="00533C54"/>
    <w:rsid w:val="005341D5"/>
    <w:rsid w:val="00534716"/>
    <w:rsid w:val="0053589F"/>
    <w:rsid w:val="00535B8C"/>
    <w:rsid w:val="00535C3B"/>
    <w:rsid w:val="00536C73"/>
    <w:rsid w:val="00536D09"/>
    <w:rsid w:val="00540109"/>
    <w:rsid w:val="00540DBE"/>
    <w:rsid w:val="005413CE"/>
    <w:rsid w:val="00542071"/>
    <w:rsid w:val="005429D8"/>
    <w:rsid w:val="00543401"/>
    <w:rsid w:val="00543E0D"/>
    <w:rsid w:val="00544015"/>
    <w:rsid w:val="00544A44"/>
    <w:rsid w:val="00544BC7"/>
    <w:rsid w:val="00545EBB"/>
    <w:rsid w:val="00545F81"/>
    <w:rsid w:val="00546A19"/>
    <w:rsid w:val="0054735C"/>
    <w:rsid w:val="0054795B"/>
    <w:rsid w:val="0055045D"/>
    <w:rsid w:val="0055083B"/>
    <w:rsid w:val="00550EAD"/>
    <w:rsid w:val="00551B02"/>
    <w:rsid w:val="00551FD0"/>
    <w:rsid w:val="00554166"/>
    <w:rsid w:val="00554C4B"/>
    <w:rsid w:val="00554D10"/>
    <w:rsid w:val="00556381"/>
    <w:rsid w:val="00556894"/>
    <w:rsid w:val="00557C9C"/>
    <w:rsid w:val="00557EB3"/>
    <w:rsid w:val="00560BDD"/>
    <w:rsid w:val="00561635"/>
    <w:rsid w:val="00561661"/>
    <w:rsid w:val="00561B95"/>
    <w:rsid w:val="00561D7F"/>
    <w:rsid w:val="00562199"/>
    <w:rsid w:val="00562D81"/>
    <w:rsid w:val="00562F5C"/>
    <w:rsid w:val="00563349"/>
    <w:rsid w:val="005636E7"/>
    <w:rsid w:val="00565CA0"/>
    <w:rsid w:val="00567453"/>
    <w:rsid w:val="0056753B"/>
    <w:rsid w:val="00571664"/>
    <w:rsid w:val="00572F8E"/>
    <w:rsid w:val="005736B7"/>
    <w:rsid w:val="00573E47"/>
    <w:rsid w:val="005744E8"/>
    <w:rsid w:val="00574970"/>
    <w:rsid w:val="00574A19"/>
    <w:rsid w:val="00574C13"/>
    <w:rsid w:val="00574E34"/>
    <w:rsid w:val="0057692C"/>
    <w:rsid w:val="005777B4"/>
    <w:rsid w:val="00581B61"/>
    <w:rsid w:val="00581D60"/>
    <w:rsid w:val="00582CB0"/>
    <w:rsid w:val="00582E55"/>
    <w:rsid w:val="00582F2E"/>
    <w:rsid w:val="00582F4C"/>
    <w:rsid w:val="005847F4"/>
    <w:rsid w:val="005857A8"/>
    <w:rsid w:val="00586932"/>
    <w:rsid w:val="00587C61"/>
    <w:rsid w:val="00587DBE"/>
    <w:rsid w:val="00590CC0"/>
    <w:rsid w:val="00590FEC"/>
    <w:rsid w:val="00591894"/>
    <w:rsid w:val="00593202"/>
    <w:rsid w:val="00593333"/>
    <w:rsid w:val="005933EE"/>
    <w:rsid w:val="00594113"/>
    <w:rsid w:val="0059481F"/>
    <w:rsid w:val="00595258"/>
    <w:rsid w:val="00595E63"/>
    <w:rsid w:val="005963DA"/>
    <w:rsid w:val="00596B33"/>
    <w:rsid w:val="005A05EB"/>
    <w:rsid w:val="005A0A88"/>
    <w:rsid w:val="005A1A38"/>
    <w:rsid w:val="005A2A0E"/>
    <w:rsid w:val="005A3073"/>
    <w:rsid w:val="005A36B3"/>
    <w:rsid w:val="005A38DA"/>
    <w:rsid w:val="005A5476"/>
    <w:rsid w:val="005A55FC"/>
    <w:rsid w:val="005A5795"/>
    <w:rsid w:val="005A64FF"/>
    <w:rsid w:val="005A68CB"/>
    <w:rsid w:val="005B094B"/>
    <w:rsid w:val="005B1683"/>
    <w:rsid w:val="005B2072"/>
    <w:rsid w:val="005B2973"/>
    <w:rsid w:val="005B29E8"/>
    <w:rsid w:val="005B4253"/>
    <w:rsid w:val="005B4D6D"/>
    <w:rsid w:val="005B6E6B"/>
    <w:rsid w:val="005B731D"/>
    <w:rsid w:val="005B7322"/>
    <w:rsid w:val="005B73FD"/>
    <w:rsid w:val="005B7F9F"/>
    <w:rsid w:val="005C0AA5"/>
    <w:rsid w:val="005C11E9"/>
    <w:rsid w:val="005C1866"/>
    <w:rsid w:val="005C1D48"/>
    <w:rsid w:val="005C2230"/>
    <w:rsid w:val="005C2BBA"/>
    <w:rsid w:val="005C2FAC"/>
    <w:rsid w:val="005C4A0E"/>
    <w:rsid w:val="005C5043"/>
    <w:rsid w:val="005C5540"/>
    <w:rsid w:val="005C5BA2"/>
    <w:rsid w:val="005C5F51"/>
    <w:rsid w:val="005C7748"/>
    <w:rsid w:val="005D0515"/>
    <w:rsid w:val="005D1696"/>
    <w:rsid w:val="005D16BE"/>
    <w:rsid w:val="005D17FB"/>
    <w:rsid w:val="005D2482"/>
    <w:rsid w:val="005D270F"/>
    <w:rsid w:val="005D44B8"/>
    <w:rsid w:val="005D4E9C"/>
    <w:rsid w:val="005D55A5"/>
    <w:rsid w:val="005D5AE9"/>
    <w:rsid w:val="005D7E8C"/>
    <w:rsid w:val="005E0001"/>
    <w:rsid w:val="005E025A"/>
    <w:rsid w:val="005E1356"/>
    <w:rsid w:val="005E19C3"/>
    <w:rsid w:val="005E1A4B"/>
    <w:rsid w:val="005E1D8F"/>
    <w:rsid w:val="005E2A74"/>
    <w:rsid w:val="005E335B"/>
    <w:rsid w:val="005E37A0"/>
    <w:rsid w:val="005E42C2"/>
    <w:rsid w:val="005E43FD"/>
    <w:rsid w:val="005E6A4A"/>
    <w:rsid w:val="005E6D04"/>
    <w:rsid w:val="005E724D"/>
    <w:rsid w:val="005E731D"/>
    <w:rsid w:val="005E7509"/>
    <w:rsid w:val="005F0103"/>
    <w:rsid w:val="005F0613"/>
    <w:rsid w:val="005F09B1"/>
    <w:rsid w:val="005F0A79"/>
    <w:rsid w:val="005F0F23"/>
    <w:rsid w:val="005F10D6"/>
    <w:rsid w:val="005F1F45"/>
    <w:rsid w:val="005F226E"/>
    <w:rsid w:val="005F23C0"/>
    <w:rsid w:val="005F2DFE"/>
    <w:rsid w:val="005F3033"/>
    <w:rsid w:val="005F360F"/>
    <w:rsid w:val="005F478D"/>
    <w:rsid w:val="005F4CD1"/>
    <w:rsid w:val="005F679E"/>
    <w:rsid w:val="005F72C0"/>
    <w:rsid w:val="005F7C01"/>
    <w:rsid w:val="00600529"/>
    <w:rsid w:val="00600A94"/>
    <w:rsid w:val="00601F03"/>
    <w:rsid w:val="006023B5"/>
    <w:rsid w:val="006035D9"/>
    <w:rsid w:val="006046DE"/>
    <w:rsid w:val="00604BCF"/>
    <w:rsid w:val="00605A14"/>
    <w:rsid w:val="00605CCD"/>
    <w:rsid w:val="00606569"/>
    <w:rsid w:val="0060675E"/>
    <w:rsid w:val="00607A6F"/>
    <w:rsid w:val="00607FDE"/>
    <w:rsid w:val="00610EC0"/>
    <w:rsid w:val="00611402"/>
    <w:rsid w:val="006117D3"/>
    <w:rsid w:val="00611A2B"/>
    <w:rsid w:val="0061259A"/>
    <w:rsid w:val="006130FF"/>
    <w:rsid w:val="00613A1B"/>
    <w:rsid w:val="0061671D"/>
    <w:rsid w:val="00617405"/>
    <w:rsid w:val="0061744B"/>
    <w:rsid w:val="00617B39"/>
    <w:rsid w:val="00620583"/>
    <w:rsid w:val="00620F1B"/>
    <w:rsid w:val="00620F4E"/>
    <w:rsid w:val="00621079"/>
    <w:rsid w:val="0062296A"/>
    <w:rsid w:val="00623850"/>
    <w:rsid w:val="00623948"/>
    <w:rsid w:val="00624DDD"/>
    <w:rsid w:val="0062552C"/>
    <w:rsid w:val="0062648A"/>
    <w:rsid w:val="00626CEF"/>
    <w:rsid w:val="00627C0A"/>
    <w:rsid w:val="00627CBE"/>
    <w:rsid w:val="0063011E"/>
    <w:rsid w:val="006325A8"/>
    <w:rsid w:val="00632AA6"/>
    <w:rsid w:val="006331FA"/>
    <w:rsid w:val="006349CC"/>
    <w:rsid w:val="00634EFB"/>
    <w:rsid w:val="00635233"/>
    <w:rsid w:val="00635A66"/>
    <w:rsid w:val="00636B8C"/>
    <w:rsid w:val="00636BEC"/>
    <w:rsid w:val="00636CA3"/>
    <w:rsid w:val="00636E97"/>
    <w:rsid w:val="00637BF1"/>
    <w:rsid w:val="00640A4F"/>
    <w:rsid w:val="00640A9C"/>
    <w:rsid w:val="006413BF"/>
    <w:rsid w:val="00641594"/>
    <w:rsid w:val="00643838"/>
    <w:rsid w:val="00643922"/>
    <w:rsid w:val="00643931"/>
    <w:rsid w:val="00643A7A"/>
    <w:rsid w:val="00643CF2"/>
    <w:rsid w:val="0064402D"/>
    <w:rsid w:val="006447A3"/>
    <w:rsid w:val="00645A36"/>
    <w:rsid w:val="006461CC"/>
    <w:rsid w:val="00646AC3"/>
    <w:rsid w:val="00646CAF"/>
    <w:rsid w:val="00647229"/>
    <w:rsid w:val="0064795C"/>
    <w:rsid w:val="006521DE"/>
    <w:rsid w:val="00652709"/>
    <w:rsid w:val="0065299D"/>
    <w:rsid w:val="00652E06"/>
    <w:rsid w:val="00653DA6"/>
    <w:rsid w:val="006549C6"/>
    <w:rsid w:val="0065581A"/>
    <w:rsid w:val="00655D87"/>
    <w:rsid w:val="00656009"/>
    <w:rsid w:val="00656788"/>
    <w:rsid w:val="00656A63"/>
    <w:rsid w:val="00657118"/>
    <w:rsid w:val="0065751B"/>
    <w:rsid w:val="00657872"/>
    <w:rsid w:val="006606A7"/>
    <w:rsid w:val="0066123D"/>
    <w:rsid w:val="00661297"/>
    <w:rsid w:val="00661AF6"/>
    <w:rsid w:val="006621F9"/>
    <w:rsid w:val="006626E6"/>
    <w:rsid w:val="00663548"/>
    <w:rsid w:val="006636A3"/>
    <w:rsid w:val="00663867"/>
    <w:rsid w:val="006641A0"/>
    <w:rsid w:val="0066452C"/>
    <w:rsid w:val="006646A2"/>
    <w:rsid w:val="006650D2"/>
    <w:rsid w:val="006658BA"/>
    <w:rsid w:val="00666037"/>
    <w:rsid w:val="0066627B"/>
    <w:rsid w:val="00667D08"/>
    <w:rsid w:val="00670BFB"/>
    <w:rsid w:val="00671499"/>
    <w:rsid w:val="0067283B"/>
    <w:rsid w:val="00672DFC"/>
    <w:rsid w:val="006736E8"/>
    <w:rsid w:val="00675B2E"/>
    <w:rsid w:val="006762D9"/>
    <w:rsid w:val="006764EC"/>
    <w:rsid w:val="00676F00"/>
    <w:rsid w:val="00677EF6"/>
    <w:rsid w:val="00677F66"/>
    <w:rsid w:val="0068140E"/>
    <w:rsid w:val="006822B1"/>
    <w:rsid w:val="00682BD7"/>
    <w:rsid w:val="00683518"/>
    <w:rsid w:val="00684C8B"/>
    <w:rsid w:val="0068579E"/>
    <w:rsid w:val="00687793"/>
    <w:rsid w:val="00687890"/>
    <w:rsid w:val="00691061"/>
    <w:rsid w:val="00691F9E"/>
    <w:rsid w:val="006921F1"/>
    <w:rsid w:val="00692C6C"/>
    <w:rsid w:val="00693F8A"/>
    <w:rsid w:val="0069453F"/>
    <w:rsid w:val="006946A3"/>
    <w:rsid w:val="0069614F"/>
    <w:rsid w:val="006964B6"/>
    <w:rsid w:val="006965BC"/>
    <w:rsid w:val="006A06B3"/>
    <w:rsid w:val="006A0750"/>
    <w:rsid w:val="006A1D61"/>
    <w:rsid w:val="006A3B19"/>
    <w:rsid w:val="006A41DA"/>
    <w:rsid w:val="006A45C8"/>
    <w:rsid w:val="006A5BC5"/>
    <w:rsid w:val="006B0F9F"/>
    <w:rsid w:val="006B2103"/>
    <w:rsid w:val="006B2254"/>
    <w:rsid w:val="006B272D"/>
    <w:rsid w:val="006B27FC"/>
    <w:rsid w:val="006B3108"/>
    <w:rsid w:val="006B316E"/>
    <w:rsid w:val="006B4D0C"/>
    <w:rsid w:val="006B6B98"/>
    <w:rsid w:val="006B6F1F"/>
    <w:rsid w:val="006B7DF8"/>
    <w:rsid w:val="006C0C61"/>
    <w:rsid w:val="006C0DD9"/>
    <w:rsid w:val="006C105A"/>
    <w:rsid w:val="006C10EB"/>
    <w:rsid w:val="006C1824"/>
    <w:rsid w:val="006C22D1"/>
    <w:rsid w:val="006C3565"/>
    <w:rsid w:val="006C3D5C"/>
    <w:rsid w:val="006C3E1F"/>
    <w:rsid w:val="006C4928"/>
    <w:rsid w:val="006C4CA7"/>
    <w:rsid w:val="006C5EFF"/>
    <w:rsid w:val="006C6AEC"/>
    <w:rsid w:val="006C6E3C"/>
    <w:rsid w:val="006C6FA7"/>
    <w:rsid w:val="006C716D"/>
    <w:rsid w:val="006C7D2F"/>
    <w:rsid w:val="006D07F7"/>
    <w:rsid w:val="006D19AE"/>
    <w:rsid w:val="006D234D"/>
    <w:rsid w:val="006D285C"/>
    <w:rsid w:val="006D2B63"/>
    <w:rsid w:val="006D2EA8"/>
    <w:rsid w:val="006D2EC9"/>
    <w:rsid w:val="006D3711"/>
    <w:rsid w:val="006D482A"/>
    <w:rsid w:val="006D5047"/>
    <w:rsid w:val="006D6203"/>
    <w:rsid w:val="006D65E3"/>
    <w:rsid w:val="006D78F1"/>
    <w:rsid w:val="006E0741"/>
    <w:rsid w:val="006E0783"/>
    <w:rsid w:val="006E0A02"/>
    <w:rsid w:val="006E5724"/>
    <w:rsid w:val="006E575F"/>
    <w:rsid w:val="006E5E97"/>
    <w:rsid w:val="006F1553"/>
    <w:rsid w:val="006F1871"/>
    <w:rsid w:val="006F18F9"/>
    <w:rsid w:val="006F2F3F"/>
    <w:rsid w:val="006F301F"/>
    <w:rsid w:val="006F30DE"/>
    <w:rsid w:val="006F3425"/>
    <w:rsid w:val="006F46F4"/>
    <w:rsid w:val="006F52A7"/>
    <w:rsid w:val="006F5C0E"/>
    <w:rsid w:val="006F5D5D"/>
    <w:rsid w:val="006F5E01"/>
    <w:rsid w:val="006F5FBA"/>
    <w:rsid w:val="006F672E"/>
    <w:rsid w:val="006F69F9"/>
    <w:rsid w:val="006F72E3"/>
    <w:rsid w:val="006F7A2D"/>
    <w:rsid w:val="00700946"/>
    <w:rsid w:val="00700B96"/>
    <w:rsid w:val="00700D7E"/>
    <w:rsid w:val="0070114F"/>
    <w:rsid w:val="00702A1B"/>
    <w:rsid w:val="007036F7"/>
    <w:rsid w:val="00704134"/>
    <w:rsid w:val="0070466F"/>
    <w:rsid w:val="00704B20"/>
    <w:rsid w:val="0070596D"/>
    <w:rsid w:val="00705E7A"/>
    <w:rsid w:val="00705FCD"/>
    <w:rsid w:val="00706A1B"/>
    <w:rsid w:val="00706A4A"/>
    <w:rsid w:val="00706AD3"/>
    <w:rsid w:val="007077FF"/>
    <w:rsid w:val="0071219D"/>
    <w:rsid w:val="00712A1D"/>
    <w:rsid w:val="0071406C"/>
    <w:rsid w:val="00714629"/>
    <w:rsid w:val="00714D99"/>
    <w:rsid w:val="007152AE"/>
    <w:rsid w:val="007158E4"/>
    <w:rsid w:val="00716787"/>
    <w:rsid w:val="007171A9"/>
    <w:rsid w:val="00717AEC"/>
    <w:rsid w:val="007211CA"/>
    <w:rsid w:val="00721FE4"/>
    <w:rsid w:val="00722786"/>
    <w:rsid w:val="007227B3"/>
    <w:rsid w:val="00723858"/>
    <w:rsid w:val="007240A8"/>
    <w:rsid w:val="00725084"/>
    <w:rsid w:val="00725312"/>
    <w:rsid w:val="00725B4D"/>
    <w:rsid w:val="00725E21"/>
    <w:rsid w:val="007268FF"/>
    <w:rsid w:val="00730A08"/>
    <w:rsid w:val="00732BAA"/>
    <w:rsid w:val="00732BDC"/>
    <w:rsid w:val="007355C7"/>
    <w:rsid w:val="00737485"/>
    <w:rsid w:val="00737F19"/>
    <w:rsid w:val="00740432"/>
    <w:rsid w:val="007406DC"/>
    <w:rsid w:val="00741237"/>
    <w:rsid w:val="00741F37"/>
    <w:rsid w:val="00742226"/>
    <w:rsid w:val="007425EB"/>
    <w:rsid w:val="00742971"/>
    <w:rsid w:val="00743BDC"/>
    <w:rsid w:val="00745674"/>
    <w:rsid w:val="007456F8"/>
    <w:rsid w:val="0074575B"/>
    <w:rsid w:val="0074577C"/>
    <w:rsid w:val="00745B5D"/>
    <w:rsid w:val="007469E1"/>
    <w:rsid w:val="007476D5"/>
    <w:rsid w:val="00747A06"/>
    <w:rsid w:val="00747B2A"/>
    <w:rsid w:val="00747F17"/>
    <w:rsid w:val="00752683"/>
    <w:rsid w:val="00752783"/>
    <w:rsid w:val="00752BAD"/>
    <w:rsid w:val="00752E78"/>
    <w:rsid w:val="00753FD8"/>
    <w:rsid w:val="007542BA"/>
    <w:rsid w:val="007561DE"/>
    <w:rsid w:val="00756731"/>
    <w:rsid w:val="00756E33"/>
    <w:rsid w:val="00756F55"/>
    <w:rsid w:val="00757202"/>
    <w:rsid w:val="00757452"/>
    <w:rsid w:val="00757969"/>
    <w:rsid w:val="00757B07"/>
    <w:rsid w:val="00761078"/>
    <w:rsid w:val="00761175"/>
    <w:rsid w:val="00761E29"/>
    <w:rsid w:val="00762576"/>
    <w:rsid w:val="00762ECB"/>
    <w:rsid w:val="00763065"/>
    <w:rsid w:val="0076328A"/>
    <w:rsid w:val="007635C7"/>
    <w:rsid w:val="007635F9"/>
    <w:rsid w:val="00763DEA"/>
    <w:rsid w:val="0076490A"/>
    <w:rsid w:val="007679F4"/>
    <w:rsid w:val="00770B9B"/>
    <w:rsid w:val="007716C9"/>
    <w:rsid w:val="0077191C"/>
    <w:rsid w:val="00771ABA"/>
    <w:rsid w:val="00773113"/>
    <w:rsid w:val="00773874"/>
    <w:rsid w:val="00773CAD"/>
    <w:rsid w:val="00774195"/>
    <w:rsid w:val="0077551F"/>
    <w:rsid w:val="0077566D"/>
    <w:rsid w:val="00775E92"/>
    <w:rsid w:val="00775EF6"/>
    <w:rsid w:val="00777232"/>
    <w:rsid w:val="0077795A"/>
    <w:rsid w:val="00780017"/>
    <w:rsid w:val="00780BE5"/>
    <w:rsid w:val="00780D77"/>
    <w:rsid w:val="00780F50"/>
    <w:rsid w:val="00781C84"/>
    <w:rsid w:val="00781E82"/>
    <w:rsid w:val="007827E9"/>
    <w:rsid w:val="00782EF7"/>
    <w:rsid w:val="0078323B"/>
    <w:rsid w:val="00784582"/>
    <w:rsid w:val="00785940"/>
    <w:rsid w:val="00786293"/>
    <w:rsid w:val="00786D8E"/>
    <w:rsid w:val="0078720D"/>
    <w:rsid w:val="00787E07"/>
    <w:rsid w:val="007908BC"/>
    <w:rsid w:val="00790BC8"/>
    <w:rsid w:val="00790FE1"/>
    <w:rsid w:val="007918C0"/>
    <w:rsid w:val="00791A35"/>
    <w:rsid w:val="00792373"/>
    <w:rsid w:val="00792BA6"/>
    <w:rsid w:val="007946B7"/>
    <w:rsid w:val="00795D09"/>
    <w:rsid w:val="00795D8C"/>
    <w:rsid w:val="00795FF4"/>
    <w:rsid w:val="007A10F0"/>
    <w:rsid w:val="007A194E"/>
    <w:rsid w:val="007A19B5"/>
    <w:rsid w:val="007A1A71"/>
    <w:rsid w:val="007A203E"/>
    <w:rsid w:val="007A289C"/>
    <w:rsid w:val="007A2A2C"/>
    <w:rsid w:val="007A2AAF"/>
    <w:rsid w:val="007A2D97"/>
    <w:rsid w:val="007A30C8"/>
    <w:rsid w:val="007A3D30"/>
    <w:rsid w:val="007A445C"/>
    <w:rsid w:val="007A49AB"/>
    <w:rsid w:val="007A56BF"/>
    <w:rsid w:val="007A5B69"/>
    <w:rsid w:val="007A5FC4"/>
    <w:rsid w:val="007A63BD"/>
    <w:rsid w:val="007A7313"/>
    <w:rsid w:val="007B08A0"/>
    <w:rsid w:val="007B0C67"/>
    <w:rsid w:val="007B106F"/>
    <w:rsid w:val="007B196F"/>
    <w:rsid w:val="007B25DA"/>
    <w:rsid w:val="007B2DC3"/>
    <w:rsid w:val="007B2E4B"/>
    <w:rsid w:val="007B322F"/>
    <w:rsid w:val="007B3D2C"/>
    <w:rsid w:val="007B3E2D"/>
    <w:rsid w:val="007B426F"/>
    <w:rsid w:val="007B431A"/>
    <w:rsid w:val="007B4B7C"/>
    <w:rsid w:val="007B563E"/>
    <w:rsid w:val="007B5922"/>
    <w:rsid w:val="007C09D2"/>
    <w:rsid w:val="007C15C3"/>
    <w:rsid w:val="007C197F"/>
    <w:rsid w:val="007C22C0"/>
    <w:rsid w:val="007C2378"/>
    <w:rsid w:val="007C2C6A"/>
    <w:rsid w:val="007C341E"/>
    <w:rsid w:val="007C3EBE"/>
    <w:rsid w:val="007C3F3F"/>
    <w:rsid w:val="007C3F45"/>
    <w:rsid w:val="007C499B"/>
    <w:rsid w:val="007C5BEA"/>
    <w:rsid w:val="007C604B"/>
    <w:rsid w:val="007C6EEE"/>
    <w:rsid w:val="007C725D"/>
    <w:rsid w:val="007C7B1A"/>
    <w:rsid w:val="007C7F37"/>
    <w:rsid w:val="007D022C"/>
    <w:rsid w:val="007D022D"/>
    <w:rsid w:val="007D03A4"/>
    <w:rsid w:val="007D0748"/>
    <w:rsid w:val="007D105D"/>
    <w:rsid w:val="007D212F"/>
    <w:rsid w:val="007D2B34"/>
    <w:rsid w:val="007D377B"/>
    <w:rsid w:val="007D3FDC"/>
    <w:rsid w:val="007D4D63"/>
    <w:rsid w:val="007D5F3D"/>
    <w:rsid w:val="007D6E00"/>
    <w:rsid w:val="007D7961"/>
    <w:rsid w:val="007D7E0B"/>
    <w:rsid w:val="007D7ECB"/>
    <w:rsid w:val="007E00DB"/>
    <w:rsid w:val="007E09E9"/>
    <w:rsid w:val="007E2BF6"/>
    <w:rsid w:val="007E41D6"/>
    <w:rsid w:val="007E4348"/>
    <w:rsid w:val="007E482A"/>
    <w:rsid w:val="007E4876"/>
    <w:rsid w:val="007E679E"/>
    <w:rsid w:val="007E6EE4"/>
    <w:rsid w:val="007E713F"/>
    <w:rsid w:val="007E71ED"/>
    <w:rsid w:val="007E72F0"/>
    <w:rsid w:val="007E7AA6"/>
    <w:rsid w:val="007F1030"/>
    <w:rsid w:val="007F131D"/>
    <w:rsid w:val="007F1690"/>
    <w:rsid w:val="007F30D9"/>
    <w:rsid w:val="007F38FF"/>
    <w:rsid w:val="007F5454"/>
    <w:rsid w:val="007F5589"/>
    <w:rsid w:val="007F68E8"/>
    <w:rsid w:val="007F69BE"/>
    <w:rsid w:val="007F6D4F"/>
    <w:rsid w:val="007F7C91"/>
    <w:rsid w:val="00800818"/>
    <w:rsid w:val="00800862"/>
    <w:rsid w:val="0080272B"/>
    <w:rsid w:val="0080274D"/>
    <w:rsid w:val="008035C8"/>
    <w:rsid w:val="00803682"/>
    <w:rsid w:val="00803DDB"/>
    <w:rsid w:val="00804D8D"/>
    <w:rsid w:val="00805195"/>
    <w:rsid w:val="00805A5F"/>
    <w:rsid w:val="00805B9D"/>
    <w:rsid w:val="008070F7"/>
    <w:rsid w:val="008071D3"/>
    <w:rsid w:val="00807D13"/>
    <w:rsid w:val="00810215"/>
    <w:rsid w:val="00810A7F"/>
    <w:rsid w:val="00811568"/>
    <w:rsid w:val="00813308"/>
    <w:rsid w:val="0081347C"/>
    <w:rsid w:val="00814111"/>
    <w:rsid w:val="0081419E"/>
    <w:rsid w:val="00814CB7"/>
    <w:rsid w:val="00814DAE"/>
    <w:rsid w:val="00815DA0"/>
    <w:rsid w:val="008168F0"/>
    <w:rsid w:val="00816BCA"/>
    <w:rsid w:val="00820063"/>
    <w:rsid w:val="00820761"/>
    <w:rsid w:val="008215B9"/>
    <w:rsid w:val="00821781"/>
    <w:rsid w:val="00821F4A"/>
    <w:rsid w:val="00821F9E"/>
    <w:rsid w:val="00822264"/>
    <w:rsid w:val="0082475E"/>
    <w:rsid w:val="008248C1"/>
    <w:rsid w:val="0082505F"/>
    <w:rsid w:val="00825842"/>
    <w:rsid w:val="00826365"/>
    <w:rsid w:val="00826914"/>
    <w:rsid w:val="00827B77"/>
    <w:rsid w:val="00827E0B"/>
    <w:rsid w:val="00830AD6"/>
    <w:rsid w:val="00830AE7"/>
    <w:rsid w:val="00830BBA"/>
    <w:rsid w:val="0083185E"/>
    <w:rsid w:val="00831C6F"/>
    <w:rsid w:val="00832504"/>
    <w:rsid w:val="00832CA5"/>
    <w:rsid w:val="00832E83"/>
    <w:rsid w:val="0083304F"/>
    <w:rsid w:val="00833B93"/>
    <w:rsid w:val="00834168"/>
    <w:rsid w:val="0083458E"/>
    <w:rsid w:val="00835C62"/>
    <w:rsid w:val="00835F47"/>
    <w:rsid w:val="0084061A"/>
    <w:rsid w:val="00842179"/>
    <w:rsid w:val="00842A51"/>
    <w:rsid w:val="008436CA"/>
    <w:rsid w:val="008446EF"/>
    <w:rsid w:val="00844A21"/>
    <w:rsid w:val="008459E3"/>
    <w:rsid w:val="00845A54"/>
    <w:rsid w:val="008466D4"/>
    <w:rsid w:val="00846774"/>
    <w:rsid w:val="00847838"/>
    <w:rsid w:val="00850E65"/>
    <w:rsid w:val="008518C2"/>
    <w:rsid w:val="008529F0"/>
    <w:rsid w:val="008537DC"/>
    <w:rsid w:val="00854A79"/>
    <w:rsid w:val="00855118"/>
    <w:rsid w:val="008551E9"/>
    <w:rsid w:val="008553AF"/>
    <w:rsid w:val="00856452"/>
    <w:rsid w:val="008573A0"/>
    <w:rsid w:val="008578CD"/>
    <w:rsid w:val="00860667"/>
    <w:rsid w:val="00860C34"/>
    <w:rsid w:val="0086106F"/>
    <w:rsid w:val="008610EB"/>
    <w:rsid w:val="00861845"/>
    <w:rsid w:val="00861F4E"/>
    <w:rsid w:val="00862468"/>
    <w:rsid w:val="008627A4"/>
    <w:rsid w:val="00862813"/>
    <w:rsid w:val="00864082"/>
    <w:rsid w:val="00864174"/>
    <w:rsid w:val="0086423A"/>
    <w:rsid w:val="0086469D"/>
    <w:rsid w:val="00865B88"/>
    <w:rsid w:val="00865FF7"/>
    <w:rsid w:val="008667C3"/>
    <w:rsid w:val="00866D3B"/>
    <w:rsid w:val="00867429"/>
    <w:rsid w:val="008677D1"/>
    <w:rsid w:val="008678F6"/>
    <w:rsid w:val="00870EF9"/>
    <w:rsid w:val="0087145F"/>
    <w:rsid w:val="0087182D"/>
    <w:rsid w:val="00872071"/>
    <w:rsid w:val="008720E8"/>
    <w:rsid w:val="008724B4"/>
    <w:rsid w:val="00873507"/>
    <w:rsid w:val="00873991"/>
    <w:rsid w:val="00873D75"/>
    <w:rsid w:val="00873F19"/>
    <w:rsid w:val="008753E5"/>
    <w:rsid w:val="00875BD6"/>
    <w:rsid w:val="0087614D"/>
    <w:rsid w:val="0087616F"/>
    <w:rsid w:val="00876A12"/>
    <w:rsid w:val="00876CA8"/>
    <w:rsid w:val="00876EE8"/>
    <w:rsid w:val="00880ACD"/>
    <w:rsid w:val="0088172B"/>
    <w:rsid w:val="00881A1A"/>
    <w:rsid w:val="008820AF"/>
    <w:rsid w:val="008822E4"/>
    <w:rsid w:val="008835AB"/>
    <w:rsid w:val="00883A2E"/>
    <w:rsid w:val="00884A13"/>
    <w:rsid w:val="00886247"/>
    <w:rsid w:val="008871A1"/>
    <w:rsid w:val="0088742C"/>
    <w:rsid w:val="008875F7"/>
    <w:rsid w:val="00890AF0"/>
    <w:rsid w:val="00891020"/>
    <w:rsid w:val="008913DA"/>
    <w:rsid w:val="00891719"/>
    <w:rsid w:val="00893365"/>
    <w:rsid w:val="00893A44"/>
    <w:rsid w:val="00896488"/>
    <w:rsid w:val="00896AE1"/>
    <w:rsid w:val="00897135"/>
    <w:rsid w:val="008978BD"/>
    <w:rsid w:val="008A0501"/>
    <w:rsid w:val="008A068D"/>
    <w:rsid w:val="008A0861"/>
    <w:rsid w:val="008A3D54"/>
    <w:rsid w:val="008A4521"/>
    <w:rsid w:val="008A52C8"/>
    <w:rsid w:val="008A5B30"/>
    <w:rsid w:val="008A6EED"/>
    <w:rsid w:val="008A7CEA"/>
    <w:rsid w:val="008B0D0C"/>
    <w:rsid w:val="008B256D"/>
    <w:rsid w:val="008B2806"/>
    <w:rsid w:val="008B419F"/>
    <w:rsid w:val="008B5D40"/>
    <w:rsid w:val="008B7277"/>
    <w:rsid w:val="008C0102"/>
    <w:rsid w:val="008C0C37"/>
    <w:rsid w:val="008C0D9D"/>
    <w:rsid w:val="008C0F50"/>
    <w:rsid w:val="008C1966"/>
    <w:rsid w:val="008C29F1"/>
    <w:rsid w:val="008C2EB7"/>
    <w:rsid w:val="008C3395"/>
    <w:rsid w:val="008C3A34"/>
    <w:rsid w:val="008C450A"/>
    <w:rsid w:val="008C464D"/>
    <w:rsid w:val="008C51E1"/>
    <w:rsid w:val="008D08F5"/>
    <w:rsid w:val="008D0DE4"/>
    <w:rsid w:val="008D0E04"/>
    <w:rsid w:val="008D100A"/>
    <w:rsid w:val="008D216D"/>
    <w:rsid w:val="008D32C8"/>
    <w:rsid w:val="008D37A4"/>
    <w:rsid w:val="008D3ADC"/>
    <w:rsid w:val="008D4D22"/>
    <w:rsid w:val="008D56F7"/>
    <w:rsid w:val="008D7580"/>
    <w:rsid w:val="008E08CF"/>
    <w:rsid w:val="008E0B2A"/>
    <w:rsid w:val="008E2164"/>
    <w:rsid w:val="008E2291"/>
    <w:rsid w:val="008E2F6B"/>
    <w:rsid w:val="008E3A7F"/>
    <w:rsid w:val="008E3D70"/>
    <w:rsid w:val="008E4BC4"/>
    <w:rsid w:val="008E4DCB"/>
    <w:rsid w:val="008E61F3"/>
    <w:rsid w:val="008E66DC"/>
    <w:rsid w:val="008F0071"/>
    <w:rsid w:val="008F00C6"/>
    <w:rsid w:val="008F18A7"/>
    <w:rsid w:val="008F20D0"/>
    <w:rsid w:val="008F2351"/>
    <w:rsid w:val="008F2807"/>
    <w:rsid w:val="008F2D44"/>
    <w:rsid w:val="008F3175"/>
    <w:rsid w:val="008F3DAD"/>
    <w:rsid w:val="008F4FD8"/>
    <w:rsid w:val="008F52AC"/>
    <w:rsid w:val="008F57CD"/>
    <w:rsid w:val="008F6BD4"/>
    <w:rsid w:val="008F6E32"/>
    <w:rsid w:val="008F725B"/>
    <w:rsid w:val="008F78E9"/>
    <w:rsid w:val="008F794F"/>
    <w:rsid w:val="0090156C"/>
    <w:rsid w:val="0090212C"/>
    <w:rsid w:val="00902DCD"/>
    <w:rsid w:val="00903E4C"/>
    <w:rsid w:val="00904DD8"/>
    <w:rsid w:val="00904E5F"/>
    <w:rsid w:val="0090535A"/>
    <w:rsid w:val="00905F27"/>
    <w:rsid w:val="00906975"/>
    <w:rsid w:val="0091053E"/>
    <w:rsid w:val="009108DE"/>
    <w:rsid w:val="00910C7C"/>
    <w:rsid w:val="0091148A"/>
    <w:rsid w:val="00911BCB"/>
    <w:rsid w:val="00912364"/>
    <w:rsid w:val="009124FC"/>
    <w:rsid w:val="00913C86"/>
    <w:rsid w:val="009140C4"/>
    <w:rsid w:val="00914438"/>
    <w:rsid w:val="00915BDE"/>
    <w:rsid w:val="00915CAD"/>
    <w:rsid w:val="00916A75"/>
    <w:rsid w:val="00917641"/>
    <w:rsid w:val="00917876"/>
    <w:rsid w:val="009215E8"/>
    <w:rsid w:val="009228F3"/>
    <w:rsid w:val="00925385"/>
    <w:rsid w:val="009253B4"/>
    <w:rsid w:val="00926E02"/>
    <w:rsid w:val="00927221"/>
    <w:rsid w:val="00932141"/>
    <w:rsid w:val="00932FE9"/>
    <w:rsid w:val="0093432E"/>
    <w:rsid w:val="00935232"/>
    <w:rsid w:val="00935D44"/>
    <w:rsid w:val="009369E5"/>
    <w:rsid w:val="00936C5D"/>
    <w:rsid w:val="00936E26"/>
    <w:rsid w:val="00937188"/>
    <w:rsid w:val="00937349"/>
    <w:rsid w:val="00937B64"/>
    <w:rsid w:val="009408DC"/>
    <w:rsid w:val="00941E5F"/>
    <w:rsid w:val="00942367"/>
    <w:rsid w:val="00942720"/>
    <w:rsid w:val="0094302B"/>
    <w:rsid w:val="009432FE"/>
    <w:rsid w:val="00943347"/>
    <w:rsid w:val="00943E6E"/>
    <w:rsid w:val="00943E7E"/>
    <w:rsid w:val="00944731"/>
    <w:rsid w:val="00944BCB"/>
    <w:rsid w:val="0094517E"/>
    <w:rsid w:val="00946096"/>
    <w:rsid w:val="009461E4"/>
    <w:rsid w:val="009468C3"/>
    <w:rsid w:val="00946A4E"/>
    <w:rsid w:val="009476E1"/>
    <w:rsid w:val="0094DC72"/>
    <w:rsid w:val="009505CD"/>
    <w:rsid w:val="00950A2C"/>
    <w:rsid w:val="009514F0"/>
    <w:rsid w:val="0095157C"/>
    <w:rsid w:val="00951DB2"/>
    <w:rsid w:val="00953414"/>
    <w:rsid w:val="009541FA"/>
    <w:rsid w:val="00954473"/>
    <w:rsid w:val="009548A3"/>
    <w:rsid w:val="009548BA"/>
    <w:rsid w:val="00955916"/>
    <w:rsid w:val="00955A75"/>
    <w:rsid w:val="0095609A"/>
    <w:rsid w:val="0095692C"/>
    <w:rsid w:val="00960028"/>
    <w:rsid w:val="009608F3"/>
    <w:rsid w:val="009609A9"/>
    <w:rsid w:val="00960D9A"/>
    <w:rsid w:val="00961FE8"/>
    <w:rsid w:val="009626FF"/>
    <w:rsid w:val="00963669"/>
    <w:rsid w:val="009637C7"/>
    <w:rsid w:val="0096388A"/>
    <w:rsid w:val="00964F92"/>
    <w:rsid w:val="009652F1"/>
    <w:rsid w:val="0096597A"/>
    <w:rsid w:val="009672FD"/>
    <w:rsid w:val="00967A4C"/>
    <w:rsid w:val="00970320"/>
    <w:rsid w:val="00970AF8"/>
    <w:rsid w:val="00970E1B"/>
    <w:rsid w:val="009712E0"/>
    <w:rsid w:val="00971C38"/>
    <w:rsid w:val="00972C33"/>
    <w:rsid w:val="009732C0"/>
    <w:rsid w:val="009739AB"/>
    <w:rsid w:val="009753E9"/>
    <w:rsid w:val="009754CB"/>
    <w:rsid w:val="0097698F"/>
    <w:rsid w:val="00980956"/>
    <w:rsid w:val="00981A54"/>
    <w:rsid w:val="00981C50"/>
    <w:rsid w:val="009823CF"/>
    <w:rsid w:val="00982517"/>
    <w:rsid w:val="00982C07"/>
    <w:rsid w:val="0098348E"/>
    <w:rsid w:val="00984706"/>
    <w:rsid w:val="009851C8"/>
    <w:rsid w:val="00985AFA"/>
    <w:rsid w:val="00986C52"/>
    <w:rsid w:val="009870B5"/>
    <w:rsid w:val="009874DA"/>
    <w:rsid w:val="00987BB1"/>
    <w:rsid w:val="0099147D"/>
    <w:rsid w:val="00993271"/>
    <w:rsid w:val="00994102"/>
    <w:rsid w:val="009941A7"/>
    <w:rsid w:val="00994861"/>
    <w:rsid w:val="00994A96"/>
    <w:rsid w:val="00994BC9"/>
    <w:rsid w:val="0099580F"/>
    <w:rsid w:val="00995C4E"/>
    <w:rsid w:val="0099627F"/>
    <w:rsid w:val="009A0559"/>
    <w:rsid w:val="009A0C60"/>
    <w:rsid w:val="009A357F"/>
    <w:rsid w:val="009A397B"/>
    <w:rsid w:val="009A53D2"/>
    <w:rsid w:val="009A5EE3"/>
    <w:rsid w:val="009A6403"/>
    <w:rsid w:val="009A6816"/>
    <w:rsid w:val="009A6FC5"/>
    <w:rsid w:val="009A6FF4"/>
    <w:rsid w:val="009A736F"/>
    <w:rsid w:val="009A7432"/>
    <w:rsid w:val="009B0010"/>
    <w:rsid w:val="009B075D"/>
    <w:rsid w:val="009B0E8C"/>
    <w:rsid w:val="009B18A8"/>
    <w:rsid w:val="009B206B"/>
    <w:rsid w:val="009B459E"/>
    <w:rsid w:val="009B4C6D"/>
    <w:rsid w:val="009B591E"/>
    <w:rsid w:val="009B5C7D"/>
    <w:rsid w:val="009B5F3F"/>
    <w:rsid w:val="009B6289"/>
    <w:rsid w:val="009B6506"/>
    <w:rsid w:val="009B6A31"/>
    <w:rsid w:val="009B7C61"/>
    <w:rsid w:val="009C00BC"/>
    <w:rsid w:val="009C0151"/>
    <w:rsid w:val="009C2152"/>
    <w:rsid w:val="009C2C43"/>
    <w:rsid w:val="009C4F02"/>
    <w:rsid w:val="009C4F62"/>
    <w:rsid w:val="009C5581"/>
    <w:rsid w:val="009C5590"/>
    <w:rsid w:val="009C5B54"/>
    <w:rsid w:val="009C6734"/>
    <w:rsid w:val="009C7043"/>
    <w:rsid w:val="009C7290"/>
    <w:rsid w:val="009C736A"/>
    <w:rsid w:val="009D0F86"/>
    <w:rsid w:val="009D1120"/>
    <w:rsid w:val="009D1B2A"/>
    <w:rsid w:val="009D273C"/>
    <w:rsid w:val="009D2794"/>
    <w:rsid w:val="009D329C"/>
    <w:rsid w:val="009D439C"/>
    <w:rsid w:val="009D545A"/>
    <w:rsid w:val="009D57B1"/>
    <w:rsid w:val="009D5C0B"/>
    <w:rsid w:val="009D5D4C"/>
    <w:rsid w:val="009D6065"/>
    <w:rsid w:val="009D6226"/>
    <w:rsid w:val="009D688A"/>
    <w:rsid w:val="009D695F"/>
    <w:rsid w:val="009D6BE8"/>
    <w:rsid w:val="009D793A"/>
    <w:rsid w:val="009E159D"/>
    <w:rsid w:val="009E1F2A"/>
    <w:rsid w:val="009E278D"/>
    <w:rsid w:val="009E2C11"/>
    <w:rsid w:val="009E2D19"/>
    <w:rsid w:val="009E2FB0"/>
    <w:rsid w:val="009E3433"/>
    <w:rsid w:val="009E3E1A"/>
    <w:rsid w:val="009E4535"/>
    <w:rsid w:val="009E484C"/>
    <w:rsid w:val="009E5D7F"/>
    <w:rsid w:val="009E6287"/>
    <w:rsid w:val="009E7765"/>
    <w:rsid w:val="009E7B07"/>
    <w:rsid w:val="009F07E3"/>
    <w:rsid w:val="009F0922"/>
    <w:rsid w:val="009F0B60"/>
    <w:rsid w:val="009F1477"/>
    <w:rsid w:val="009F172F"/>
    <w:rsid w:val="009F231F"/>
    <w:rsid w:val="009F31FE"/>
    <w:rsid w:val="009F3892"/>
    <w:rsid w:val="009F4670"/>
    <w:rsid w:val="009F4CCE"/>
    <w:rsid w:val="009F4FB3"/>
    <w:rsid w:val="009F5351"/>
    <w:rsid w:val="009F624F"/>
    <w:rsid w:val="009F639A"/>
    <w:rsid w:val="009F7027"/>
    <w:rsid w:val="009F76C6"/>
    <w:rsid w:val="009F7E90"/>
    <w:rsid w:val="009F7F50"/>
    <w:rsid w:val="00A00032"/>
    <w:rsid w:val="00A0020A"/>
    <w:rsid w:val="00A007F0"/>
    <w:rsid w:val="00A01E68"/>
    <w:rsid w:val="00A02706"/>
    <w:rsid w:val="00A02D67"/>
    <w:rsid w:val="00A03664"/>
    <w:rsid w:val="00A03AD5"/>
    <w:rsid w:val="00A03C2A"/>
    <w:rsid w:val="00A050CA"/>
    <w:rsid w:val="00A06B66"/>
    <w:rsid w:val="00A07783"/>
    <w:rsid w:val="00A07BA2"/>
    <w:rsid w:val="00A10837"/>
    <w:rsid w:val="00A10970"/>
    <w:rsid w:val="00A11654"/>
    <w:rsid w:val="00A11E58"/>
    <w:rsid w:val="00A1291F"/>
    <w:rsid w:val="00A12F4B"/>
    <w:rsid w:val="00A12F64"/>
    <w:rsid w:val="00A14383"/>
    <w:rsid w:val="00A151FE"/>
    <w:rsid w:val="00A16882"/>
    <w:rsid w:val="00A169D9"/>
    <w:rsid w:val="00A22484"/>
    <w:rsid w:val="00A225DA"/>
    <w:rsid w:val="00A22804"/>
    <w:rsid w:val="00A23071"/>
    <w:rsid w:val="00A230A2"/>
    <w:rsid w:val="00A23296"/>
    <w:rsid w:val="00A2341C"/>
    <w:rsid w:val="00A24095"/>
    <w:rsid w:val="00A24640"/>
    <w:rsid w:val="00A25939"/>
    <w:rsid w:val="00A25C8D"/>
    <w:rsid w:val="00A262E0"/>
    <w:rsid w:val="00A263A4"/>
    <w:rsid w:val="00A27439"/>
    <w:rsid w:val="00A274EE"/>
    <w:rsid w:val="00A27686"/>
    <w:rsid w:val="00A30346"/>
    <w:rsid w:val="00A311F1"/>
    <w:rsid w:val="00A31C9A"/>
    <w:rsid w:val="00A32C78"/>
    <w:rsid w:val="00A32E94"/>
    <w:rsid w:val="00A343D1"/>
    <w:rsid w:val="00A3444F"/>
    <w:rsid w:val="00A34D4A"/>
    <w:rsid w:val="00A34FBB"/>
    <w:rsid w:val="00A35131"/>
    <w:rsid w:val="00A36B45"/>
    <w:rsid w:val="00A36E2A"/>
    <w:rsid w:val="00A372B3"/>
    <w:rsid w:val="00A37989"/>
    <w:rsid w:val="00A401D0"/>
    <w:rsid w:val="00A4317A"/>
    <w:rsid w:val="00A459F7"/>
    <w:rsid w:val="00A46692"/>
    <w:rsid w:val="00A4689A"/>
    <w:rsid w:val="00A4699D"/>
    <w:rsid w:val="00A47294"/>
    <w:rsid w:val="00A505CD"/>
    <w:rsid w:val="00A512CC"/>
    <w:rsid w:val="00A52311"/>
    <w:rsid w:val="00A5298E"/>
    <w:rsid w:val="00A529E2"/>
    <w:rsid w:val="00A52B2A"/>
    <w:rsid w:val="00A52C6E"/>
    <w:rsid w:val="00A531AD"/>
    <w:rsid w:val="00A53B44"/>
    <w:rsid w:val="00A53DF8"/>
    <w:rsid w:val="00A542E1"/>
    <w:rsid w:val="00A54CF3"/>
    <w:rsid w:val="00A5636B"/>
    <w:rsid w:val="00A56A42"/>
    <w:rsid w:val="00A57996"/>
    <w:rsid w:val="00A60678"/>
    <w:rsid w:val="00A60687"/>
    <w:rsid w:val="00A60723"/>
    <w:rsid w:val="00A60A01"/>
    <w:rsid w:val="00A6144E"/>
    <w:rsid w:val="00A6275E"/>
    <w:rsid w:val="00A62A7F"/>
    <w:rsid w:val="00A6360D"/>
    <w:rsid w:val="00A63846"/>
    <w:rsid w:val="00A638E1"/>
    <w:rsid w:val="00A63C8C"/>
    <w:rsid w:val="00A64311"/>
    <w:rsid w:val="00A64DEB"/>
    <w:rsid w:val="00A6552D"/>
    <w:rsid w:val="00A66F57"/>
    <w:rsid w:val="00A67239"/>
    <w:rsid w:val="00A6725D"/>
    <w:rsid w:val="00A675A9"/>
    <w:rsid w:val="00A6766E"/>
    <w:rsid w:val="00A67830"/>
    <w:rsid w:val="00A67A8F"/>
    <w:rsid w:val="00A6B4F1"/>
    <w:rsid w:val="00A703DD"/>
    <w:rsid w:val="00A70720"/>
    <w:rsid w:val="00A71C95"/>
    <w:rsid w:val="00A722A6"/>
    <w:rsid w:val="00A723EA"/>
    <w:rsid w:val="00A725FF"/>
    <w:rsid w:val="00A7278D"/>
    <w:rsid w:val="00A7336F"/>
    <w:rsid w:val="00A7344F"/>
    <w:rsid w:val="00A742A2"/>
    <w:rsid w:val="00A74309"/>
    <w:rsid w:val="00A75B5A"/>
    <w:rsid w:val="00A76733"/>
    <w:rsid w:val="00A7745F"/>
    <w:rsid w:val="00A77A06"/>
    <w:rsid w:val="00A80BE9"/>
    <w:rsid w:val="00A824C9"/>
    <w:rsid w:val="00A8252D"/>
    <w:rsid w:val="00A83452"/>
    <w:rsid w:val="00A837E3"/>
    <w:rsid w:val="00A83944"/>
    <w:rsid w:val="00A83964"/>
    <w:rsid w:val="00A8500D"/>
    <w:rsid w:val="00A87915"/>
    <w:rsid w:val="00A90265"/>
    <w:rsid w:val="00A90312"/>
    <w:rsid w:val="00A903F3"/>
    <w:rsid w:val="00A9059E"/>
    <w:rsid w:val="00A90959"/>
    <w:rsid w:val="00A90F84"/>
    <w:rsid w:val="00A91192"/>
    <w:rsid w:val="00A911F4"/>
    <w:rsid w:val="00A913DD"/>
    <w:rsid w:val="00A91C79"/>
    <w:rsid w:val="00A9222F"/>
    <w:rsid w:val="00A92B68"/>
    <w:rsid w:val="00A92BAF"/>
    <w:rsid w:val="00A93FDC"/>
    <w:rsid w:val="00A94176"/>
    <w:rsid w:val="00A94529"/>
    <w:rsid w:val="00A94683"/>
    <w:rsid w:val="00A94AE2"/>
    <w:rsid w:val="00A94D3C"/>
    <w:rsid w:val="00A95717"/>
    <w:rsid w:val="00A97216"/>
    <w:rsid w:val="00A977E3"/>
    <w:rsid w:val="00AA094B"/>
    <w:rsid w:val="00AA0AD2"/>
    <w:rsid w:val="00AA132A"/>
    <w:rsid w:val="00AA1501"/>
    <w:rsid w:val="00AA1A40"/>
    <w:rsid w:val="00AA2417"/>
    <w:rsid w:val="00AA27EC"/>
    <w:rsid w:val="00AA33E8"/>
    <w:rsid w:val="00AA352B"/>
    <w:rsid w:val="00AA4633"/>
    <w:rsid w:val="00AA4BA2"/>
    <w:rsid w:val="00AA4D3E"/>
    <w:rsid w:val="00AA566A"/>
    <w:rsid w:val="00AA7970"/>
    <w:rsid w:val="00AA7CA5"/>
    <w:rsid w:val="00AB0E4F"/>
    <w:rsid w:val="00AB28D7"/>
    <w:rsid w:val="00AB2C60"/>
    <w:rsid w:val="00AB3299"/>
    <w:rsid w:val="00AB385C"/>
    <w:rsid w:val="00AB450C"/>
    <w:rsid w:val="00AB4C11"/>
    <w:rsid w:val="00AB544E"/>
    <w:rsid w:val="00AB5588"/>
    <w:rsid w:val="00AB648C"/>
    <w:rsid w:val="00AB67FB"/>
    <w:rsid w:val="00AB7DBB"/>
    <w:rsid w:val="00AC10C3"/>
    <w:rsid w:val="00AC13DA"/>
    <w:rsid w:val="00AC186C"/>
    <w:rsid w:val="00AC2865"/>
    <w:rsid w:val="00AC2F87"/>
    <w:rsid w:val="00AC3867"/>
    <w:rsid w:val="00AC3BE6"/>
    <w:rsid w:val="00AC3EF1"/>
    <w:rsid w:val="00AC5459"/>
    <w:rsid w:val="00AC57BE"/>
    <w:rsid w:val="00AC5F68"/>
    <w:rsid w:val="00AC7662"/>
    <w:rsid w:val="00AD0473"/>
    <w:rsid w:val="00AD0652"/>
    <w:rsid w:val="00AD0792"/>
    <w:rsid w:val="00AD12C3"/>
    <w:rsid w:val="00AD557A"/>
    <w:rsid w:val="00AD5906"/>
    <w:rsid w:val="00AD5BE3"/>
    <w:rsid w:val="00AD61D7"/>
    <w:rsid w:val="00AD6CEA"/>
    <w:rsid w:val="00AD71E2"/>
    <w:rsid w:val="00AD732C"/>
    <w:rsid w:val="00AD783D"/>
    <w:rsid w:val="00AE0C47"/>
    <w:rsid w:val="00AE0C5C"/>
    <w:rsid w:val="00AE0F07"/>
    <w:rsid w:val="00AE1473"/>
    <w:rsid w:val="00AE14BD"/>
    <w:rsid w:val="00AE1B20"/>
    <w:rsid w:val="00AE1F55"/>
    <w:rsid w:val="00AE2304"/>
    <w:rsid w:val="00AE24F0"/>
    <w:rsid w:val="00AE29C5"/>
    <w:rsid w:val="00AE2BF7"/>
    <w:rsid w:val="00AE2D1B"/>
    <w:rsid w:val="00AE5252"/>
    <w:rsid w:val="00AE52A9"/>
    <w:rsid w:val="00AE74C2"/>
    <w:rsid w:val="00AE7B73"/>
    <w:rsid w:val="00AF0474"/>
    <w:rsid w:val="00AF0C58"/>
    <w:rsid w:val="00AF1072"/>
    <w:rsid w:val="00AF10E5"/>
    <w:rsid w:val="00AF1110"/>
    <w:rsid w:val="00AF14E5"/>
    <w:rsid w:val="00AF1E3C"/>
    <w:rsid w:val="00AF1E9F"/>
    <w:rsid w:val="00AF26E2"/>
    <w:rsid w:val="00AF2AFC"/>
    <w:rsid w:val="00AF33A9"/>
    <w:rsid w:val="00AF3971"/>
    <w:rsid w:val="00AF3DAE"/>
    <w:rsid w:val="00AF4511"/>
    <w:rsid w:val="00AF45CB"/>
    <w:rsid w:val="00AF5098"/>
    <w:rsid w:val="00AF5300"/>
    <w:rsid w:val="00AF541A"/>
    <w:rsid w:val="00AF652F"/>
    <w:rsid w:val="00AF66BC"/>
    <w:rsid w:val="00AF68B4"/>
    <w:rsid w:val="00AF6A8B"/>
    <w:rsid w:val="00AF723D"/>
    <w:rsid w:val="00AF7F39"/>
    <w:rsid w:val="00AF7F6F"/>
    <w:rsid w:val="00B00970"/>
    <w:rsid w:val="00B00B49"/>
    <w:rsid w:val="00B00D62"/>
    <w:rsid w:val="00B01053"/>
    <w:rsid w:val="00B02008"/>
    <w:rsid w:val="00B0225C"/>
    <w:rsid w:val="00B02304"/>
    <w:rsid w:val="00B02707"/>
    <w:rsid w:val="00B03939"/>
    <w:rsid w:val="00B03B10"/>
    <w:rsid w:val="00B04568"/>
    <w:rsid w:val="00B047FF"/>
    <w:rsid w:val="00B04908"/>
    <w:rsid w:val="00B049BF"/>
    <w:rsid w:val="00B04D09"/>
    <w:rsid w:val="00B05455"/>
    <w:rsid w:val="00B05B0A"/>
    <w:rsid w:val="00B06893"/>
    <w:rsid w:val="00B06EFA"/>
    <w:rsid w:val="00B1097C"/>
    <w:rsid w:val="00B10FCC"/>
    <w:rsid w:val="00B12744"/>
    <w:rsid w:val="00B12C96"/>
    <w:rsid w:val="00B135AB"/>
    <w:rsid w:val="00B13799"/>
    <w:rsid w:val="00B14676"/>
    <w:rsid w:val="00B16358"/>
    <w:rsid w:val="00B164D5"/>
    <w:rsid w:val="00B171F8"/>
    <w:rsid w:val="00B17394"/>
    <w:rsid w:val="00B20497"/>
    <w:rsid w:val="00B20B40"/>
    <w:rsid w:val="00B20E29"/>
    <w:rsid w:val="00B20F24"/>
    <w:rsid w:val="00B21AB1"/>
    <w:rsid w:val="00B21B73"/>
    <w:rsid w:val="00B22A63"/>
    <w:rsid w:val="00B23395"/>
    <w:rsid w:val="00B24491"/>
    <w:rsid w:val="00B25C0B"/>
    <w:rsid w:val="00B25E4F"/>
    <w:rsid w:val="00B264BA"/>
    <w:rsid w:val="00B26812"/>
    <w:rsid w:val="00B26C9C"/>
    <w:rsid w:val="00B270ED"/>
    <w:rsid w:val="00B30917"/>
    <w:rsid w:val="00B309DB"/>
    <w:rsid w:val="00B31072"/>
    <w:rsid w:val="00B31EBD"/>
    <w:rsid w:val="00B32497"/>
    <w:rsid w:val="00B32E37"/>
    <w:rsid w:val="00B33CA2"/>
    <w:rsid w:val="00B34B4A"/>
    <w:rsid w:val="00B35D3B"/>
    <w:rsid w:val="00B3631B"/>
    <w:rsid w:val="00B40343"/>
    <w:rsid w:val="00B404A5"/>
    <w:rsid w:val="00B4062B"/>
    <w:rsid w:val="00B409F6"/>
    <w:rsid w:val="00B4115C"/>
    <w:rsid w:val="00B42064"/>
    <w:rsid w:val="00B42291"/>
    <w:rsid w:val="00B42DE5"/>
    <w:rsid w:val="00B42E37"/>
    <w:rsid w:val="00B44212"/>
    <w:rsid w:val="00B44939"/>
    <w:rsid w:val="00B44D6A"/>
    <w:rsid w:val="00B459CA"/>
    <w:rsid w:val="00B45E4D"/>
    <w:rsid w:val="00B4604C"/>
    <w:rsid w:val="00B4617D"/>
    <w:rsid w:val="00B467AD"/>
    <w:rsid w:val="00B46B5D"/>
    <w:rsid w:val="00B4739A"/>
    <w:rsid w:val="00B477BC"/>
    <w:rsid w:val="00B47953"/>
    <w:rsid w:val="00B47A59"/>
    <w:rsid w:val="00B5102D"/>
    <w:rsid w:val="00B53549"/>
    <w:rsid w:val="00B537F0"/>
    <w:rsid w:val="00B53E7C"/>
    <w:rsid w:val="00B53F2A"/>
    <w:rsid w:val="00B54262"/>
    <w:rsid w:val="00B54B2E"/>
    <w:rsid w:val="00B565ED"/>
    <w:rsid w:val="00B56E73"/>
    <w:rsid w:val="00B57583"/>
    <w:rsid w:val="00B60508"/>
    <w:rsid w:val="00B610A7"/>
    <w:rsid w:val="00B61A9A"/>
    <w:rsid w:val="00B629C6"/>
    <w:rsid w:val="00B64045"/>
    <w:rsid w:val="00B64309"/>
    <w:rsid w:val="00B64999"/>
    <w:rsid w:val="00B64E71"/>
    <w:rsid w:val="00B650E0"/>
    <w:rsid w:val="00B65DE1"/>
    <w:rsid w:val="00B66476"/>
    <w:rsid w:val="00B666DD"/>
    <w:rsid w:val="00B66E0B"/>
    <w:rsid w:val="00B678C1"/>
    <w:rsid w:val="00B67FD9"/>
    <w:rsid w:val="00B70332"/>
    <w:rsid w:val="00B70339"/>
    <w:rsid w:val="00B7168A"/>
    <w:rsid w:val="00B7172C"/>
    <w:rsid w:val="00B74371"/>
    <w:rsid w:val="00B7577F"/>
    <w:rsid w:val="00B75A05"/>
    <w:rsid w:val="00B75D26"/>
    <w:rsid w:val="00B75DDC"/>
    <w:rsid w:val="00B76098"/>
    <w:rsid w:val="00B76CE0"/>
    <w:rsid w:val="00B77A40"/>
    <w:rsid w:val="00B77C69"/>
    <w:rsid w:val="00B77E11"/>
    <w:rsid w:val="00B803FB"/>
    <w:rsid w:val="00B814FE"/>
    <w:rsid w:val="00B841F3"/>
    <w:rsid w:val="00B84200"/>
    <w:rsid w:val="00B84F8F"/>
    <w:rsid w:val="00B85074"/>
    <w:rsid w:val="00B8658A"/>
    <w:rsid w:val="00B86EFB"/>
    <w:rsid w:val="00B87BB1"/>
    <w:rsid w:val="00B90B87"/>
    <w:rsid w:val="00B91140"/>
    <w:rsid w:val="00B9303F"/>
    <w:rsid w:val="00B9360E"/>
    <w:rsid w:val="00B938E2"/>
    <w:rsid w:val="00B93BD7"/>
    <w:rsid w:val="00B93BF9"/>
    <w:rsid w:val="00B94370"/>
    <w:rsid w:val="00B94EAD"/>
    <w:rsid w:val="00B9542C"/>
    <w:rsid w:val="00B9563D"/>
    <w:rsid w:val="00B96262"/>
    <w:rsid w:val="00B96372"/>
    <w:rsid w:val="00B968F9"/>
    <w:rsid w:val="00B978F0"/>
    <w:rsid w:val="00BA0482"/>
    <w:rsid w:val="00BA0B63"/>
    <w:rsid w:val="00BA1076"/>
    <w:rsid w:val="00BA136F"/>
    <w:rsid w:val="00BA4766"/>
    <w:rsid w:val="00BA6773"/>
    <w:rsid w:val="00BA6CE5"/>
    <w:rsid w:val="00BA72A2"/>
    <w:rsid w:val="00BA7529"/>
    <w:rsid w:val="00BA78E6"/>
    <w:rsid w:val="00BB252D"/>
    <w:rsid w:val="00BB268F"/>
    <w:rsid w:val="00BB3807"/>
    <w:rsid w:val="00BB3A3B"/>
    <w:rsid w:val="00BB4BAE"/>
    <w:rsid w:val="00BB4DC8"/>
    <w:rsid w:val="00BB5C48"/>
    <w:rsid w:val="00BB62C6"/>
    <w:rsid w:val="00BB6E7F"/>
    <w:rsid w:val="00BC1917"/>
    <w:rsid w:val="00BC24A7"/>
    <w:rsid w:val="00BC250D"/>
    <w:rsid w:val="00BC26EC"/>
    <w:rsid w:val="00BC515B"/>
    <w:rsid w:val="00BC583C"/>
    <w:rsid w:val="00BC5C9E"/>
    <w:rsid w:val="00BC6609"/>
    <w:rsid w:val="00BD07B9"/>
    <w:rsid w:val="00BD0ACF"/>
    <w:rsid w:val="00BD0F9B"/>
    <w:rsid w:val="00BD1B4D"/>
    <w:rsid w:val="00BD2411"/>
    <w:rsid w:val="00BD2A8A"/>
    <w:rsid w:val="00BD2E9B"/>
    <w:rsid w:val="00BD4107"/>
    <w:rsid w:val="00BD4A1D"/>
    <w:rsid w:val="00BD51D4"/>
    <w:rsid w:val="00BD6D7A"/>
    <w:rsid w:val="00BD7AD5"/>
    <w:rsid w:val="00BD7F5D"/>
    <w:rsid w:val="00BE017B"/>
    <w:rsid w:val="00BE0C1D"/>
    <w:rsid w:val="00BE1E24"/>
    <w:rsid w:val="00BE269D"/>
    <w:rsid w:val="00BE358D"/>
    <w:rsid w:val="00BE399E"/>
    <w:rsid w:val="00BE4A40"/>
    <w:rsid w:val="00BE4F20"/>
    <w:rsid w:val="00BE55C4"/>
    <w:rsid w:val="00BE5C78"/>
    <w:rsid w:val="00BE5CDE"/>
    <w:rsid w:val="00BE665B"/>
    <w:rsid w:val="00BE6BDF"/>
    <w:rsid w:val="00BE7511"/>
    <w:rsid w:val="00BE7E3B"/>
    <w:rsid w:val="00BF0010"/>
    <w:rsid w:val="00BF00BD"/>
    <w:rsid w:val="00BF283B"/>
    <w:rsid w:val="00BF386F"/>
    <w:rsid w:val="00BF3CC7"/>
    <w:rsid w:val="00BF47A5"/>
    <w:rsid w:val="00BF4BEC"/>
    <w:rsid w:val="00BF4F07"/>
    <w:rsid w:val="00BF64DC"/>
    <w:rsid w:val="00BF6E1F"/>
    <w:rsid w:val="00BF7619"/>
    <w:rsid w:val="00C0063D"/>
    <w:rsid w:val="00C014EA"/>
    <w:rsid w:val="00C016F2"/>
    <w:rsid w:val="00C0171C"/>
    <w:rsid w:val="00C01D8B"/>
    <w:rsid w:val="00C0393F"/>
    <w:rsid w:val="00C03FCA"/>
    <w:rsid w:val="00C04077"/>
    <w:rsid w:val="00C04337"/>
    <w:rsid w:val="00C047D4"/>
    <w:rsid w:val="00C0521E"/>
    <w:rsid w:val="00C05F48"/>
    <w:rsid w:val="00C06A4E"/>
    <w:rsid w:val="00C10868"/>
    <w:rsid w:val="00C11BAD"/>
    <w:rsid w:val="00C11E3F"/>
    <w:rsid w:val="00C1228F"/>
    <w:rsid w:val="00C12380"/>
    <w:rsid w:val="00C12848"/>
    <w:rsid w:val="00C1288A"/>
    <w:rsid w:val="00C12AFF"/>
    <w:rsid w:val="00C144F4"/>
    <w:rsid w:val="00C15AE4"/>
    <w:rsid w:val="00C17698"/>
    <w:rsid w:val="00C202A2"/>
    <w:rsid w:val="00C21309"/>
    <w:rsid w:val="00C214DB"/>
    <w:rsid w:val="00C21C5D"/>
    <w:rsid w:val="00C2222C"/>
    <w:rsid w:val="00C22ABF"/>
    <w:rsid w:val="00C2306C"/>
    <w:rsid w:val="00C2322D"/>
    <w:rsid w:val="00C23C4D"/>
    <w:rsid w:val="00C24C36"/>
    <w:rsid w:val="00C259DA"/>
    <w:rsid w:val="00C25ED6"/>
    <w:rsid w:val="00C263E1"/>
    <w:rsid w:val="00C2651A"/>
    <w:rsid w:val="00C26CD6"/>
    <w:rsid w:val="00C271CB"/>
    <w:rsid w:val="00C3010D"/>
    <w:rsid w:val="00C30756"/>
    <w:rsid w:val="00C30C04"/>
    <w:rsid w:val="00C316C5"/>
    <w:rsid w:val="00C31876"/>
    <w:rsid w:val="00C33FC5"/>
    <w:rsid w:val="00C345DC"/>
    <w:rsid w:val="00C34A54"/>
    <w:rsid w:val="00C358FD"/>
    <w:rsid w:val="00C36452"/>
    <w:rsid w:val="00C365FF"/>
    <w:rsid w:val="00C36BAC"/>
    <w:rsid w:val="00C379FB"/>
    <w:rsid w:val="00C37CFB"/>
    <w:rsid w:val="00C40068"/>
    <w:rsid w:val="00C414B2"/>
    <w:rsid w:val="00C41A1E"/>
    <w:rsid w:val="00C41C0C"/>
    <w:rsid w:val="00C41DFA"/>
    <w:rsid w:val="00C44DC2"/>
    <w:rsid w:val="00C44F68"/>
    <w:rsid w:val="00C457F5"/>
    <w:rsid w:val="00C45840"/>
    <w:rsid w:val="00C46259"/>
    <w:rsid w:val="00C46971"/>
    <w:rsid w:val="00C46A2A"/>
    <w:rsid w:val="00C4734B"/>
    <w:rsid w:val="00C47AA3"/>
    <w:rsid w:val="00C50092"/>
    <w:rsid w:val="00C5026C"/>
    <w:rsid w:val="00C50FB7"/>
    <w:rsid w:val="00C51BAE"/>
    <w:rsid w:val="00C529E2"/>
    <w:rsid w:val="00C53017"/>
    <w:rsid w:val="00C54511"/>
    <w:rsid w:val="00C54C3A"/>
    <w:rsid w:val="00C56A42"/>
    <w:rsid w:val="00C56A70"/>
    <w:rsid w:val="00C57059"/>
    <w:rsid w:val="00C57318"/>
    <w:rsid w:val="00C60293"/>
    <w:rsid w:val="00C602E3"/>
    <w:rsid w:val="00C606A9"/>
    <w:rsid w:val="00C6081A"/>
    <w:rsid w:val="00C62C35"/>
    <w:rsid w:val="00C62D51"/>
    <w:rsid w:val="00C63EB8"/>
    <w:rsid w:val="00C64EA2"/>
    <w:rsid w:val="00C65985"/>
    <w:rsid w:val="00C65CCF"/>
    <w:rsid w:val="00C667BB"/>
    <w:rsid w:val="00C670CB"/>
    <w:rsid w:val="00C673AD"/>
    <w:rsid w:val="00C677DE"/>
    <w:rsid w:val="00C67F09"/>
    <w:rsid w:val="00C7134A"/>
    <w:rsid w:val="00C730F6"/>
    <w:rsid w:val="00C74902"/>
    <w:rsid w:val="00C749C7"/>
    <w:rsid w:val="00C769D0"/>
    <w:rsid w:val="00C76AFE"/>
    <w:rsid w:val="00C76BC3"/>
    <w:rsid w:val="00C776F9"/>
    <w:rsid w:val="00C80143"/>
    <w:rsid w:val="00C805B5"/>
    <w:rsid w:val="00C8277E"/>
    <w:rsid w:val="00C827FF"/>
    <w:rsid w:val="00C837BF"/>
    <w:rsid w:val="00C84EF1"/>
    <w:rsid w:val="00C85678"/>
    <w:rsid w:val="00C86296"/>
    <w:rsid w:val="00C8680C"/>
    <w:rsid w:val="00C86A5F"/>
    <w:rsid w:val="00C877DE"/>
    <w:rsid w:val="00C913D2"/>
    <w:rsid w:val="00C917A4"/>
    <w:rsid w:val="00C91AFC"/>
    <w:rsid w:val="00C938F4"/>
    <w:rsid w:val="00C93A3F"/>
    <w:rsid w:val="00C93EB2"/>
    <w:rsid w:val="00C94988"/>
    <w:rsid w:val="00C94F5B"/>
    <w:rsid w:val="00C95B1D"/>
    <w:rsid w:val="00C96145"/>
    <w:rsid w:val="00C96CAF"/>
    <w:rsid w:val="00C97ACE"/>
    <w:rsid w:val="00CA14B5"/>
    <w:rsid w:val="00CA2257"/>
    <w:rsid w:val="00CA2F88"/>
    <w:rsid w:val="00CA2FD9"/>
    <w:rsid w:val="00CA3D6D"/>
    <w:rsid w:val="00CA6089"/>
    <w:rsid w:val="00CA79B7"/>
    <w:rsid w:val="00CA7A1D"/>
    <w:rsid w:val="00CB0D65"/>
    <w:rsid w:val="00CB1685"/>
    <w:rsid w:val="00CB1F26"/>
    <w:rsid w:val="00CB1F53"/>
    <w:rsid w:val="00CB25D4"/>
    <w:rsid w:val="00CB2DE2"/>
    <w:rsid w:val="00CB4048"/>
    <w:rsid w:val="00CB45EC"/>
    <w:rsid w:val="00CB4AF3"/>
    <w:rsid w:val="00CB4E09"/>
    <w:rsid w:val="00CB63E6"/>
    <w:rsid w:val="00CB6514"/>
    <w:rsid w:val="00CB672C"/>
    <w:rsid w:val="00CB6A40"/>
    <w:rsid w:val="00CB75CC"/>
    <w:rsid w:val="00CB7730"/>
    <w:rsid w:val="00CB7D60"/>
    <w:rsid w:val="00CC04AD"/>
    <w:rsid w:val="00CC07E1"/>
    <w:rsid w:val="00CC2367"/>
    <w:rsid w:val="00CC2A42"/>
    <w:rsid w:val="00CC30B8"/>
    <w:rsid w:val="00CC42D8"/>
    <w:rsid w:val="00CC5458"/>
    <w:rsid w:val="00CC644E"/>
    <w:rsid w:val="00CC671E"/>
    <w:rsid w:val="00CC6E42"/>
    <w:rsid w:val="00CD09AD"/>
    <w:rsid w:val="00CD2F53"/>
    <w:rsid w:val="00CD3C16"/>
    <w:rsid w:val="00CD4F4D"/>
    <w:rsid w:val="00CD5550"/>
    <w:rsid w:val="00CD6F94"/>
    <w:rsid w:val="00CD735D"/>
    <w:rsid w:val="00CE0308"/>
    <w:rsid w:val="00CE0B73"/>
    <w:rsid w:val="00CE1259"/>
    <w:rsid w:val="00CE312B"/>
    <w:rsid w:val="00CE33C3"/>
    <w:rsid w:val="00CE3A93"/>
    <w:rsid w:val="00CE412A"/>
    <w:rsid w:val="00CE4192"/>
    <w:rsid w:val="00CE5129"/>
    <w:rsid w:val="00CE5641"/>
    <w:rsid w:val="00CE58D9"/>
    <w:rsid w:val="00CE5C9C"/>
    <w:rsid w:val="00CE657A"/>
    <w:rsid w:val="00CE77B7"/>
    <w:rsid w:val="00CE77DF"/>
    <w:rsid w:val="00CF0946"/>
    <w:rsid w:val="00CF198D"/>
    <w:rsid w:val="00CF1B26"/>
    <w:rsid w:val="00CF2014"/>
    <w:rsid w:val="00CF3E06"/>
    <w:rsid w:val="00CF5BE9"/>
    <w:rsid w:val="00CF667D"/>
    <w:rsid w:val="00CF6E65"/>
    <w:rsid w:val="00CF78FE"/>
    <w:rsid w:val="00CF7D3E"/>
    <w:rsid w:val="00CF7EFC"/>
    <w:rsid w:val="00D016A7"/>
    <w:rsid w:val="00D02C2C"/>
    <w:rsid w:val="00D03471"/>
    <w:rsid w:val="00D038AD"/>
    <w:rsid w:val="00D039D3"/>
    <w:rsid w:val="00D03D47"/>
    <w:rsid w:val="00D03F39"/>
    <w:rsid w:val="00D0413E"/>
    <w:rsid w:val="00D04492"/>
    <w:rsid w:val="00D0478E"/>
    <w:rsid w:val="00D062D6"/>
    <w:rsid w:val="00D06C8A"/>
    <w:rsid w:val="00D06D1C"/>
    <w:rsid w:val="00D07B88"/>
    <w:rsid w:val="00D10CB8"/>
    <w:rsid w:val="00D118EA"/>
    <w:rsid w:val="00D127C3"/>
    <w:rsid w:val="00D12E3A"/>
    <w:rsid w:val="00D13224"/>
    <w:rsid w:val="00D13322"/>
    <w:rsid w:val="00D138B9"/>
    <w:rsid w:val="00D13EAE"/>
    <w:rsid w:val="00D13F1C"/>
    <w:rsid w:val="00D14B3D"/>
    <w:rsid w:val="00D14B4A"/>
    <w:rsid w:val="00D1519E"/>
    <w:rsid w:val="00D15592"/>
    <w:rsid w:val="00D15A36"/>
    <w:rsid w:val="00D17212"/>
    <w:rsid w:val="00D17634"/>
    <w:rsid w:val="00D1779E"/>
    <w:rsid w:val="00D21B0A"/>
    <w:rsid w:val="00D22D81"/>
    <w:rsid w:val="00D23312"/>
    <w:rsid w:val="00D233AF"/>
    <w:rsid w:val="00D2416A"/>
    <w:rsid w:val="00D24D77"/>
    <w:rsid w:val="00D24F87"/>
    <w:rsid w:val="00D254A7"/>
    <w:rsid w:val="00D26670"/>
    <w:rsid w:val="00D27527"/>
    <w:rsid w:val="00D27BA3"/>
    <w:rsid w:val="00D305BB"/>
    <w:rsid w:val="00D30F7A"/>
    <w:rsid w:val="00D310F9"/>
    <w:rsid w:val="00D3176F"/>
    <w:rsid w:val="00D31A40"/>
    <w:rsid w:val="00D33551"/>
    <w:rsid w:val="00D3441D"/>
    <w:rsid w:val="00D3540C"/>
    <w:rsid w:val="00D35478"/>
    <w:rsid w:val="00D35BDB"/>
    <w:rsid w:val="00D35FD0"/>
    <w:rsid w:val="00D403B5"/>
    <w:rsid w:val="00D40828"/>
    <w:rsid w:val="00D412CB"/>
    <w:rsid w:val="00D4227F"/>
    <w:rsid w:val="00D42816"/>
    <w:rsid w:val="00D42FF3"/>
    <w:rsid w:val="00D43A83"/>
    <w:rsid w:val="00D43C62"/>
    <w:rsid w:val="00D43E90"/>
    <w:rsid w:val="00D448F2"/>
    <w:rsid w:val="00D45BA4"/>
    <w:rsid w:val="00D47CA8"/>
    <w:rsid w:val="00D5011D"/>
    <w:rsid w:val="00D50426"/>
    <w:rsid w:val="00D509B6"/>
    <w:rsid w:val="00D52011"/>
    <w:rsid w:val="00D52EEC"/>
    <w:rsid w:val="00D53C0C"/>
    <w:rsid w:val="00D54422"/>
    <w:rsid w:val="00D54DC6"/>
    <w:rsid w:val="00D554BB"/>
    <w:rsid w:val="00D554CD"/>
    <w:rsid w:val="00D5580F"/>
    <w:rsid w:val="00D558C6"/>
    <w:rsid w:val="00D561A8"/>
    <w:rsid w:val="00D5701B"/>
    <w:rsid w:val="00D57536"/>
    <w:rsid w:val="00D602FA"/>
    <w:rsid w:val="00D6120D"/>
    <w:rsid w:val="00D61990"/>
    <w:rsid w:val="00D61BF0"/>
    <w:rsid w:val="00D63398"/>
    <w:rsid w:val="00D64222"/>
    <w:rsid w:val="00D65CD4"/>
    <w:rsid w:val="00D65E2C"/>
    <w:rsid w:val="00D664D3"/>
    <w:rsid w:val="00D66BAF"/>
    <w:rsid w:val="00D67638"/>
    <w:rsid w:val="00D67734"/>
    <w:rsid w:val="00D70E21"/>
    <w:rsid w:val="00D71E63"/>
    <w:rsid w:val="00D73ABB"/>
    <w:rsid w:val="00D74614"/>
    <w:rsid w:val="00D74A73"/>
    <w:rsid w:val="00D74B55"/>
    <w:rsid w:val="00D74EE6"/>
    <w:rsid w:val="00D751D1"/>
    <w:rsid w:val="00D75CB1"/>
    <w:rsid w:val="00D7683A"/>
    <w:rsid w:val="00D77377"/>
    <w:rsid w:val="00D77645"/>
    <w:rsid w:val="00D77EEE"/>
    <w:rsid w:val="00D80E17"/>
    <w:rsid w:val="00D82491"/>
    <w:rsid w:val="00D8310C"/>
    <w:rsid w:val="00D8478F"/>
    <w:rsid w:val="00D859C9"/>
    <w:rsid w:val="00D85F96"/>
    <w:rsid w:val="00D867BC"/>
    <w:rsid w:val="00D86ED2"/>
    <w:rsid w:val="00D86EEB"/>
    <w:rsid w:val="00D86FC2"/>
    <w:rsid w:val="00D87232"/>
    <w:rsid w:val="00D872F5"/>
    <w:rsid w:val="00D87851"/>
    <w:rsid w:val="00D93547"/>
    <w:rsid w:val="00D93A42"/>
    <w:rsid w:val="00D9479F"/>
    <w:rsid w:val="00D952C6"/>
    <w:rsid w:val="00D953FE"/>
    <w:rsid w:val="00D971F3"/>
    <w:rsid w:val="00D975DC"/>
    <w:rsid w:val="00D979E8"/>
    <w:rsid w:val="00D97D2E"/>
    <w:rsid w:val="00DA0EA2"/>
    <w:rsid w:val="00DA17EB"/>
    <w:rsid w:val="00DA1FE2"/>
    <w:rsid w:val="00DA20BD"/>
    <w:rsid w:val="00DA24CC"/>
    <w:rsid w:val="00DA2B9B"/>
    <w:rsid w:val="00DA3801"/>
    <w:rsid w:val="00DA4764"/>
    <w:rsid w:val="00DA4AE2"/>
    <w:rsid w:val="00DA5014"/>
    <w:rsid w:val="00DA5878"/>
    <w:rsid w:val="00DA5BA6"/>
    <w:rsid w:val="00DA5E59"/>
    <w:rsid w:val="00DA645B"/>
    <w:rsid w:val="00DB0F59"/>
    <w:rsid w:val="00DB0FF8"/>
    <w:rsid w:val="00DB13CD"/>
    <w:rsid w:val="00DB1E5C"/>
    <w:rsid w:val="00DB23A3"/>
    <w:rsid w:val="00DB2448"/>
    <w:rsid w:val="00DB2C0F"/>
    <w:rsid w:val="00DB3023"/>
    <w:rsid w:val="00DB4648"/>
    <w:rsid w:val="00DB4C7D"/>
    <w:rsid w:val="00DB6675"/>
    <w:rsid w:val="00DB7145"/>
    <w:rsid w:val="00DB7C37"/>
    <w:rsid w:val="00DC08E2"/>
    <w:rsid w:val="00DC0C96"/>
    <w:rsid w:val="00DC181F"/>
    <w:rsid w:val="00DC2254"/>
    <w:rsid w:val="00DC2286"/>
    <w:rsid w:val="00DC2EB9"/>
    <w:rsid w:val="00DC2FD7"/>
    <w:rsid w:val="00DC340F"/>
    <w:rsid w:val="00DC3516"/>
    <w:rsid w:val="00DC4286"/>
    <w:rsid w:val="00DC4AC9"/>
    <w:rsid w:val="00DC4E6A"/>
    <w:rsid w:val="00DC51A7"/>
    <w:rsid w:val="00DC53D7"/>
    <w:rsid w:val="00DC62E6"/>
    <w:rsid w:val="00DC6757"/>
    <w:rsid w:val="00DC678B"/>
    <w:rsid w:val="00DD10CE"/>
    <w:rsid w:val="00DD1307"/>
    <w:rsid w:val="00DD1629"/>
    <w:rsid w:val="00DD2804"/>
    <w:rsid w:val="00DD388B"/>
    <w:rsid w:val="00DD3939"/>
    <w:rsid w:val="00DD3C43"/>
    <w:rsid w:val="00DD43AD"/>
    <w:rsid w:val="00DD4B8A"/>
    <w:rsid w:val="00DD4CE0"/>
    <w:rsid w:val="00DD544F"/>
    <w:rsid w:val="00DD580C"/>
    <w:rsid w:val="00DD62D6"/>
    <w:rsid w:val="00DD62F2"/>
    <w:rsid w:val="00DD7656"/>
    <w:rsid w:val="00DD78B0"/>
    <w:rsid w:val="00DE132E"/>
    <w:rsid w:val="00DE1749"/>
    <w:rsid w:val="00DE1F9D"/>
    <w:rsid w:val="00DE378F"/>
    <w:rsid w:val="00DE4145"/>
    <w:rsid w:val="00DE4C8A"/>
    <w:rsid w:val="00DE5C40"/>
    <w:rsid w:val="00DE5D5E"/>
    <w:rsid w:val="00DE6DC2"/>
    <w:rsid w:val="00DE7359"/>
    <w:rsid w:val="00DE7AFE"/>
    <w:rsid w:val="00DE7E30"/>
    <w:rsid w:val="00DF0B5A"/>
    <w:rsid w:val="00DF0CA7"/>
    <w:rsid w:val="00DF0F05"/>
    <w:rsid w:val="00DF0F66"/>
    <w:rsid w:val="00DF17E9"/>
    <w:rsid w:val="00DF3C10"/>
    <w:rsid w:val="00DF44A0"/>
    <w:rsid w:val="00DF4C3F"/>
    <w:rsid w:val="00DF644D"/>
    <w:rsid w:val="00DF739E"/>
    <w:rsid w:val="00E0222A"/>
    <w:rsid w:val="00E02808"/>
    <w:rsid w:val="00E02C1B"/>
    <w:rsid w:val="00E060B8"/>
    <w:rsid w:val="00E06755"/>
    <w:rsid w:val="00E06D05"/>
    <w:rsid w:val="00E10C9B"/>
    <w:rsid w:val="00E110DE"/>
    <w:rsid w:val="00E11EE3"/>
    <w:rsid w:val="00E12A79"/>
    <w:rsid w:val="00E14EDB"/>
    <w:rsid w:val="00E15D2F"/>
    <w:rsid w:val="00E1760B"/>
    <w:rsid w:val="00E17EFF"/>
    <w:rsid w:val="00E20379"/>
    <w:rsid w:val="00E20967"/>
    <w:rsid w:val="00E20AFD"/>
    <w:rsid w:val="00E210E1"/>
    <w:rsid w:val="00E216D2"/>
    <w:rsid w:val="00E21BD9"/>
    <w:rsid w:val="00E21D2E"/>
    <w:rsid w:val="00E21D70"/>
    <w:rsid w:val="00E222D0"/>
    <w:rsid w:val="00E222FF"/>
    <w:rsid w:val="00E228E9"/>
    <w:rsid w:val="00E22BD1"/>
    <w:rsid w:val="00E23FE3"/>
    <w:rsid w:val="00E2461F"/>
    <w:rsid w:val="00E24EDD"/>
    <w:rsid w:val="00E250D7"/>
    <w:rsid w:val="00E2551E"/>
    <w:rsid w:val="00E2589A"/>
    <w:rsid w:val="00E26220"/>
    <w:rsid w:val="00E263E4"/>
    <w:rsid w:val="00E26508"/>
    <w:rsid w:val="00E2742F"/>
    <w:rsid w:val="00E30BA3"/>
    <w:rsid w:val="00E30D23"/>
    <w:rsid w:val="00E315AE"/>
    <w:rsid w:val="00E316F7"/>
    <w:rsid w:val="00E32D64"/>
    <w:rsid w:val="00E33E51"/>
    <w:rsid w:val="00E3507E"/>
    <w:rsid w:val="00E35664"/>
    <w:rsid w:val="00E36206"/>
    <w:rsid w:val="00E36B7D"/>
    <w:rsid w:val="00E375A9"/>
    <w:rsid w:val="00E400B1"/>
    <w:rsid w:val="00E400C3"/>
    <w:rsid w:val="00E409B5"/>
    <w:rsid w:val="00E412ED"/>
    <w:rsid w:val="00E416FF"/>
    <w:rsid w:val="00E41AD5"/>
    <w:rsid w:val="00E41B58"/>
    <w:rsid w:val="00E42034"/>
    <w:rsid w:val="00E43761"/>
    <w:rsid w:val="00E43958"/>
    <w:rsid w:val="00E43CE6"/>
    <w:rsid w:val="00E43EBC"/>
    <w:rsid w:val="00E44D9F"/>
    <w:rsid w:val="00E457A4"/>
    <w:rsid w:val="00E45C90"/>
    <w:rsid w:val="00E461D0"/>
    <w:rsid w:val="00E4742E"/>
    <w:rsid w:val="00E47488"/>
    <w:rsid w:val="00E474B3"/>
    <w:rsid w:val="00E53E13"/>
    <w:rsid w:val="00E548DD"/>
    <w:rsid w:val="00E54969"/>
    <w:rsid w:val="00E553DE"/>
    <w:rsid w:val="00E57C3C"/>
    <w:rsid w:val="00E601DD"/>
    <w:rsid w:val="00E6100F"/>
    <w:rsid w:val="00E61176"/>
    <w:rsid w:val="00E615E7"/>
    <w:rsid w:val="00E61E7C"/>
    <w:rsid w:val="00E62C73"/>
    <w:rsid w:val="00E640F0"/>
    <w:rsid w:val="00E64A45"/>
    <w:rsid w:val="00E64D99"/>
    <w:rsid w:val="00E64FA3"/>
    <w:rsid w:val="00E65C5D"/>
    <w:rsid w:val="00E65E23"/>
    <w:rsid w:val="00E65E2E"/>
    <w:rsid w:val="00E67332"/>
    <w:rsid w:val="00E6795E"/>
    <w:rsid w:val="00E67F97"/>
    <w:rsid w:val="00E70618"/>
    <w:rsid w:val="00E735BF"/>
    <w:rsid w:val="00E73ED4"/>
    <w:rsid w:val="00E7402B"/>
    <w:rsid w:val="00E75646"/>
    <w:rsid w:val="00E7588C"/>
    <w:rsid w:val="00E7626A"/>
    <w:rsid w:val="00E77264"/>
    <w:rsid w:val="00E777E1"/>
    <w:rsid w:val="00E7BD65"/>
    <w:rsid w:val="00E8063F"/>
    <w:rsid w:val="00E80CD6"/>
    <w:rsid w:val="00E811A3"/>
    <w:rsid w:val="00E8159C"/>
    <w:rsid w:val="00E81662"/>
    <w:rsid w:val="00E81C49"/>
    <w:rsid w:val="00E827BB"/>
    <w:rsid w:val="00E84089"/>
    <w:rsid w:val="00E8458E"/>
    <w:rsid w:val="00E8506D"/>
    <w:rsid w:val="00E8523E"/>
    <w:rsid w:val="00E856C9"/>
    <w:rsid w:val="00E86E42"/>
    <w:rsid w:val="00E8708B"/>
    <w:rsid w:val="00E87750"/>
    <w:rsid w:val="00E87794"/>
    <w:rsid w:val="00E90303"/>
    <w:rsid w:val="00E90428"/>
    <w:rsid w:val="00E91124"/>
    <w:rsid w:val="00E91591"/>
    <w:rsid w:val="00E92580"/>
    <w:rsid w:val="00E92B81"/>
    <w:rsid w:val="00E9327F"/>
    <w:rsid w:val="00E937D0"/>
    <w:rsid w:val="00E94641"/>
    <w:rsid w:val="00E94715"/>
    <w:rsid w:val="00E94F8E"/>
    <w:rsid w:val="00E95605"/>
    <w:rsid w:val="00E95ED4"/>
    <w:rsid w:val="00E964C6"/>
    <w:rsid w:val="00E9714E"/>
    <w:rsid w:val="00E97496"/>
    <w:rsid w:val="00E978D2"/>
    <w:rsid w:val="00E97F31"/>
    <w:rsid w:val="00EA04EE"/>
    <w:rsid w:val="00EA2689"/>
    <w:rsid w:val="00EA28F5"/>
    <w:rsid w:val="00EA2AB7"/>
    <w:rsid w:val="00EA2CE4"/>
    <w:rsid w:val="00EA33D5"/>
    <w:rsid w:val="00EA3AC7"/>
    <w:rsid w:val="00EA3C46"/>
    <w:rsid w:val="00EA43ED"/>
    <w:rsid w:val="00EA6171"/>
    <w:rsid w:val="00EA683E"/>
    <w:rsid w:val="00EA6DEB"/>
    <w:rsid w:val="00EB17BE"/>
    <w:rsid w:val="00EB1CE1"/>
    <w:rsid w:val="00EB1DF8"/>
    <w:rsid w:val="00EB1E34"/>
    <w:rsid w:val="00EB2442"/>
    <w:rsid w:val="00EB2855"/>
    <w:rsid w:val="00EB3BDB"/>
    <w:rsid w:val="00EB44EB"/>
    <w:rsid w:val="00EB453E"/>
    <w:rsid w:val="00EB5103"/>
    <w:rsid w:val="00EB529E"/>
    <w:rsid w:val="00EB555F"/>
    <w:rsid w:val="00EB5667"/>
    <w:rsid w:val="00EB72C8"/>
    <w:rsid w:val="00EB72F5"/>
    <w:rsid w:val="00EC0C0E"/>
    <w:rsid w:val="00EC0D97"/>
    <w:rsid w:val="00EC0DC5"/>
    <w:rsid w:val="00EC153B"/>
    <w:rsid w:val="00EC20A2"/>
    <w:rsid w:val="00EC2BCC"/>
    <w:rsid w:val="00EC67E9"/>
    <w:rsid w:val="00EC6C5D"/>
    <w:rsid w:val="00EC7FDC"/>
    <w:rsid w:val="00ED1964"/>
    <w:rsid w:val="00ED20F0"/>
    <w:rsid w:val="00ED2117"/>
    <w:rsid w:val="00ED4012"/>
    <w:rsid w:val="00ED4C49"/>
    <w:rsid w:val="00ED60BD"/>
    <w:rsid w:val="00ED64F4"/>
    <w:rsid w:val="00ED6A8C"/>
    <w:rsid w:val="00ED6D52"/>
    <w:rsid w:val="00ED7946"/>
    <w:rsid w:val="00EE10E6"/>
    <w:rsid w:val="00EE1517"/>
    <w:rsid w:val="00EE175C"/>
    <w:rsid w:val="00EE1D25"/>
    <w:rsid w:val="00EE2A56"/>
    <w:rsid w:val="00EE3F98"/>
    <w:rsid w:val="00EE4003"/>
    <w:rsid w:val="00EE4392"/>
    <w:rsid w:val="00EE4A4D"/>
    <w:rsid w:val="00EE566A"/>
    <w:rsid w:val="00EE5A1F"/>
    <w:rsid w:val="00EE5B2E"/>
    <w:rsid w:val="00EE6DC9"/>
    <w:rsid w:val="00EF0673"/>
    <w:rsid w:val="00EF0849"/>
    <w:rsid w:val="00EF288B"/>
    <w:rsid w:val="00EF311E"/>
    <w:rsid w:val="00EF48BC"/>
    <w:rsid w:val="00EF4B8A"/>
    <w:rsid w:val="00EF6993"/>
    <w:rsid w:val="00EF768E"/>
    <w:rsid w:val="00EF7A6B"/>
    <w:rsid w:val="00EF7CC5"/>
    <w:rsid w:val="00EF7E10"/>
    <w:rsid w:val="00F01EC9"/>
    <w:rsid w:val="00F02A9F"/>
    <w:rsid w:val="00F03034"/>
    <w:rsid w:val="00F0450C"/>
    <w:rsid w:val="00F051DD"/>
    <w:rsid w:val="00F05568"/>
    <w:rsid w:val="00F05667"/>
    <w:rsid w:val="00F058DC"/>
    <w:rsid w:val="00F059D0"/>
    <w:rsid w:val="00F06310"/>
    <w:rsid w:val="00F0632C"/>
    <w:rsid w:val="00F06ECE"/>
    <w:rsid w:val="00F07916"/>
    <w:rsid w:val="00F102EB"/>
    <w:rsid w:val="00F105EF"/>
    <w:rsid w:val="00F10834"/>
    <w:rsid w:val="00F10976"/>
    <w:rsid w:val="00F10B7E"/>
    <w:rsid w:val="00F10E32"/>
    <w:rsid w:val="00F10F52"/>
    <w:rsid w:val="00F114F8"/>
    <w:rsid w:val="00F12505"/>
    <w:rsid w:val="00F12E13"/>
    <w:rsid w:val="00F1386D"/>
    <w:rsid w:val="00F14232"/>
    <w:rsid w:val="00F14E9F"/>
    <w:rsid w:val="00F161BD"/>
    <w:rsid w:val="00F16205"/>
    <w:rsid w:val="00F16E23"/>
    <w:rsid w:val="00F172C6"/>
    <w:rsid w:val="00F20197"/>
    <w:rsid w:val="00F214CE"/>
    <w:rsid w:val="00F21EA3"/>
    <w:rsid w:val="00F221C9"/>
    <w:rsid w:val="00F225A7"/>
    <w:rsid w:val="00F22687"/>
    <w:rsid w:val="00F24FE0"/>
    <w:rsid w:val="00F25AEB"/>
    <w:rsid w:val="00F2732B"/>
    <w:rsid w:val="00F27E16"/>
    <w:rsid w:val="00F27EE4"/>
    <w:rsid w:val="00F30526"/>
    <w:rsid w:val="00F32415"/>
    <w:rsid w:val="00F3249A"/>
    <w:rsid w:val="00F32A03"/>
    <w:rsid w:val="00F33DA6"/>
    <w:rsid w:val="00F33EF1"/>
    <w:rsid w:val="00F33F12"/>
    <w:rsid w:val="00F3458C"/>
    <w:rsid w:val="00F34EEC"/>
    <w:rsid w:val="00F35D75"/>
    <w:rsid w:val="00F361B0"/>
    <w:rsid w:val="00F36359"/>
    <w:rsid w:val="00F36375"/>
    <w:rsid w:val="00F36892"/>
    <w:rsid w:val="00F368A3"/>
    <w:rsid w:val="00F372AB"/>
    <w:rsid w:val="00F373EB"/>
    <w:rsid w:val="00F37DAF"/>
    <w:rsid w:val="00F40185"/>
    <w:rsid w:val="00F42005"/>
    <w:rsid w:val="00F42489"/>
    <w:rsid w:val="00F4339B"/>
    <w:rsid w:val="00F45913"/>
    <w:rsid w:val="00F471C7"/>
    <w:rsid w:val="00F478FB"/>
    <w:rsid w:val="00F479AC"/>
    <w:rsid w:val="00F54E39"/>
    <w:rsid w:val="00F55CC8"/>
    <w:rsid w:val="00F5671E"/>
    <w:rsid w:val="00F5696F"/>
    <w:rsid w:val="00F57410"/>
    <w:rsid w:val="00F574BF"/>
    <w:rsid w:val="00F576C2"/>
    <w:rsid w:val="00F60F73"/>
    <w:rsid w:val="00F6100E"/>
    <w:rsid w:val="00F61188"/>
    <w:rsid w:val="00F6138A"/>
    <w:rsid w:val="00F61390"/>
    <w:rsid w:val="00F616AC"/>
    <w:rsid w:val="00F61B9B"/>
    <w:rsid w:val="00F61D69"/>
    <w:rsid w:val="00F61DAD"/>
    <w:rsid w:val="00F62DC0"/>
    <w:rsid w:val="00F63232"/>
    <w:rsid w:val="00F64A45"/>
    <w:rsid w:val="00F65CB5"/>
    <w:rsid w:val="00F66C49"/>
    <w:rsid w:val="00F675DF"/>
    <w:rsid w:val="00F67E04"/>
    <w:rsid w:val="00F67E44"/>
    <w:rsid w:val="00F7150F"/>
    <w:rsid w:val="00F71AE3"/>
    <w:rsid w:val="00F71E81"/>
    <w:rsid w:val="00F72F39"/>
    <w:rsid w:val="00F73388"/>
    <w:rsid w:val="00F73CC5"/>
    <w:rsid w:val="00F7429D"/>
    <w:rsid w:val="00F74CA9"/>
    <w:rsid w:val="00F7529F"/>
    <w:rsid w:val="00F7670A"/>
    <w:rsid w:val="00F77976"/>
    <w:rsid w:val="00F80EAC"/>
    <w:rsid w:val="00F81568"/>
    <w:rsid w:val="00F8420F"/>
    <w:rsid w:val="00F84E20"/>
    <w:rsid w:val="00F86049"/>
    <w:rsid w:val="00F86927"/>
    <w:rsid w:val="00F86EBF"/>
    <w:rsid w:val="00F86ED1"/>
    <w:rsid w:val="00F86FD2"/>
    <w:rsid w:val="00F87372"/>
    <w:rsid w:val="00F9089A"/>
    <w:rsid w:val="00F90CCE"/>
    <w:rsid w:val="00F915C1"/>
    <w:rsid w:val="00F91853"/>
    <w:rsid w:val="00F91B7F"/>
    <w:rsid w:val="00F92052"/>
    <w:rsid w:val="00F92439"/>
    <w:rsid w:val="00F92EB8"/>
    <w:rsid w:val="00F9361F"/>
    <w:rsid w:val="00F94280"/>
    <w:rsid w:val="00F95AFB"/>
    <w:rsid w:val="00F95FB2"/>
    <w:rsid w:val="00F96F62"/>
    <w:rsid w:val="00FA09D2"/>
    <w:rsid w:val="00FA0CE3"/>
    <w:rsid w:val="00FA129D"/>
    <w:rsid w:val="00FA1349"/>
    <w:rsid w:val="00FA16EE"/>
    <w:rsid w:val="00FA18BD"/>
    <w:rsid w:val="00FA1E54"/>
    <w:rsid w:val="00FA2170"/>
    <w:rsid w:val="00FA226F"/>
    <w:rsid w:val="00FA2B38"/>
    <w:rsid w:val="00FA3333"/>
    <w:rsid w:val="00FA4594"/>
    <w:rsid w:val="00FA4A0F"/>
    <w:rsid w:val="00FA5095"/>
    <w:rsid w:val="00FA53F1"/>
    <w:rsid w:val="00FA55AA"/>
    <w:rsid w:val="00FA5BB1"/>
    <w:rsid w:val="00FA5F56"/>
    <w:rsid w:val="00FA6944"/>
    <w:rsid w:val="00FB096E"/>
    <w:rsid w:val="00FB0A3D"/>
    <w:rsid w:val="00FB2690"/>
    <w:rsid w:val="00FB2E2D"/>
    <w:rsid w:val="00FB46DA"/>
    <w:rsid w:val="00FB60C1"/>
    <w:rsid w:val="00FB79FD"/>
    <w:rsid w:val="00FB7D7A"/>
    <w:rsid w:val="00FC0491"/>
    <w:rsid w:val="00FC0B5E"/>
    <w:rsid w:val="00FC2414"/>
    <w:rsid w:val="00FC2698"/>
    <w:rsid w:val="00FC363B"/>
    <w:rsid w:val="00FC36A0"/>
    <w:rsid w:val="00FC3B7D"/>
    <w:rsid w:val="00FC3B98"/>
    <w:rsid w:val="00FC3F10"/>
    <w:rsid w:val="00FC45AB"/>
    <w:rsid w:val="00FC53DF"/>
    <w:rsid w:val="00FC55FC"/>
    <w:rsid w:val="00FC59BD"/>
    <w:rsid w:val="00FC623E"/>
    <w:rsid w:val="00FD03BF"/>
    <w:rsid w:val="00FD0707"/>
    <w:rsid w:val="00FD19BF"/>
    <w:rsid w:val="00FD21FE"/>
    <w:rsid w:val="00FD2762"/>
    <w:rsid w:val="00FD2BAE"/>
    <w:rsid w:val="00FD43C3"/>
    <w:rsid w:val="00FD69BD"/>
    <w:rsid w:val="00FD7B44"/>
    <w:rsid w:val="00FE06B5"/>
    <w:rsid w:val="00FE244C"/>
    <w:rsid w:val="00FE2566"/>
    <w:rsid w:val="00FE2974"/>
    <w:rsid w:val="00FE2F93"/>
    <w:rsid w:val="00FE3C5A"/>
    <w:rsid w:val="00FE4725"/>
    <w:rsid w:val="00FE47C6"/>
    <w:rsid w:val="00FE5D9E"/>
    <w:rsid w:val="00FE70B4"/>
    <w:rsid w:val="00FE7560"/>
    <w:rsid w:val="00FF078A"/>
    <w:rsid w:val="00FF0F75"/>
    <w:rsid w:val="00FF10F8"/>
    <w:rsid w:val="00FF1C4E"/>
    <w:rsid w:val="00FF2208"/>
    <w:rsid w:val="00FF2502"/>
    <w:rsid w:val="00FF483A"/>
    <w:rsid w:val="00FF4861"/>
    <w:rsid w:val="00FF4916"/>
    <w:rsid w:val="00FF4E0A"/>
    <w:rsid w:val="00FF4FBB"/>
    <w:rsid w:val="00FF523A"/>
    <w:rsid w:val="00FF5B29"/>
    <w:rsid w:val="01FF8C15"/>
    <w:rsid w:val="02F3D551"/>
    <w:rsid w:val="03FB3CAB"/>
    <w:rsid w:val="065551C7"/>
    <w:rsid w:val="06DD28B0"/>
    <w:rsid w:val="075E071D"/>
    <w:rsid w:val="096A68D3"/>
    <w:rsid w:val="09BA6AEA"/>
    <w:rsid w:val="0A7C28C9"/>
    <w:rsid w:val="0AEA3F00"/>
    <w:rsid w:val="0C627ECA"/>
    <w:rsid w:val="0D56323A"/>
    <w:rsid w:val="0FBFF1E3"/>
    <w:rsid w:val="11584261"/>
    <w:rsid w:val="1175CE00"/>
    <w:rsid w:val="11EFCACB"/>
    <w:rsid w:val="11F4E13A"/>
    <w:rsid w:val="1260D963"/>
    <w:rsid w:val="12F0F12D"/>
    <w:rsid w:val="12FDDBA3"/>
    <w:rsid w:val="13D1203A"/>
    <w:rsid w:val="146E7EBE"/>
    <w:rsid w:val="169A5C5E"/>
    <w:rsid w:val="177BF5B7"/>
    <w:rsid w:val="189CE916"/>
    <w:rsid w:val="191AED73"/>
    <w:rsid w:val="1987F26E"/>
    <w:rsid w:val="19881A57"/>
    <w:rsid w:val="1A4D1D03"/>
    <w:rsid w:val="1B3FA083"/>
    <w:rsid w:val="1B4ABC88"/>
    <w:rsid w:val="1B553CB7"/>
    <w:rsid w:val="1C97BE52"/>
    <w:rsid w:val="1CDB4CB8"/>
    <w:rsid w:val="1CFB040D"/>
    <w:rsid w:val="1DA26199"/>
    <w:rsid w:val="1DB3314F"/>
    <w:rsid w:val="1DDF757B"/>
    <w:rsid w:val="1E5FF6CF"/>
    <w:rsid w:val="1EC4F9E4"/>
    <w:rsid w:val="1F090B53"/>
    <w:rsid w:val="1F091EEF"/>
    <w:rsid w:val="1F2846A3"/>
    <w:rsid w:val="1F3A2CA6"/>
    <w:rsid w:val="1F44D6E7"/>
    <w:rsid w:val="1FCD4988"/>
    <w:rsid w:val="2079BC19"/>
    <w:rsid w:val="218D97C9"/>
    <w:rsid w:val="2235E81B"/>
    <w:rsid w:val="22C55658"/>
    <w:rsid w:val="23C24676"/>
    <w:rsid w:val="2543BB73"/>
    <w:rsid w:val="25B3C538"/>
    <w:rsid w:val="2651BAF3"/>
    <w:rsid w:val="271CE25F"/>
    <w:rsid w:val="2765C5EF"/>
    <w:rsid w:val="286AAA8D"/>
    <w:rsid w:val="29AAA176"/>
    <w:rsid w:val="2C667211"/>
    <w:rsid w:val="2D68480F"/>
    <w:rsid w:val="2D7ED567"/>
    <w:rsid w:val="2D946E41"/>
    <w:rsid w:val="2FE56CE3"/>
    <w:rsid w:val="31F9C923"/>
    <w:rsid w:val="32AA6172"/>
    <w:rsid w:val="34CC4E85"/>
    <w:rsid w:val="34CFBE28"/>
    <w:rsid w:val="35EB4933"/>
    <w:rsid w:val="36EF8458"/>
    <w:rsid w:val="38E8BADD"/>
    <w:rsid w:val="390413E5"/>
    <w:rsid w:val="3B903A66"/>
    <w:rsid w:val="3CB9F682"/>
    <w:rsid w:val="3D3C087D"/>
    <w:rsid w:val="3D6A92E3"/>
    <w:rsid w:val="3EC47208"/>
    <w:rsid w:val="3F6D4593"/>
    <w:rsid w:val="4012F4A4"/>
    <w:rsid w:val="410525F3"/>
    <w:rsid w:val="410B422E"/>
    <w:rsid w:val="41A5A618"/>
    <w:rsid w:val="4317F1D8"/>
    <w:rsid w:val="44AAEE3E"/>
    <w:rsid w:val="4523D76E"/>
    <w:rsid w:val="463FF0F4"/>
    <w:rsid w:val="468A9341"/>
    <w:rsid w:val="4723DAA1"/>
    <w:rsid w:val="472D8022"/>
    <w:rsid w:val="478B7560"/>
    <w:rsid w:val="47AD1EB4"/>
    <w:rsid w:val="4831E9A2"/>
    <w:rsid w:val="484BE1B6"/>
    <w:rsid w:val="48972195"/>
    <w:rsid w:val="49B474EB"/>
    <w:rsid w:val="49C00895"/>
    <w:rsid w:val="4B5E666B"/>
    <w:rsid w:val="4CCF2604"/>
    <w:rsid w:val="4D2287F2"/>
    <w:rsid w:val="4DDEFA7E"/>
    <w:rsid w:val="4F4DF75E"/>
    <w:rsid w:val="4FAA69A0"/>
    <w:rsid w:val="515D1E7F"/>
    <w:rsid w:val="51AEF9DD"/>
    <w:rsid w:val="524E3046"/>
    <w:rsid w:val="52A4F5A1"/>
    <w:rsid w:val="52DFB22C"/>
    <w:rsid w:val="546CD569"/>
    <w:rsid w:val="54DC3427"/>
    <w:rsid w:val="551F35C8"/>
    <w:rsid w:val="57303F22"/>
    <w:rsid w:val="5A75CC31"/>
    <w:rsid w:val="5A8A594D"/>
    <w:rsid w:val="5C90BE4D"/>
    <w:rsid w:val="5DE934B6"/>
    <w:rsid w:val="5F529633"/>
    <w:rsid w:val="62CEC6BE"/>
    <w:rsid w:val="630B8C76"/>
    <w:rsid w:val="635E10E1"/>
    <w:rsid w:val="638A3DD6"/>
    <w:rsid w:val="63DAB0D6"/>
    <w:rsid w:val="6424ECE2"/>
    <w:rsid w:val="650BE666"/>
    <w:rsid w:val="662CAC5C"/>
    <w:rsid w:val="688C9115"/>
    <w:rsid w:val="693242C5"/>
    <w:rsid w:val="69368D1A"/>
    <w:rsid w:val="69BFB8EF"/>
    <w:rsid w:val="6B0BEEAF"/>
    <w:rsid w:val="6BC8F081"/>
    <w:rsid w:val="6D891E50"/>
    <w:rsid w:val="6E13C5C0"/>
    <w:rsid w:val="6E70E992"/>
    <w:rsid w:val="6FF90D47"/>
    <w:rsid w:val="7082CDB9"/>
    <w:rsid w:val="7122E90B"/>
    <w:rsid w:val="714B8A6C"/>
    <w:rsid w:val="718BE48A"/>
    <w:rsid w:val="719021FD"/>
    <w:rsid w:val="71F252AA"/>
    <w:rsid w:val="7254E3E6"/>
    <w:rsid w:val="72B14AA0"/>
    <w:rsid w:val="732DF5BC"/>
    <w:rsid w:val="73A146A1"/>
    <w:rsid w:val="75A9407A"/>
    <w:rsid w:val="75D74D69"/>
    <w:rsid w:val="76C6316E"/>
    <w:rsid w:val="770B83F7"/>
    <w:rsid w:val="77B06276"/>
    <w:rsid w:val="7930D18A"/>
    <w:rsid w:val="79E80BDF"/>
    <w:rsid w:val="7BA99E1A"/>
    <w:rsid w:val="7BAC17A3"/>
    <w:rsid w:val="7C144C27"/>
    <w:rsid w:val="7D2666E2"/>
    <w:rsid w:val="7DDFEBDA"/>
    <w:rsid w:val="7F293217"/>
    <w:rsid w:val="7F51B462"/>
    <w:rsid w:val="7F5E414E"/>
    <w:rsid w:val="7FF487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79F87A47-A93A-43E3-8AB4-3A689A83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style>
  <w:style w:type="character" w:styleId="Hyperlink">
    <w:name w:val="Hyperlink"/>
    <w:basedOn w:val="DefaultParagraphFont"/>
    <w:uiPriority w:val="99"/>
    <w:unhideWhenUsed/>
    <w:rsid w:val="00F479AC"/>
    <w:rPr>
      <w:color w:val="005ABB" w:themeColor="accent2"/>
      <w:u w:val="single"/>
    </w:rPr>
  </w:style>
  <w:style w:type="character" w:customStyle="1" w:styleId="UnresolvedMention1">
    <w:name w:val="Unresolved Mention1"/>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aliases w:val="lp1,Add On (orange),Bullet Points,Dot pt,Indicator Text,List Paragraph Char Char Char,List Paragraph1,List Paragraph11,List Paragraph12,List Paragraph2,MAIN CONTENT,No Spacing1,Numbered Para 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NormalWeb">
    <w:name w:val="Normal (Web)"/>
    <w:basedOn w:val="Normal"/>
    <w:uiPriority w:val="99"/>
    <w:unhideWhenUsed/>
    <w:rsid w:val="00205281"/>
    <w:pPr>
      <w:spacing w:before="100" w:beforeAutospacing="1" w:after="100" w:afterAutospacing="1"/>
    </w:pPr>
    <w:rPr>
      <w:rFonts w:ascii="Times New Roman" w:eastAsia="Times New Roman" w:hAnsi="Times New Roman" w:cs="Times New Roman"/>
    </w:rPr>
  </w:style>
  <w:style w:type="character" w:customStyle="1" w:styleId="Mention1">
    <w:name w:val="Mention1"/>
    <w:basedOn w:val="DefaultParagraphFont"/>
    <w:uiPriority w:val="99"/>
    <w:unhideWhenUsed/>
    <w:rsid w:val="002A0551"/>
    <w:rPr>
      <w:color w:val="2B579A"/>
      <w:shd w:val="clear" w:color="auto" w:fill="E1DFDD"/>
    </w:rPr>
  </w:style>
  <w:style w:type="character" w:styleId="UnresolvedMention">
    <w:name w:val="Unresolved Mention"/>
    <w:basedOn w:val="DefaultParagraphFont"/>
    <w:uiPriority w:val="99"/>
    <w:semiHidden/>
    <w:unhideWhenUsed/>
    <w:rsid w:val="00536C73"/>
    <w:rPr>
      <w:color w:val="605E5C"/>
      <w:shd w:val="clear" w:color="auto" w:fill="E1DFDD"/>
    </w:rPr>
  </w:style>
  <w:style w:type="paragraph" w:customStyle="1" w:styleId="Standard">
    <w:name w:val="Standard"/>
    <w:rsid w:val="005A1A38"/>
    <w:pPr>
      <w:suppressAutoHyphens/>
      <w:autoSpaceDN w:val="0"/>
      <w:textAlignment w:val="baseline"/>
    </w:pPr>
    <w:rPr>
      <w:rFonts w:ascii="Arial" w:eastAsia="Arial" w:hAnsi="Arial" w:cs="Arial"/>
      <w:sz w:val="27"/>
      <w:szCs w:val="27"/>
      <w:lang w:eastAsia="zh-CN" w:bidi="hi-IN"/>
    </w:rPr>
  </w:style>
  <w:style w:type="character" w:styleId="Strong">
    <w:name w:val="Strong"/>
    <w:basedOn w:val="DefaultParagraphFont"/>
    <w:uiPriority w:val="22"/>
    <w:qFormat/>
    <w:rsid w:val="00380A65"/>
    <w:rPr>
      <w:b/>
      <w:bCs/>
    </w:rPr>
  </w:style>
  <w:style w:type="character" w:customStyle="1" w:styleId="ListParagraphChar">
    <w:name w:val="List Paragraph Char"/>
    <w:aliases w:val="lp1 Char,Add On (orange) Char,Bullet Points Char,Dot pt Char,Indicator Text Char,List Paragraph Char Char Char Char,List Paragraph1 Char,List Paragraph11 Char,List Paragraph12 Char,List Paragraph2 Char,MAIN CONTENT Char"/>
    <w:link w:val="ListParagraph"/>
    <w:locked/>
    <w:rsid w:val="00380A65"/>
    <w:rPr>
      <w:rFonts w:asciiTheme="minorHAnsi" w:hAnsiTheme="minorHAnsi"/>
    </w:rPr>
  </w:style>
  <w:style w:type="character" w:styleId="Mention">
    <w:name w:val="Mention"/>
    <w:basedOn w:val="DefaultParagraphFont"/>
    <w:uiPriority w:val="99"/>
    <w:unhideWhenUsed/>
    <w:rsid w:val="00380A65"/>
    <w:rPr>
      <w:color w:val="2B579A"/>
      <w:shd w:val="clear" w:color="auto" w:fill="E1DFDD"/>
    </w:rPr>
  </w:style>
  <w:style w:type="paragraph" w:customStyle="1" w:styleId="paragraph">
    <w:name w:val="paragraph"/>
    <w:basedOn w:val="Normal"/>
    <w:rsid w:val="0074222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2226"/>
  </w:style>
  <w:style w:type="character" w:customStyle="1" w:styleId="eop">
    <w:name w:val="eop"/>
    <w:basedOn w:val="DefaultParagraphFont"/>
    <w:rsid w:val="00742226"/>
  </w:style>
  <w:style w:type="character" w:customStyle="1" w:styleId="scxw259968915">
    <w:name w:val="scxw259968915"/>
    <w:basedOn w:val="DefaultParagraphFont"/>
    <w:rsid w:val="00742226"/>
  </w:style>
  <w:style w:type="paragraph" w:customStyle="1" w:styleId="pf0">
    <w:name w:val="pf0"/>
    <w:basedOn w:val="Normal"/>
    <w:rsid w:val="00EB1DF8"/>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B1DF8"/>
    <w:rPr>
      <w:rFonts w:ascii="Segoe UI" w:hAnsi="Segoe UI" w:cs="Segoe UI" w:hint="default"/>
      <w:sz w:val="18"/>
      <w:szCs w:val="18"/>
    </w:rPr>
  </w:style>
  <w:style w:type="paragraph" w:customStyle="1" w:styleId="xmsolistparagraph">
    <w:name w:val="x_msolistparagraph"/>
    <w:basedOn w:val="Normal"/>
    <w:rsid w:val="002F6B57"/>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156">
      <w:bodyDiv w:val="1"/>
      <w:marLeft w:val="0"/>
      <w:marRight w:val="0"/>
      <w:marTop w:val="0"/>
      <w:marBottom w:val="0"/>
      <w:divBdr>
        <w:top w:val="none" w:sz="0" w:space="0" w:color="auto"/>
        <w:left w:val="none" w:sz="0" w:space="0" w:color="auto"/>
        <w:bottom w:val="none" w:sz="0" w:space="0" w:color="auto"/>
        <w:right w:val="none" w:sz="0" w:space="0" w:color="auto"/>
      </w:divBdr>
    </w:div>
    <w:div w:id="248542437">
      <w:bodyDiv w:val="1"/>
      <w:marLeft w:val="0"/>
      <w:marRight w:val="0"/>
      <w:marTop w:val="0"/>
      <w:marBottom w:val="0"/>
      <w:divBdr>
        <w:top w:val="none" w:sz="0" w:space="0" w:color="auto"/>
        <w:left w:val="none" w:sz="0" w:space="0" w:color="auto"/>
        <w:bottom w:val="none" w:sz="0" w:space="0" w:color="auto"/>
        <w:right w:val="none" w:sz="0" w:space="0" w:color="auto"/>
      </w:divBdr>
    </w:div>
    <w:div w:id="259071665">
      <w:bodyDiv w:val="1"/>
      <w:marLeft w:val="0"/>
      <w:marRight w:val="0"/>
      <w:marTop w:val="0"/>
      <w:marBottom w:val="0"/>
      <w:divBdr>
        <w:top w:val="none" w:sz="0" w:space="0" w:color="auto"/>
        <w:left w:val="none" w:sz="0" w:space="0" w:color="auto"/>
        <w:bottom w:val="none" w:sz="0" w:space="0" w:color="auto"/>
        <w:right w:val="none" w:sz="0" w:space="0" w:color="auto"/>
      </w:divBdr>
      <w:divsChild>
        <w:div w:id="329334378">
          <w:marLeft w:val="0"/>
          <w:marRight w:val="0"/>
          <w:marTop w:val="0"/>
          <w:marBottom w:val="0"/>
          <w:divBdr>
            <w:top w:val="none" w:sz="0" w:space="0" w:color="auto"/>
            <w:left w:val="none" w:sz="0" w:space="0" w:color="auto"/>
            <w:bottom w:val="none" w:sz="0" w:space="0" w:color="auto"/>
            <w:right w:val="none" w:sz="0" w:space="0" w:color="auto"/>
          </w:divBdr>
          <w:divsChild>
            <w:div w:id="1371224392">
              <w:marLeft w:val="0"/>
              <w:marRight w:val="0"/>
              <w:marTop w:val="30"/>
              <w:marBottom w:val="30"/>
              <w:divBdr>
                <w:top w:val="none" w:sz="0" w:space="0" w:color="auto"/>
                <w:left w:val="none" w:sz="0" w:space="0" w:color="auto"/>
                <w:bottom w:val="none" w:sz="0" w:space="0" w:color="auto"/>
                <w:right w:val="none" w:sz="0" w:space="0" w:color="auto"/>
              </w:divBdr>
              <w:divsChild>
                <w:div w:id="3821371">
                  <w:marLeft w:val="0"/>
                  <w:marRight w:val="0"/>
                  <w:marTop w:val="0"/>
                  <w:marBottom w:val="0"/>
                  <w:divBdr>
                    <w:top w:val="none" w:sz="0" w:space="0" w:color="auto"/>
                    <w:left w:val="none" w:sz="0" w:space="0" w:color="auto"/>
                    <w:bottom w:val="none" w:sz="0" w:space="0" w:color="auto"/>
                    <w:right w:val="none" w:sz="0" w:space="0" w:color="auto"/>
                  </w:divBdr>
                  <w:divsChild>
                    <w:div w:id="644048453">
                      <w:marLeft w:val="0"/>
                      <w:marRight w:val="0"/>
                      <w:marTop w:val="0"/>
                      <w:marBottom w:val="0"/>
                      <w:divBdr>
                        <w:top w:val="none" w:sz="0" w:space="0" w:color="auto"/>
                        <w:left w:val="none" w:sz="0" w:space="0" w:color="auto"/>
                        <w:bottom w:val="none" w:sz="0" w:space="0" w:color="auto"/>
                        <w:right w:val="none" w:sz="0" w:space="0" w:color="auto"/>
                      </w:divBdr>
                    </w:div>
                  </w:divsChild>
                </w:div>
                <w:div w:id="74517101">
                  <w:marLeft w:val="0"/>
                  <w:marRight w:val="0"/>
                  <w:marTop w:val="0"/>
                  <w:marBottom w:val="0"/>
                  <w:divBdr>
                    <w:top w:val="none" w:sz="0" w:space="0" w:color="auto"/>
                    <w:left w:val="none" w:sz="0" w:space="0" w:color="auto"/>
                    <w:bottom w:val="none" w:sz="0" w:space="0" w:color="auto"/>
                    <w:right w:val="none" w:sz="0" w:space="0" w:color="auto"/>
                  </w:divBdr>
                  <w:divsChild>
                    <w:div w:id="1848278855">
                      <w:marLeft w:val="0"/>
                      <w:marRight w:val="0"/>
                      <w:marTop w:val="0"/>
                      <w:marBottom w:val="0"/>
                      <w:divBdr>
                        <w:top w:val="none" w:sz="0" w:space="0" w:color="auto"/>
                        <w:left w:val="none" w:sz="0" w:space="0" w:color="auto"/>
                        <w:bottom w:val="none" w:sz="0" w:space="0" w:color="auto"/>
                        <w:right w:val="none" w:sz="0" w:space="0" w:color="auto"/>
                      </w:divBdr>
                    </w:div>
                  </w:divsChild>
                </w:div>
                <w:div w:id="445006935">
                  <w:marLeft w:val="0"/>
                  <w:marRight w:val="0"/>
                  <w:marTop w:val="0"/>
                  <w:marBottom w:val="0"/>
                  <w:divBdr>
                    <w:top w:val="none" w:sz="0" w:space="0" w:color="auto"/>
                    <w:left w:val="none" w:sz="0" w:space="0" w:color="auto"/>
                    <w:bottom w:val="none" w:sz="0" w:space="0" w:color="auto"/>
                    <w:right w:val="none" w:sz="0" w:space="0" w:color="auto"/>
                  </w:divBdr>
                  <w:divsChild>
                    <w:div w:id="1222598343">
                      <w:marLeft w:val="0"/>
                      <w:marRight w:val="0"/>
                      <w:marTop w:val="0"/>
                      <w:marBottom w:val="0"/>
                      <w:divBdr>
                        <w:top w:val="none" w:sz="0" w:space="0" w:color="auto"/>
                        <w:left w:val="none" w:sz="0" w:space="0" w:color="auto"/>
                        <w:bottom w:val="none" w:sz="0" w:space="0" w:color="auto"/>
                        <w:right w:val="none" w:sz="0" w:space="0" w:color="auto"/>
                      </w:divBdr>
                    </w:div>
                  </w:divsChild>
                </w:div>
                <w:div w:id="706443133">
                  <w:marLeft w:val="0"/>
                  <w:marRight w:val="0"/>
                  <w:marTop w:val="0"/>
                  <w:marBottom w:val="0"/>
                  <w:divBdr>
                    <w:top w:val="none" w:sz="0" w:space="0" w:color="auto"/>
                    <w:left w:val="none" w:sz="0" w:space="0" w:color="auto"/>
                    <w:bottom w:val="none" w:sz="0" w:space="0" w:color="auto"/>
                    <w:right w:val="none" w:sz="0" w:space="0" w:color="auto"/>
                  </w:divBdr>
                  <w:divsChild>
                    <w:div w:id="1508404920">
                      <w:marLeft w:val="0"/>
                      <w:marRight w:val="0"/>
                      <w:marTop w:val="0"/>
                      <w:marBottom w:val="0"/>
                      <w:divBdr>
                        <w:top w:val="none" w:sz="0" w:space="0" w:color="auto"/>
                        <w:left w:val="none" w:sz="0" w:space="0" w:color="auto"/>
                        <w:bottom w:val="none" w:sz="0" w:space="0" w:color="auto"/>
                        <w:right w:val="none" w:sz="0" w:space="0" w:color="auto"/>
                      </w:divBdr>
                    </w:div>
                  </w:divsChild>
                </w:div>
                <w:div w:id="774517550">
                  <w:marLeft w:val="0"/>
                  <w:marRight w:val="0"/>
                  <w:marTop w:val="0"/>
                  <w:marBottom w:val="0"/>
                  <w:divBdr>
                    <w:top w:val="none" w:sz="0" w:space="0" w:color="auto"/>
                    <w:left w:val="none" w:sz="0" w:space="0" w:color="auto"/>
                    <w:bottom w:val="none" w:sz="0" w:space="0" w:color="auto"/>
                    <w:right w:val="none" w:sz="0" w:space="0" w:color="auto"/>
                  </w:divBdr>
                  <w:divsChild>
                    <w:div w:id="343365886">
                      <w:marLeft w:val="0"/>
                      <w:marRight w:val="0"/>
                      <w:marTop w:val="0"/>
                      <w:marBottom w:val="0"/>
                      <w:divBdr>
                        <w:top w:val="none" w:sz="0" w:space="0" w:color="auto"/>
                        <w:left w:val="none" w:sz="0" w:space="0" w:color="auto"/>
                        <w:bottom w:val="none" w:sz="0" w:space="0" w:color="auto"/>
                        <w:right w:val="none" w:sz="0" w:space="0" w:color="auto"/>
                      </w:divBdr>
                    </w:div>
                  </w:divsChild>
                </w:div>
                <w:div w:id="914244493">
                  <w:marLeft w:val="0"/>
                  <w:marRight w:val="0"/>
                  <w:marTop w:val="0"/>
                  <w:marBottom w:val="0"/>
                  <w:divBdr>
                    <w:top w:val="none" w:sz="0" w:space="0" w:color="auto"/>
                    <w:left w:val="none" w:sz="0" w:space="0" w:color="auto"/>
                    <w:bottom w:val="none" w:sz="0" w:space="0" w:color="auto"/>
                    <w:right w:val="none" w:sz="0" w:space="0" w:color="auto"/>
                  </w:divBdr>
                  <w:divsChild>
                    <w:div w:id="1856773130">
                      <w:marLeft w:val="0"/>
                      <w:marRight w:val="0"/>
                      <w:marTop w:val="0"/>
                      <w:marBottom w:val="0"/>
                      <w:divBdr>
                        <w:top w:val="none" w:sz="0" w:space="0" w:color="auto"/>
                        <w:left w:val="none" w:sz="0" w:space="0" w:color="auto"/>
                        <w:bottom w:val="none" w:sz="0" w:space="0" w:color="auto"/>
                        <w:right w:val="none" w:sz="0" w:space="0" w:color="auto"/>
                      </w:divBdr>
                    </w:div>
                  </w:divsChild>
                </w:div>
                <w:div w:id="1024673544">
                  <w:marLeft w:val="0"/>
                  <w:marRight w:val="0"/>
                  <w:marTop w:val="0"/>
                  <w:marBottom w:val="0"/>
                  <w:divBdr>
                    <w:top w:val="none" w:sz="0" w:space="0" w:color="auto"/>
                    <w:left w:val="none" w:sz="0" w:space="0" w:color="auto"/>
                    <w:bottom w:val="none" w:sz="0" w:space="0" w:color="auto"/>
                    <w:right w:val="none" w:sz="0" w:space="0" w:color="auto"/>
                  </w:divBdr>
                  <w:divsChild>
                    <w:div w:id="1359545179">
                      <w:marLeft w:val="0"/>
                      <w:marRight w:val="0"/>
                      <w:marTop w:val="0"/>
                      <w:marBottom w:val="0"/>
                      <w:divBdr>
                        <w:top w:val="none" w:sz="0" w:space="0" w:color="auto"/>
                        <w:left w:val="none" w:sz="0" w:space="0" w:color="auto"/>
                        <w:bottom w:val="none" w:sz="0" w:space="0" w:color="auto"/>
                        <w:right w:val="none" w:sz="0" w:space="0" w:color="auto"/>
                      </w:divBdr>
                    </w:div>
                  </w:divsChild>
                </w:div>
                <w:div w:id="1112868566">
                  <w:marLeft w:val="0"/>
                  <w:marRight w:val="0"/>
                  <w:marTop w:val="0"/>
                  <w:marBottom w:val="0"/>
                  <w:divBdr>
                    <w:top w:val="none" w:sz="0" w:space="0" w:color="auto"/>
                    <w:left w:val="none" w:sz="0" w:space="0" w:color="auto"/>
                    <w:bottom w:val="none" w:sz="0" w:space="0" w:color="auto"/>
                    <w:right w:val="none" w:sz="0" w:space="0" w:color="auto"/>
                  </w:divBdr>
                  <w:divsChild>
                    <w:div w:id="615717034">
                      <w:marLeft w:val="0"/>
                      <w:marRight w:val="0"/>
                      <w:marTop w:val="0"/>
                      <w:marBottom w:val="0"/>
                      <w:divBdr>
                        <w:top w:val="none" w:sz="0" w:space="0" w:color="auto"/>
                        <w:left w:val="none" w:sz="0" w:space="0" w:color="auto"/>
                        <w:bottom w:val="none" w:sz="0" w:space="0" w:color="auto"/>
                        <w:right w:val="none" w:sz="0" w:space="0" w:color="auto"/>
                      </w:divBdr>
                    </w:div>
                  </w:divsChild>
                </w:div>
                <w:div w:id="1121652841">
                  <w:marLeft w:val="0"/>
                  <w:marRight w:val="0"/>
                  <w:marTop w:val="0"/>
                  <w:marBottom w:val="0"/>
                  <w:divBdr>
                    <w:top w:val="none" w:sz="0" w:space="0" w:color="auto"/>
                    <w:left w:val="none" w:sz="0" w:space="0" w:color="auto"/>
                    <w:bottom w:val="none" w:sz="0" w:space="0" w:color="auto"/>
                    <w:right w:val="none" w:sz="0" w:space="0" w:color="auto"/>
                  </w:divBdr>
                  <w:divsChild>
                    <w:div w:id="672151874">
                      <w:marLeft w:val="0"/>
                      <w:marRight w:val="0"/>
                      <w:marTop w:val="0"/>
                      <w:marBottom w:val="0"/>
                      <w:divBdr>
                        <w:top w:val="none" w:sz="0" w:space="0" w:color="auto"/>
                        <w:left w:val="none" w:sz="0" w:space="0" w:color="auto"/>
                        <w:bottom w:val="none" w:sz="0" w:space="0" w:color="auto"/>
                        <w:right w:val="none" w:sz="0" w:space="0" w:color="auto"/>
                      </w:divBdr>
                    </w:div>
                  </w:divsChild>
                </w:div>
                <w:div w:id="1421220116">
                  <w:marLeft w:val="0"/>
                  <w:marRight w:val="0"/>
                  <w:marTop w:val="0"/>
                  <w:marBottom w:val="0"/>
                  <w:divBdr>
                    <w:top w:val="none" w:sz="0" w:space="0" w:color="auto"/>
                    <w:left w:val="none" w:sz="0" w:space="0" w:color="auto"/>
                    <w:bottom w:val="none" w:sz="0" w:space="0" w:color="auto"/>
                    <w:right w:val="none" w:sz="0" w:space="0" w:color="auto"/>
                  </w:divBdr>
                  <w:divsChild>
                    <w:div w:id="480928277">
                      <w:marLeft w:val="0"/>
                      <w:marRight w:val="0"/>
                      <w:marTop w:val="0"/>
                      <w:marBottom w:val="0"/>
                      <w:divBdr>
                        <w:top w:val="none" w:sz="0" w:space="0" w:color="auto"/>
                        <w:left w:val="none" w:sz="0" w:space="0" w:color="auto"/>
                        <w:bottom w:val="none" w:sz="0" w:space="0" w:color="auto"/>
                        <w:right w:val="none" w:sz="0" w:space="0" w:color="auto"/>
                      </w:divBdr>
                    </w:div>
                  </w:divsChild>
                </w:div>
                <w:div w:id="1513227457">
                  <w:marLeft w:val="0"/>
                  <w:marRight w:val="0"/>
                  <w:marTop w:val="0"/>
                  <w:marBottom w:val="0"/>
                  <w:divBdr>
                    <w:top w:val="none" w:sz="0" w:space="0" w:color="auto"/>
                    <w:left w:val="none" w:sz="0" w:space="0" w:color="auto"/>
                    <w:bottom w:val="none" w:sz="0" w:space="0" w:color="auto"/>
                    <w:right w:val="none" w:sz="0" w:space="0" w:color="auto"/>
                  </w:divBdr>
                  <w:divsChild>
                    <w:div w:id="1904943749">
                      <w:marLeft w:val="0"/>
                      <w:marRight w:val="0"/>
                      <w:marTop w:val="0"/>
                      <w:marBottom w:val="0"/>
                      <w:divBdr>
                        <w:top w:val="none" w:sz="0" w:space="0" w:color="auto"/>
                        <w:left w:val="none" w:sz="0" w:space="0" w:color="auto"/>
                        <w:bottom w:val="none" w:sz="0" w:space="0" w:color="auto"/>
                        <w:right w:val="none" w:sz="0" w:space="0" w:color="auto"/>
                      </w:divBdr>
                    </w:div>
                  </w:divsChild>
                </w:div>
                <w:div w:id="1582720019">
                  <w:marLeft w:val="0"/>
                  <w:marRight w:val="0"/>
                  <w:marTop w:val="0"/>
                  <w:marBottom w:val="0"/>
                  <w:divBdr>
                    <w:top w:val="none" w:sz="0" w:space="0" w:color="auto"/>
                    <w:left w:val="none" w:sz="0" w:space="0" w:color="auto"/>
                    <w:bottom w:val="none" w:sz="0" w:space="0" w:color="auto"/>
                    <w:right w:val="none" w:sz="0" w:space="0" w:color="auto"/>
                  </w:divBdr>
                  <w:divsChild>
                    <w:div w:id="1016536682">
                      <w:marLeft w:val="0"/>
                      <w:marRight w:val="0"/>
                      <w:marTop w:val="0"/>
                      <w:marBottom w:val="0"/>
                      <w:divBdr>
                        <w:top w:val="none" w:sz="0" w:space="0" w:color="auto"/>
                        <w:left w:val="none" w:sz="0" w:space="0" w:color="auto"/>
                        <w:bottom w:val="none" w:sz="0" w:space="0" w:color="auto"/>
                        <w:right w:val="none" w:sz="0" w:space="0" w:color="auto"/>
                      </w:divBdr>
                    </w:div>
                  </w:divsChild>
                </w:div>
                <w:div w:id="1603104545">
                  <w:marLeft w:val="0"/>
                  <w:marRight w:val="0"/>
                  <w:marTop w:val="0"/>
                  <w:marBottom w:val="0"/>
                  <w:divBdr>
                    <w:top w:val="none" w:sz="0" w:space="0" w:color="auto"/>
                    <w:left w:val="none" w:sz="0" w:space="0" w:color="auto"/>
                    <w:bottom w:val="none" w:sz="0" w:space="0" w:color="auto"/>
                    <w:right w:val="none" w:sz="0" w:space="0" w:color="auto"/>
                  </w:divBdr>
                  <w:divsChild>
                    <w:div w:id="2080664349">
                      <w:marLeft w:val="0"/>
                      <w:marRight w:val="0"/>
                      <w:marTop w:val="0"/>
                      <w:marBottom w:val="0"/>
                      <w:divBdr>
                        <w:top w:val="none" w:sz="0" w:space="0" w:color="auto"/>
                        <w:left w:val="none" w:sz="0" w:space="0" w:color="auto"/>
                        <w:bottom w:val="none" w:sz="0" w:space="0" w:color="auto"/>
                        <w:right w:val="none" w:sz="0" w:space="0" w:color="auto"/>
                      </w:divBdr>
                    </w:div>
                  </w:divsChild>
                </w:div>
                <w:div w:id="1852990678">
                  <w:marLeft w:val="0"/>
                  <w:marRight w:val="0"/>
                  <w:marTop w:val="0"/>
                  <w:marBottom w:val="0"/>
                  <w:divBdr>
                    <w:top w:val="none" w:sz="0" w:space="0" w:color="auto"/>
                    <w:left w:val="none" w:sz="0" w:space="0" w:color="auto"/>
                    <w:bottom w:val="none" w:sz="0" w:space="0" w:color="auto"/>
                    <w:right w:val="none" w:sz="0" w:space="0" w:color="auto"/>
                  </w:divBdr>
                  <w:divsChild>
                    <w:div w:id="7741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5559">
          <w:marLeft w:val="0"/>
          <w:marRight w:val="0"/>
          <w:marTop w:val="0"/>
          <w:marBottom w:val="0"/>
          <w:divBdr>
            <w:top w:val="none" w:sz="0" w:space="0" w:color="auto"/>
            <w:left w:val="none" w:sz="0" w:space="0" w:color="auto"/>
            <w:bottom w:val="none" w:sz="0" w:space="0" w:color="auto"/>
            <w:right w:val="none" w:sz="0" w:space="0" w:color="auto"/>
          </w:divBdr>
        </w:div>
      </w:divsChild>
    </w:div>
    <w:div w:id="262226685">
      <w:bodyDiv w:val="1"/>
      <w:marLeft w:val="0"/>
      <w:marRight w:val="0"/>
      <w:marTop w:val="0"/>
      <w:marBottom w:val="0"/>
      <w:divBdr>
        <w:top w:val="none" w:sz="0" w:space="0" w:color="auto"/>
        <w:left w:val="none" w:sz="0" w:space="0" w:color="auto"/>
        <w:bottom w:val="none" w:sz="0" w:space="0" w:color="auto"/>
        <w:right w:val="none" w:sz="0" w:space="0" w:color="auto"/>
      </w:divBdr>
    </w:div>
    <w:div w:id="342896902">
      <w:bodyDiv w:val="1"/>
      <w:marLeft w:val="0"/>
      <w:marRight w:val="0"/>
      <w:marTop w:val="0"/>
      <w:marBottom w:val="0"/>
      <w:divBdr>
        <w:top w:val="none" w:sz="0" w:space="0" w:color="auto"/>
        <w:left w:val="none" w:sz="0" w:space="0" w:color="auto"/>
        <w:bottom w:val="none" w:sz="0" w:space="0" w:color="auto"/>
        <w:right w:val="none" w:sz="0" w:space="0" w:color="auto"/>
      </w:divBdr>
    </w:div>
    <w:div w:id="367998643">
      <w:bodyDiv w:val="1"/>
      <w:marLeft w:val="0"/>
      <w:marRight w:val="0"/>
      <w:marTop w:val="0"/>
      <w:marBottom w:val="0"/>
      <w:divBdr>
        <w:top w:val="none" w:sz="0" w:space="0" w:color="auto"/>
        <w:left w:val="none" w:sz="0" w:space="0" w:color="auto"/>
        <w:bottom w:val="none" w:sz="0" w:space="0" w:color="auto"/>
        <w:right w:val="none" w:sz="0" w:space="0" w:color="auto"/>
      </w:divBdr>
    </w:div>
    <w:div w:id="434905735">
      <w:bodyDiv w:val="1"/>
      <w:marLeft w:val="0"/>
      <w:marRight w:val="0"/>
      <w:marTop w:val="0"/>
      <w:marBottom w:val="0"/>
      <w:divBdr>
        <w:top w:val="none" w:sz="0" w:space="0" w:color="auto"/>
        <w:left w:val="none" w:sz="0" w:space="0" w:color="auto"/>
        <w:bottom w:val="none" w:sz="0" w:space="0" w:color="auto"/>
        <w:right w:val="none" w:sz="0" w:space="0" w:color="auto"/>
      </w:divBdr>
    </w:div>
    <w:div w:id="452410420">
      <w:bodyDiv w:val="1"/>
      <w:marLeft w:val="0"/>
      <w:marRight w:val="0"/>
      <w:marTop w:val="0"/>
      <w:marBottom w:val="0"/>
      <w:divBdr>
        <w:top w:val="none" w:sz="0" w:space="0" w:color="auto"/>
        <w:left w:val="none" w:sz="0" w:space="0" w:color="auto"/>
        <w:bottom w:val="none" w:sz="0" w:space="0" w:color="auto"/>
        <w:right w:val="none" w:sz="0" w:space="0" w:color="auto"/>
      </w:divBdr>
    </w:div>
    <w:div w:id="510878166">
      <w:bodyDiv w:val="1"/>
      <w:marLeft w:val="0"/>
      <w:marRight w:val="0"/>
      <w:marTop w:val="0"/>
      <w:marBottom w:val="0"/>
      <w:divBdr>
        <w:top w:val="none" w:sz="0" w:space="0" w:color="auto"/>
        <w:left w:val="none" w:sz="0" w:space="0" w:color="auto"/>
        <w:bottom w:val="none" w:sz="0" w:space="0" w:color="auto"/>
        <w:right w:val="none" w:sz="0" w:space="0" w:color="auto"/>
      </w:divBdr>
    </w:div>
    <w:div w:id="567573644">
      <w:bodyDiv w:val="1"/>
      <w:marLeft w:val="0"/>
      <w:marRight w:val="0"/>
      <w:marTop w:val="0"/>
      <w:marBottom w:val="0"/>
      <w:divBdr>
        <w:top w:val="none" w:sz="0" w:space="0" w:color="auto"/>
        <w:left w:val="none" w:sz="0" w:space="0" w:color="auto"/>
        <w:bottom w:val="none" w:sz="0" w:space="0" w:color="auto"/>
        <w:right w:val="none" w:sz="0" w:space="0" w:color="auto"/>
      </w:divBdr>
    </w:div>
    <w:div w:id="755982053">
      <w:bodyDiv w:val="1"/>
      <w:marLeft w:val="0"/>
      <w:marRight w:val="0"/>
      <w:marTop w:val="0"/>
      <w:marBottom w:val="0"/>
      <w:divBdr>
        <w:top w:val="none" w:sz="0" w:space="0" w:color="auto"/>
        <w:left w:val="none" w:sz="0" w:space="0" w:color="auto"/>
        <w:bottom w:val="none" w:sz="0" w:space="0" w:color="auto"/>
        <w:right w:val="none" w:sz="0" w:space="0" w:color="auto"/>
      </w:divBdr>
    </w:div>
    <w:div w:id="768164828">
      <w:bodyDiv w:val="1"/>
      <w:marLeft w:val="0"/>
      <w:marRight w:val="0"/>
      <w:marTop w:val="0"/>
      <w:marBottom w:val="0"/>
      <w:divBdr>
        <w:top w:val="none" w:sz="0" w:space="0" w:color="auto"/>
        <w:left w:val="none" w:sz="0" w:space="0" w:color="auto"/>
        <w:bottom w:val="none" w:sz="0" w:space="0" w:color="auto"/>
        <w:right w:val="none" w:sz="0" w:space="0" w:color="auto"/>
      </w:divBdr>
    </w:div>
    <w:div w:id="900364552">
      <w:bodyDiv w:val="1"/>
      <w:marLeft w:val="0"/>
      <w:marRight w:val="0"/>
      <w:marTop w:val="0"/>
      <w:marBottom w:val="0"/>
      <w:divBdr>
        <w:top w:val="none" w:sz="0" w:space="0" w:color="auto"/>
        <w:left w:val="none" w:sz="0" w:space="0" w:color="auto"/>
        <w:bottom w:val="none" w:sz="0" w:space="0" w:color="auto"/>
        <w:right w:val="none" w:sz="0" w:space="0" w:color="auto"/>
      </w:divBdr>
    </w:div>
    <w:div w:id="1101604372">
      <w:bodyDiv w:val="1"/>
      <w:marLeft w:val="0"/>
      <w:marRight w:val="0"/>
      <w:marTop w:val="0"/>
      <w:marBottom w:val="0"/>
      <w:divBdr>
        <w:top w:val="none" w:sz="0" w:space="0" w:color="auto"/>
        <w:left w:val="none" w:sz="0" w:space="0" w:color="auto"/>
        <w:bottom w:val="none" w:sz="0" w:space="0" w:color="auto"/>
        <w:right w:val="none" w:sz="0" w:space="0" w:color="auto"/>
      </w:divBdr>
    </w:div>
    <w:div w:id="1239250125">
      <w:bodyDiv w:val="1"/>
      <w:marLeft w:val="0"/>
      <w:marRight w:val="0"/>
      <w:marTop w:val="0"/>
      <w:marBottom w:val="0"/>
      <w:divBdr>
        <w:top w:val="none" w:sz="0" w:space="0" w:color="auto"/>
        <w:left w:val="none" w:sz="0" w:space="0" w:color="auto"/>
        <w:bottom w:val="none" w:sz="0" w:space="0" w:color="auto"/>
        <w:right w:val="none" w:sz="0" w:space="0" w:color="auto"/>
      </w:divBdr>
    </w:div>
    <w:div w:id="1301494331">
      <w:bodyDiv w:val="1"/>
      <w:marLeft w:val="0"/>
      <w:marRight w:val="0"/>
      <w:marTop w:val="0"/>
      <w:marBottom w:val="0"/>
      <w:divBdr>
        <w:top w:val="none" w:sz="0" w:space="0" w:color="auto"/>
        <w:left w:val="none" w:sz="0" w:space="0" w:color="auto"/>
        <w:bottom w:val="none" w:sz="0" w:space="0" w:color="auto"/>
        <w:right w:val="none" w:sz="0" w:space="0" w:color="auto"/>
      </w:divBdr>
    </w:div>
    <w:div w:id="1494296227">
      <w:bodyDiv w:val="1"/>
      <w:marLeft w:val="0"/>
      <w:marRight w:val="0"/>
      <w:marTop w:val="0"/>
      <w:marBottom w:val="0"/>
      <w:divBdr>
        <w:top w:val="none" w:sz="0" w:space="0" w:color="auto"/>
        <w:left w:val="none" w:sz="0" w:space="0" w:color="auto"/>
        <w:bottom w:val="none" w:sz="0" w:space="0" w:color="auto"/>
        <w:right w:val="none" w:sz="0" w:space="0" w:color="auto"/>
      </w:divBdr>
    </w:div>
    <w:div w:id="1542134293">
      <w:bodyDiv w:val="1"/>
      <w:marLeft w:val="0"/>
      <w:marRight w:val="0"/>
      <w:marTop w:val="0"/>
      <w:marBottom w:val="0"/>
      <w:divBdr>
        <w:top w:val="none" w:sz="0" w:space="0" w:color="auto"/>
        <w:left w:val="none" w:sz="0" w:space="0" w:color="auto"/>
        <w:bottom w:val="none" w:sz="0" w:space="0" w:color="auto"/>
        <w:right w:val="none" w:sz="0" w:space="0" w:color="auto"/>
      </w:divBdr>
    </w:div>
    <w:div w:id="1596862230">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03507791">
      <w:bodyDiv w:val="1"/>
      <w:marLeft w:val="0"/>
      <w:marRight w:val="0"/>
      <w:marTop w:val="0"/>
      <w:marBottom w:val="0"/>
      <w:divBdr>
        <w:top w:val="none" w:sz="0" w:space="0" w:color="auto"/>
        <w:left w:val="none" w:sz="0" w:space="0" w:color="auto"/>
        <w:bottom w:val="none" w:sz="0" w:space="0" w:color="auto"/>
        <w:right w:val="none" w:sz="0" w:space="0" w:color="auto"/>
      </w:divBdr>
    </w:div>
    <w:div w:id="1766875049">
      <w:bodyDiv w:val="1"/>
      <w:marLeft w:val="0"/>
      <w:marRight w:val="0"/>
      <w:marTop w:val="0"/>
      <w:marBottom w:val="0"/>
      <w:divBdr>
        <w:top w:val="none" w:sz="0" w:space="0" w:color="auto"/>
        <w:left w:val="none" w:sz="0" w:space="0" w:color="auto"/>
        <w:bottom w:val="none" w:sz="0" w:space="0" w:color="auto"/>
        <w:right w:val="none" w:sz="0" w:space="0" w:color="auto"/>
      </w:divBdr>
    </w:div>
    <w:div w:id="179787339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19807862">
      <w:bodyDiv w:val="1"/>
      <w:marLeft w:val="0"/>
      <w:marRight w:val="0"/>
      <w:marTop w:val="0"/>
      <w:marBottom w:val="0"/>
      <w:divBdr>
        <w:top w:val="none" w:sz="0" w:space="0" w:color="auto"/>
        <w:left w:val="none" w:sz="0" w:space="0" w:color="auto"/>
        <w:bottom w:val="none" w:sz="0" w:space="0" w:color="auto"/>
        <w:right w:val="none" w:sz="0" w:space="0" w:color="auto"/>
      </w:divBdr>
      <w:divsChild>
        <w:div w:id="1109473770">
          <w:marLeft w:val="994"/>
          <w:marRight w:val="0"/>
          <w:marTop w:val="0"/>
          <w:marBottom w:val="0"/>
          <w:divBdr>
            <w:top w:val="none" w:sz="0" w:space="0" w:color="auto"/>
            <w:left w:val="none" w:sz="0" w:space="0" w:color="auto"/>
            <w:bottom w:val="none" w:sz="0" w:space="0" w:color="auto"/>
            <w:right w:val="none" w:sz="0" w:space="0" w:color="auto"/>
          </w:divBdr>
        </w:div>
        <w:div w:id="1731417772">
          <w:marLeft w:val="274"/>
          <w:marRight w:val="0"/>
          <w:marTop w:val="0"/>
          <w:marBottom w:val="0"/>
          <w:divBdr>
            <w:top w:val="none" w:sz="0" w:space="0" w:color="auto"/>
            <w:left w:val="none" w:sz="0" w:space="0" w:color="auto"/>
            <w:bottom w:val="none" w:sz="0" w:space="0" w:color="auto"/>
            <w:right w:val="none" w:sz="0" w:space="0" w:color="auto"/>
          </w:divBdr>
        </w:div>
      </w:divsChild>
    </w:div>
    <w:div w:id="1883983200">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76447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organisations/medicines-and-healthcare-products-regulatory-agency" TargetMode="External"/><Relationship Id="rId26" Type="http://schemas.openxmlformats.org/officeDocument/2006/relationships/hyperlink" Target="https://www.find-tender.service.gov.uk/Home/Contact" TargetMode="External"/><Relationship Id="rId39" Type="http://schemas.openxmlformats.org/officeDocument/2006/relationships/hyperlink" Target="http://www.gov.uk/find-tender" TargetMode="External"/><Relationship Id="rId21" Type="http://schemas.openxmlformats.org/officeDocument/2006/relationships/hyperlink" Target="https://www.bobsbusiness.co.uk/" TargetMode="External"/><Relationship Id="rId34" Type="http://schemas.openxmlformats.org/officeDocument/2006/relationships/hyperlink" Target="https://www.gov.uk/service-manual/helping-people-to-use-your-service/understanding-wcag" TargetMode="External"/><Relationship Id="rId42" Type="http://schemas.openxmlformats.org/officeDocument/2006/relationships/hyperlink" Target="https://atamis-1928.my.site.com/s/Welco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upport-health@atami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iskledger.com/" TargetMode="External"/><Relationship Id="rId32" Type="http://schemas.openxmlformats.org/officeDocument/2006/relationships/footer" Target="footer4.xml"/><Relationship Id="rId37" Type="http://schemas.openxmlformats.org/officeDocument/2006/relationships/image" Target="media/image3.emf"/><Relationship Id="rId40" Type="http://schemas.openxmlformats.org/officeDocument/2006/relationships/hyperlink" Target="https://www.gov.uk/guidance/procurement-review-uni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procurementpathway.civilservice.gov.uk/documents/template/pa-2023-procurement-specific-questionnaire" TargetMode="External"/><Relationship Id="rId28" Type="http://schemas.openxmlformats.org/officeDocument/2006/relationships/hyperlink" Target="mailto:support-health@atamis.co.uk" TargetMode="External"/><Relationship Id="rId36" Type="http://schemas.openxmlformats.org/officeDocument/2006/relationships/hyperlink" Target="https://www.bobsbusiness.co.uk/" TargetMode="External"/><Relationship Id="rId10" Type="http://schemas.openxmlformats.org/officeDocument/2006/relationships/endnotes" Target="endnotes.xml"/><Relationship Id="rId19" Type="http://schemas.openxmlformats.org/officeDocument/2006/relationships/hyperlink" Target="https://www.gov.uk/service-manual/helping-people-to-use-your-service/understanding-wcag" TargetMode="External"/><Relationship Id="rId31" Type="http://schemas.openxmlformats.org/officeDocument/2006/relationships/header" Target="header5.xml"/><Relationship Id="rId44"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eams.microsoft.com/l/meetup-join/19%3ameeting_Y2Q1YmYxM2ItYjI0Mi00MGNiLTgwNTUtYTc0NDQzMzlhN2Q3%40thread.v2/0?context=%7b%22Tid%22%3a%22e527ea5c-6258-4cd2-a27f-8bd237ec4c26%22%2c%22Oid%22%3a%22e7b4ec2c-b655-4cc4-bfd9-b2bc8a76191b%22%7d" TargetMode="External"/><Relationship Id="rId27" Type="http://schemas.openxmlformats.org/officeDocument/2006/relationships/hyperlink" Target="https://atamis-1928.my.site.com/s/Welcome" TargetMode="External"/><Relationship Id="rId30" Type="http://schemas.openxmlformats.org/officeDocument/2006/relationships/header" Target="header4.xml"/><Relationship Id="rId35" Type="http://schemas.openxmlformats.org/officeDocument/2006/relationships/hyperlink" Target="https://www.bing.com/ck/a?!&amp;&amp;p=d61dae930aa338a03e3ce5d196dc64c5d6b8a9790ee51ac3135feaa84779d85dJmltdHM9MTc2MjM4NzIwMA&amp;ptn=3&amp;ver=2&amp;hsh=4&amp;fclid=2403b3a5-fb3b-6c20-0990-a718fadb6d94&amp;psq=civil+service+learning+catalogue&amp;u=a1aHR0cHM6Ly9pZGVudGl0eS5sZWFybi5jaXZpbHNlcnZpY2UuZ292LnVrL2xvZ2lu" TargetMode="External"/><Relationship Id="rId43" Type="http://schemas.openxmlformats.org/officeDocument/2006/relationships/image" Target="media/image4.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collections/information-and-guidance-for-suppliers" TargetMode="External"/><Relationship Id="rId33" Type="http://schemas.openxmlformats.org/officeDocument/2006/relationships/header" Target="header6.xml"/><Relationship Id="rId38" Type="http://schemas.openxmlformats.org/officeDocument/2006/relationships/package" Target="embeddings/Microsoft_Word_Document.docx"/><Relationship Id="rId46" Type="http://schemas.openxmlformats.org/officeDocument/2006/relationships/theme" Target="theme/theme1.xml"/><Relationship Id="rId20" Type="http://schemas.openxmlformats.org/officeDocument/2006/relationships/hyperlink" Target="https://www.bing.com/ck/a?!&amp;&amp;p=d61dae930aa338a03e3ce5d196dc64c5d6b8a9790ee51ac3135feaa84779d85dJmltdHM9MTc2MjM4NzIwMA&amp;ptn=3&amp;ver=2&amp;hsh=4&amp;fclid=2403b3a5-fb3b-6c20-0990-a718fadb6d94&amp;psq=civil+service+learning+catalogue&amp;u=a1aHR0cHM6Ly9pZGVudGl0eS5sZWFybi5jaXZpbHNlcnZpY2UuZ292LnVrL2xvZ2lu" TargetMode="External"/><Relationship Id="rId41" Type="http://schemas.openxmlformats.org/officeDocument/2006/relationships/hyperlink" Target="https://www.gov.uk/government/publications/government-security-classifica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745e9e-1e1e-4452-98b3-fefe7529ef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F088399B3364EB2D5A194514DF09A" ma:contentTypeVersion="17" ma:contentTypeDescription="Create a new document." ma:contentTypeScope="" ma:versionID="c741717d896932ae277d6ba03324e051">
  <xsd:schema xmlns:xsd="http://www.w3.org/2001/XMLSchema" xmlns:xs="http://www.w3.org/2001/XMLSchema" xmlns:p="http://schemas.microsoft.com/office/2006/metadata/properties" xmlns:ns3="fc745e9e-1e1e-4452-98b3-fefe7529efa6" xmlns:ns4="7945fa91-d3d3-4a59-91aa-64950973c80d" targetNamespace="http://schemas.microsoft.com/office/2006/metadata/properties" ma:root="true" ma:fieldsID="05201a69c95f5e9f08bc54d99cdd99b5" ns3:_="" ns4:_="">
    <xsd:import namespace="fc745e9e-1e1e-4452-98b3-fefe7529efa6"/>
    <xsd:import namespace="7945fa91-d3d3-4a59-91aa-64950973c8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45e9e-1e1e-4452-98b3-fefe7529e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5fa91-d3d3-4a59-91aa-64950973c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C5A7-9BD7-4E4E-8D8C-A67016D85CD0}">
  <ds:schemaRefs>
    <ds:schemaRef ds:uri="http://schemas.microsoft.com/office/2006/metadata/properties"/>
    <ds:schemaRef ds:uri="http://schemas.microsoft.com/office/infopath/2007/PartnerControls"/>
    <ds:schemaRef ds:uri="fc745e9e-1e1e-4452-98b3-fefe7529efa6"/>
  </ds:schemaRefs>
</ds:datastoreItem>
</file>

<file path=customXml/itemProps2.xml><?xml version="1.0" encoding="utf-8"?>
<ds:datastoreItem xmlns:ds="http://schemas.openxmlformats.org/officeDocument/2006/customXml" ds:itemID="{29714C23-E423-4D36-8BA1-1FB081981D0E}">
  <ds:schemaRefs>
    <ds:schemaRef ds:uri="http://schemas.microsoft.com/sharepoint/v3/contenttype/forms"/>
  </ds:schemaRefs>
</ds:datastoreItem>
</file>

<file path=customXml/itemProps3.xml><?xml version="1.0" encoding="utf-8"?>
<ds:datastoreItem xmlns:ds="http://schemas.openxmlformats.org/officeDocument/2006/customXml" ds:itemID="{84A6BFDB-9197-4410-B0EF-FE6D435AA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45e9e-1e1e-4452-98b3-fefe7529efa6"/>
    <ds:schemaRef ds:uri="7945fa91-d3d3-4a59-91aa-64950973c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05C69-F556-4184-8D54-6164356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17371</Words>
  <Characters>99021</Characters>
  <Application>Microsoft Office Word</Application>
  <DocSecurity>0</DocSecurity>
  <Lines>825</Lines>
  <Paragraphs>232</Paragraphs>
  <ScaleCrop>false</ScaleCrop>
  <Company>Department of Health and Social Care</Company>
  <LinksUpToDate>false</LinksUpToDate>
  <CharactersWithSpaces>116160</CharactersWithSpaces>
  <SharedDoc>false</SharedDoc>
  <HLinks>
    <vt:vector size="396" baseType="variant">
      <vt:variant>
        <vt:i4>131139</vt:i4>
      </vt:variant>
      <vt:variant>
        <vt:i4>270</vt:i4>
      </vt:variant>
      <vt:variant>
        <vt:i4>0</vt:i4>
      </vt:variant>
      <vt:variant>
        <vt:i4>5</vt:i4>
      </vt:variant>
      <vt:variant>
        <vt:lpwstr>https://atamis-1928.my.site.com/s/Welcome</vt:lpwstr>
      </vt:variant>
      <vt:variant>
        <vt:lpwstr/>
      </vt:variant>
      <vt:variant>
        <vt:i4>7209083</vt:i4>
      </vt:variant>
      <vt:variant>
        <vt:i4>267</vt:i4>
      </vt:variant>
      <vt:variant>
        <vt:i4>0</vt:i4>
      </vt:variant>
      <vt:variant>
        <vt:i4>5</vt:i4>
      </vt:variant>
      <vt:variant>
        <vt:lpwstr>https://www.gov.uk/government/publications/government-security-classifications</vt:lpwstr>
      </vt:variant>
      <vt:variant>
        <vt:lpwstr/>
      </vt:variant>
      <vt:variant>
        <vt:i4>7012397</vt:i4>
      </vt:variant>
      <vt:variant>
        <vt:i4>264</vt:i4>
      </vt:variant>
      <vt:variant>
        <vt:i4>0</vt:i4>
      </vt:variant>
      <vt:variant>
        <vt:i4>5</vt:i4>
      </vt:variant>
      <vt:variant>
        <vt:lpwstr>https://www.gov.uk/guidance/procurement-review-unit</vt:lpwstr>
      </vt:variant>
      <vt:variant>
        <vt:lpwstr/>
      </vt:variant>
      <vt:variant>
        <vt:i4>1179742</vt:i4>
      </vt:variant>
      <vt:variant>
        <vt:i4>261</vt:i4>
      </vt:variant>
      <vt:variant>
        <vt:i4>0</vt:i4>
      </vt:variant>
      <vt:variant>
        <vt:i4>5</vt:i4>
      </vt:variant>
      <vt:variant>
        <vt:lpwstr>http://www.gov.uk/find-tender</vt:lpwstr>
      </vt:variant>
      <vt:variant>
        <vt:lpwstr/>
      </vt:variant>
      <vt:variant>
        <vt:i4>7864440</vt:i4>
      </vt:variant>
      <vt:variant>
        <vt:i4>255</vt:i4>
      </vt:variant>
      <vt:variant>
        <vt:i4>0</vt:i4>
      </vt:variant>
      <vt:variant>
        <vt:i4>5</vt:i4>
      </vt:variant>
      <vt:variant>
        <vt:lpwstr>https://www.bobsbusiness.co.uk/</vt:lpwstr>
      </vt:variant>
      <vt:variant>
        <vt:lpwstr/>
      </vt:variant>
      <vt:variant>
        <vt:i4>6422590</vt:i4>
      </vt:variant>
      <vt:variant>
        <vt:i4>252</vt:i4>
      </vt:variant>
      <vt:variant>
        <vt:i4>0</vt:i4>
      </vt:variant>
      <vt:variant>
        <vt:i4>5</vt:i4>
      </vt:variant>
      <vt:variant>
        <vt:lpwstr>https://www.bing.com/ck/a?!&amp;&amp;p=d61dae930aa338a03e3ce5d196dc64c5d6b8a9790ee51ac3135feaa84779d85dJmltdHM9MTc2MjM4NzIwMA&amp;ptn=3&amp;ver=2&amp;hsh=4&amp;fclid=2403b3a5-fb3b-6c20-0990-a718fadb6d94&amp;psq=civil+service+learning+catalogue&amp;u=a1aHR0cHM6Ly9pZGVudGl0eS5sZWFybi5jaXZpbHNlcnZpY2UuZ292LnVrL2xvZ2lu</vt:lpwstr>
      </vt:variant>
      <vt:variant>
        <vt:lpwstr/>
      </vt:variant>
      <vt:variant>
        <vt:i4>2752558</vt:i4>
      </vt:variant>
      <vt:variant>
        <vt:i4>249</vt:i4>
      </vt:variant>
      <vt:variant>
        <vt:i4>0</vt:i4>
      </vt:variant>
      <vt:variant>
        <vt:i4>5</vt:i4>
      </vt:variant>
      <vt:variant>
        <vt:lpwstr>https://www.gov.uk/service-manual/helping-people-to-use-your-service/understanding-wcag</vt:lpwstr>
      </vt:variant>
      <vt:variant>
        <vt:lpwstr>meeting-government-accessibility-requirements</vt:lpwstr>
      </vt:variant>
      <vt:variant>
        <vt:i4>5177454</vt:i4>
      </vt:variant>
      <vt:variant>
        <vt:i4>246</vt:i4>
      </vt:variant>
      <vt:variant>
        <vt:i4>0</vt:i4>
      </vt:variant>
      <vt:variant>
        <vt:i4>5</vt:i4>
      </vt:variant>
      <vt:variant>
        <vt:lpwstr/>
      </vt:variant>
      <vt:variant>
        <vt:lpwstr>_How_to_respond</vt:lpwstr>
      </vt:variant>
      <vt:variant>
        <vt:i4>720940</vt:i4>
      </vt:variant>
      <vt:variant>
        <vt:i4>243</vt:i4>
      </vt:variant>
      <vt:variant>
        <vt:i4>0</vt:i4>
      </vt:variant>
      <vt:variant>
        <vt:i4>5</vt:i4>
      </vt:variant>
      <vt:variant>
        <vt:lpwstr>mailto:support-health@atamis.co.uk</vt:lpwstr>
      </vt:variant>
      <vt:variant>
        <vt:lpwstr/>
      </vt:variant>
      <vt:variant>
        <vt:i4>7602273</vt:i4>
      </vt:variant>
      <vt:variant>
        <vt:i4>240</vt:i4>
      </vt:variant>
      <vt:variant>
        <vt:i4>0</vt:i4>
      </vt:variant>
      <vt:variant>
        <vt:i4>5</vt:i4>
      </vt:variant>
      <vt:variant>
        <vt:lpwstr/>
      </vt:variant>
      <vt:variant>
        <vt:lpwstr>_Procurement_timetable</vt:lpwstr>
      </vt:variant>
      <vt:variant>
        <vt:i4>720940</vt:i4>
      </vt:variant>
      <vt:variant>
        <vt:i4>237</vt:i4>
      </vt:variant>
      <vt:variant>
        <vt:i4>0</vt:i4>
      </vt:variant>
      <vt:variant>
        <vt:i4>5</vt:i4>
      </vt:variant>
      <vt:variant>
        <vt:lpwstr>mailto:support-health@atamis.co.uk</vt:lpwstr>
      </vt:variant>
      <vt:variant>
        <vt:lpwstr/>
      </vt:variant>
      <vt:variant>
        <vt:i4>131139</vt:i4>
      </vt:variant>
      <vt:variant>
        <vt:i4>234</vt:i4>
      </vt:variant>
      <vt:variant>
        <vt:i4>0</vt:i4>
      </vt:variant>
      <vt:variant>
        <vt:i4>5</vt:i4>
      </vt:variant>
      <vt:variant>
        <vt:lpwstr>https://atamis-1928.my.site.com/s/Welcome</vt:lpwstr>
      </vt:variant>
      <vt:variant>
        <vt:lpwstr/>
      </vt:variant>
      <vt:variant>
        <vt:i4>3276854</vt:i4>
      </vt:variant>
      <vt:variant>
        <vt:i4>231</vt:i4>
      </vt:variant>
      <vt:variant>
        <vt:i4>0</vt:i4>
      </vt:variant>
      <vt:variant>
        <vt:i4>5</vt:i4>
      </vt:variant>
      <vt:variant>
        <vt:lpwstr>https://www.find-tender.service.gov.uk/Home/Contact</vt:lpwstr>
      </vt:variant>
      <vt:variant>
        <vt:lpwstr/>
      </vt:variant>
      <vt:variant>
        <vt:i4>720927</vt:i4>
      </vt:variant>
      <vt:variant>
        <vt:i4>228</vt:i4>
      </vt:variant>
      <vt:variant>
        <vt:i4>0</vt:i4>
      </vt:variant>
      <vt:variant>
        <vt:i4>5</vt:i4>
      </vt:variant>
      <vt:variant>
        <vt:lpwstr>https://www.gov.uk/government/collections/information-and-guidance-for-suppliers</vt:lpwstr>
      </vt:variant>
      <vt:variant>
        <vt:lpwstr/>
      </vt:variant>
      <vt:variant>
        <vt:i4>7143533</vt:i4>
      </vt:variant>
      <vt:variant>
        <vt:i4>225</vt:i4>
      </vt:variant>
      <vt:variant>
        <vt:i4>0</vt:i4>
      </vt:variant>
      <vt:variant>
        <vt:i4>5</vt:i4>
      </vt:variant>
      <vt:variant>
        <vt:lpwstr>https://riskledger.com/</vt:lpwstr>
      </vt:variant>
      <vt:variant>
        <vt:lpwstr/>
      </vt:variant>
      <vt:variant>
        <vt:i4>786434</vt:i4>
      </vt:variant>
      <vt:variant>
        <vt:i4>222</vt:i4>
      </vt:variant>
      <vt:variant>
        <vt:i4>0</vt:i4>
      </vt:variant>
      <vt:variant>
        <vt:i4>5</vt:i4>
      </vt:variant>
      <vt:variant>
        <vt:lpwstr>https://www.procurementpathway.civilservice.gov.uk/documents/template/pa-2023-procurement-specific-questionnaire</vt:lpwstr>
      </vt:variant>
      <vt:variant>
        <vt:lpwstr/>
      </vt:variant>
      <vt:variant>
        <vt:i4>6684749</vt:i4>
      </vt:variant>
      <vt:variant>
        <vt:i4>219</vt:i4>
      </vt:variant>
      <vt:variant>
        <vt:i4>0</vt:i4>
      </vt:variant>
      <vt:variant>
        <vt:i4>5</vt:i4>
      </vt:variant>
      <vt:variant>
        <vt:lpwstr>https://teams.microsoft.com/l/meetup-join/19%3ameeting_Y2Q1YmYxM2ItYjI0Mi00MGNiLTgwNTUtYTc0NDQzMzlhN2Q3%40thread.v2/0?context=%7b%22Tid%22%3a%22e527ea5c-6258-4cd2-a27f-8bd237ec4c26%22%2c%22Oid%22%3a%22e7b4ec2c-b655-4cc4-bfd9-b2bc8a76191b%22%7d</vt:lpwstr>
      </vt:variant>
      <vt:variant>
        <vt:lpwstr/>
      </vt:variant>
      <vt:variant>
        <vt:i4>7864440</vt:i4>
      </vt:variant>
      <vt:variant>
        <vt:i4>216</vt:i4>
      </vt:variant>
      <vt:variant>
        <vt:i4>0</vt:i4>
      </vt:variant>
      <vt:variant>
        <vt:i4>5</vt:i4>
      </vt:variant>
      <vt:variant>
        <vt:lpwstr>https://www.bobsbusiness.co.uk/</vt:lpwstr>
      </vt:variant>
      <vt:variant>
        <vt:lpwstr/>
      </vt:variant>
      <vt:variant>
        <vt:i4>6422590</vt:i4>
      </vt:variant>
      <vt:variant>
        <vt:i4>213</vt:i4>
      </vt:variant>
      <vt:variant>
        <vt:i4>0</vt:i4>
      </vt:variant>
      <vt:variant>
        <vt:i4>5</vt:i4>
      </vt:variant>
      <vt:variant>
        <vt:lpwstr>https://www.bing.com/ck/a?!&amp;&amp;p=d61dae930aa338a03e3ce5d196dc64c5d6b8a9790ee51ac3135feaa84779d85dJmltdHM9MTc2MjM4NzIwMA&amp;ptn=3&amp;ver=2&amp;hsh=4&amp;fclid=2403b3a5-fb3b-6c20-0990-a718fadb6d94&amp;psq=civil+service+learning+catalogue&amp;u=a1aHR0cHM6Ly9pZGVudGl0eS5sZWFybi5jaXZpbHNlcnZpY2UuZ292LnVrL2xvZ2lu</vt:lpwstr>
      </vt:variant>
      <vt:variant>
        <vt:lpwstr/>
      </vt:variant>
      <vt:variant>
        <vt:i4>2752558</vt:i4>
      </vt:variant>
      <vt:variant>
        <vt:i4>210</vt:i4>
      </vt:variant>
      <vt:variant>
        <vt:i4>0</vt:i4>
      </vt:variant>
      <vt:variant>
        <vt:i4>5</vt:i4>
      </vt:variant>
      <vt:variant>
        <vt:lpwstr>https://www.gov.uk/service-manual/helping-people-to-use-your-service/understanding-wcag</vt:lpwstr>
      </vt:variant>
      <vt:variant>
        <vt:lpwstr>meeting-government-accessibility-requirements</vt:lpwstr>
      </vt:variant>
      <vt:variant>
        <vt:i4>2490477</vt:i4>
      </vt:variant>
      <vt:variant>
        <vt:i4>207</vt:i4>
      </vt:variant>
      <vt:variant>
        <vt:i4>0</vt:i4>
      </vt:variant>
      <vt:variant>
        <vt:i4>5</vt:i4>
      </vt:variant>
      <vt:variant>
        <vt:lpwstr>https://www.gov.uk/government/organisations/medicines-and-healthcare-products-regulatory-agency</vt:lpwstr>
      </vt:variant>
      <vt:variant>
        <vt:lpwstr/>
      </vt:variant>
      <vt:variant>
        <vt:i4>1376307</vt:i4>
      </vt:variant>
      <vt:variant>
        <vt:i4>200</vt:i4>
      </vt:variant>
      <vt:variant>
        <vt:i4>0</vt:i4>
      </vt:variant>
      <vt:variant>
        <vt:i4>5</vt:i4>
      </vt:variant>
      <vt:variant>
        <vt:lpwstr/>
      </vt:variant>
      <vt:variant>
        <vt:lpwstr>_Toc204255055</vt:lpwstr>
      </vt:variant>
      <vt:variant>
        <vt:i4>1376307</vt:i4>
      </vt:variant>
      <vt:variant>
        <vt:i4>194</vt:i4>
      </vt:variant>
      <vt:variant>
        <vt:i4>0</vt:i4>
      </vt:variant>
      <vt:variant>
        <vt:i4>5</vt:i4>
      </vt:variant>
      <vt:variant>
        <vt:lpwstr/>
      </vt:variant>
      <vt:variant>
        <vt:lpwstr>_Toc204255054</vt:lpwstr>
      </vt:variant>
      <vt:variant>
        <vt:i4>1376307</vt:i4>
      </vt:variant>
      <vt:variant>
        <vt:i4>188</vt:i4>
      </vt:variant>
      <vt:variant>
        <vt:i4>0</vt:i4>
      </vt:variant>
      <vt:variant>
        <vt:i4>5</vt:i4>
      </vt:variant>
      <vt:variant>
        <vt:lpwstr/>
      </vt:variant>
      <vt:variant>
        <vt:lpwstr>_Toc204255053</vt:lpwstr>
      </vt:variant>
      <vt:variant>
        <vt:i4>1376307</vt:i4>
      </vt:variant>
      <vt:variant>
        <vt:i4>182</vt:i4>
      </vt:variant>
      <vt:variant>
        <vt:i4>0</vt:i4>
      </vt:variant>
      <vt:variant>
        <vt:i4>5</vt:i4>
      </vt:variant>
      <vt:variant>
        <vt:lpwstr/>
      </vt:variant>
      <vt:variant>
        <vt:lpwstr>_Toc204255052</vt:lpwstr>
      </vt:variant>
      <vt:variant>
        <vt:i4>1376307</vt:i4>
      </vt:variant>
      <vt:variant>
        <vt:i4>176</vt:i4>
      </vt:variant>
      <vt:variant>
        <vt:i4>0</vt:i4>
      </vt:variant>
      <vt:variant>
        <vt:i4>5</vt:i4>
      </vt:variant>
      <vt:variant>
        <vt:lpwstr/>
      </vt:variant>
      <vt:variant>
        <vt:lpwstr>_Toc204255051</vt:lpwstr>
      </vt:variant>
      <vt:variant>
        <vt:i4>1376307</vt:i4>
      </vt:variant>
      <vt:variant>
        <vt:i4>170</vt:i4>
      </vt:variant>
      <vt:variant>
        <vt:i4>0</vt:i4>
      </vt:variant>
      <vt:variant>
        <vt:i4>5</vt:i4>
      </vt:variant>
      <vt:variant>
        <vt:lpwstr/>
      </vt:variant>
      <vt:variant>
        <vt:lpwstr>_Toc204255050</vt:lpwstr>
      </vt:variant>
      <vt:variant>
        <vt:i4>1310771</vt:i4>
      </vt:variant>
      <vt:variant>
        <vt:i4>164</vt:i4>
      </vt:variant>
      <vt:variant>
        <vt:i4>0</vt:i4>
      </vt:variant>
      <vt:variant>
        <vt:i4>5</vt:i4>
      </vt:variant>
      <vt:variant>
        <vt:lpwstr/>
      </vt:variant>
      <vt:variant>
        <vt:lpwstr>_Toc204255049</vt:lpwstr>
      </vt:variant>
      <vt:variant>
        <vt:i4>1310771</vt:i4>
      </vt:variant>
      <vt:variant>
        <vt:i4>158</vt:i4>
      </vt:variant>
      <vt:variant>
        <vt:i4>0</vt:i4>
      </vt:variant>
      <vt:variant>
        <vt:i4>5</vt:i4>
      </vt:variant>
      <vt:variant>
        <vt:lpwstr/>
      </vt:variant>
      <vt:variant>
        <vt:lpwstr>_Toc204255048</vt:lpwstr>
      </vt:variant>
      <vt:variant>
        <vt:i4>1310771</vt:i4>
      </vt:variant>
      <vt:variant>
        <vt:i4>152</vt:i4>
      </vt:variant>
      <vt:variant>
        <vt:i4>0</vt:i4>
      </vt:variant>
      <vt:variant>
        <vt:i4>5</vt:i4>
      </vt:variant>
      <vt:variant>
        <vt:lpwstr/>
      </vt:variant>
      <vt:variant>
        <vt:lpwstr>_Toc204255047</vt:lpwstr>
      </vt:variant>
      <vt:variant>
        <vt:i4>1310771</vt:i4>
      </vt:variant>
      <vt:variant>
        <vt:i4>146</vt:i4>
      </vt:variant>
      <vt:variant>
        <vt:i4>0</vt:i4>
      </vt:variant>
      <vt:variant>
        <vt:i4>5</vt:i4>
      </vt:variant>
      <vt:variant>
        <vt:lpwstr/>
      </vt:variant>
      <vt:variant>
        <vt:lpwstr>_Toc204255046</vt:lpwstr>
      </vt:variant>
      <vt:variant>
        <vt:i4>1310771</vt:i4>
      </vt:variant>
      <vt:variant>
        <vt:i4>140</vt:i4>
      </vt:variant>
      <vt:variant>
        <vt:i4>0</vt:i4>
      </vt:variant>
      <vt:variant>
        <vt:i4>5</vt:i4>
      </vt:variant>
      <vt:variant>
        <vt:lpwstr/>
      </vt:variant>
      <vt:variant>
        <vt:lpwstr>_Toc204255045</vt:lpwstr>
      </vt:variant>
      <vt:variant>
        <vt:i4>1310771</vt:i4>
      </vt:variant>
      <vt:variant>
        <vt:i4>134</vt:i4>
      </vt:variant>
      <vt:variant>
        <vt:i4>0</vt:i4>
      </vt:variant>
      <vt:variant>
        <vt:i4>5</vt:i4>
      </vt:variant>
      <vt:variant>
        <vt:lpwstr/>
      </vt:variant>
      <vt:variant>
        <vt:lpwstr>_Toc204255044</vt:lpwstr>
      </vt:variant>
      <vt:variant>
        <vt:i4>1310771</vt:i4>
      </vt:variant>
      <vt:variant>
        <vt:i4>128</vt:i4>
      </vt:variant>
      <vt:variant>
        <vt:i4>0</vt:i4>
      </vt:variant>
      <vt:variant>
        <vt:i4>5</vt:i4>
      </vt:variant>
      <vt:variant>
        <vt:lpwstr/>
      </vt:variant>
      <vt:variant>
        <vt:lpwstr>_Toc204255043</vt:lpwstr>
      </vt:variant>
      <vt:variant>
        <vt:i4>1310771</vt:i4>
      </vt:variant>
      <vt:variant>
        <vt:i4>122</vt:i4>
      </vt:variant>
      <vt:variant>
        <vt:i4>0</vt:i4>
      </vt:variant>
      <vt:variant>
        <vt:i4>5</vt:i4>
      </vt:variant>
      <vt:variant>
        <vt:lpwstr/>
      </vt:variant>
      <vt:variant>
        <vt:lpwstr>_Toc204255042</vt:lpwstr>
      </vt:variant>
      <vt:variant>
        <vt:i4>1310771</vt:i4>
      </vt:variant>
      <vt:variant>
        <vt:i4>116</vt:i4>
      </vt:variant>
      <vt:variant>
        <vt:i4>0</vt:i4>
      </vt:variant>
      <vt:variant>
        <vt:i4>5</vt:i4>
      </vt:variant>
      <vt:variant>
        <vt:lpwstr/>
      </vt:variant>
      <vt:variant>
        <vt:lpwstr>_Toc204255041</vt:lpwstr>
      </vt:variant>
      <vt:variant>
        <vt:i4>1310771</vt:i4>
      </vt:variant>
      <vt:variant>
        <vt:i4>110</vt:i4>
      </vt:variant>
      <vt:variant>
        <vt:i4>0</vt:i4>
      </vt:variant>
      <vt:variant>
        <vt:i4>5</vt:i4>
      </vt:variant>
      <vt:variant>
        <vt:lpwstr/>
      </vt:variant>
      <vt:variant>
        <vt:lpwstr>_Toc204255040</vt:lpwstr>
      </vt:variant>
      <vt:variant>
        <vt:i4>1245235</vt:i4>
      </vt:variant>
      <vt:variant>
        <vt:i4>104</vt:i4>
      </vt:variant>
      <vt:variant>
        <vt:i4>0</vt:i4>
      </vt:variant>
      <vt:variant>
        <vt:i4>5</vt:i4>
      </vt:variant>
      <vt:variant>
        <vt:lpwstr/>
      </vt:variant>
      <vt:variant>
        <vt:lpwstr>_Toc204255039</vt:lpwstr>
      </vt:variant>
      <vt:variant>
        <vt:i4>1245235</vt:i4>
      </vt:variant>
      <vt:variant>
        <vt:i4>98</vt:i4>
      </vt:variant>
      <vt:variant>
        <vt:i4>0</vt:i4>
      </vt:variant>
      <vt:variant>
        <vt:i4>5</vt:i4>
      </vt:variant>
      <vt:variant>
        <vt:lpwstr/>
      </vt:variant>
      <vt:variant>
        <vt:lpwstr>_Toc204255038</vt:lpwstr>
      </vt:variant>
      <vt:variant>
        <vt:i4>1245235</vt:i4>
      </vt:variant>
      <vt:variant>
        <vt:i4>92</vt:i4>
      </vt:variant>
      <vt:variant>
        <vt:i4>0</vt:i4>
      </vt:variant>
      <vt:variant>
        <vt:i4>5</vt:i4>
      </vt:variant>
      <vt:variant>
        <vt:lpwstr/>
      </vt:variant>
      <vt:variant>
        <vt:lpwstr>_Toc204255037</vt:lpwstr>
      </vt:variant>
      <vt:variant>
        <vt:i4>1245235</vt:i4>
      </vt:variant>
      <vt:variant>
        <vt:i4>86</vt:i4>
      </vt:variant>
      <vt:variant>
        <vt:i4>0</vt:i4>
      </vt:variant>
      <vt:variant>
        <vt:i4>5</vt:i4>
      </vt:variant>
      <vt:variant>
        <vt:lpwstr/>
      </vt:variant>
      <vt:variant>
        <vt:lpwstr>_Toc204255036</vt:lpwstr>
      </vt:variant>
      <vt:variant>
        <vt:i4>1245235</vt:i4>
      </vt:variant>
      <vt:variant>
        <vt:i4>80</vt:i4>
      </vt:variant>
      <vt:variant>
        <vt:i4>0</vt:i4>
      </vt:variant>
      <vt:variant>
        <vt:i4>5</vt:i4>
      </vt:variant>
      <vt:variant>
        <vt:lpwstr/>
      </vt:variant>
      <vt:variant>
        <vt:lpwstr>_Toc204255035</vt:lpwstr>
      </vt:variant>
      <vt:variant>
        <vt:i4>1245235</vt:i4>
      </vt:variant>
      <vt:variant>
        <vt:i4>74</vt:i4>
      </vt:variant>
      <vt:variant>
        <vt:i4>0</vt:i4>
      </vt:variant>
      <vt:variant>
        <vt:i4>5</vt:i4>
      </vt:variant>
      <vt:variant>
        <vt:lpwstr/>
      </vt:variant>
      <vt:variant>
        <vt:lpwstr>_Toc204255034</vt:lpwstr>
      </vt:variant>
      <vt:variant>
        <vt:i4>1245235</vt:i4>
      </vt:variant>
      <vt:variant>
        <vt:i4>68</vt:i4>
      </vt:variant>
      <vt:variant>
        <vt:i4>0</vt:i4>
      </vt:variant>
      <vt:variant>
        <vt:i4>5</vt:i4>
      </vt:variant>
      <vt:variant>
        <vt:lpwstr/>
      </vt:variant>
      <vt:variant>
        <vt:lpwstr>_Toc204255033</vt:lpwstr>
      </vt:variant>
      <vt:variant>
        <vt:i4>1245235</vt:i4>
      </vt:variant>
      <vt:variant>
        <vt:i4>62</vt:i4>
      </vt:variant>
      <vt:variant>
        <vt:i4>0</vt:i4>
      </vt:variant>
      <vt:variant>
        <vt:i4>5</vt:i4>
      </vt:variant>
      <vt:variant>
        <vt:lpwstr/>
      </vt:variant>
      <vt:variant>
        <vt:lpwstr>_Toc204255032</vt:lpwstr>
      </vt:variant>
      <vt:variant>
        <vt:i4>1245235</vt:i4>
      </vt:variant>
      <vt:variant>
        <vt:i4>56</vt:i4>
      </vt:variant>
      <vt:variant>
        <vt:i4>0</vt:i4>
      </vt:variant>
      <vt:variant>
        <vt:i4>5</vt:i4>
      </vt:variant>
      <vt:variant>
        <vt:lpwstr/>
      </vt:variant>
      <vt:variant>
        <vt:lpwstr>_Toc204255031</vt:lpwstr>
      </vt:variant>
      <vt:variant>
        <vt:i4>1245235</vt:i4>
      </vt:variant>
      <vt:variant>
        <vt:i4>50</vt:i4>
      </vt:variant>
      <vt:variant>
        <vt:i4>0</vt:i4>
      </vt:variant>
      <vt:variant>
        <vt:i4>5</vt:i4>
      </vt:variant>
      <vt:variant>
        <vt:lpwstr/>
      </vt:variant>
      <vt:variant>
        <vt:lpwstr>_Toc204255030</vt:lpwstr>
      </vt:variant>
      <vt:variant>
        <vt:i4>1179699</vt:i4>
      </vt:variant>
      <vt:variant>
        <vt:i4>44</vt:i4>
      </vt:variant>
      <vt:variant>
        <vt:i4>0</vt:i4>
      </vt:variant>
      <vt:variant>
        <vt:i4>5</vt:i4>
      </vt:variant>
      <vt:variant>
        <vt:lpwstr/>
      </vt:variant>
      <vt:variant>
        <vt:lpwstr>_Toc204255029</vt:lpwstr>
      </vt:variant>
      <vt:variant>
        <vt:i4>1179699</vt:i4>
      </vt:variant>
      <vt:variant>
        <vt:i4>38</vt:i4>
      </vt:variant>
      <vt:variant>
        <vt:i4>0</vt:i4>
      </vt:variant>
      <vt:variant>
        <vt:i4>5</vt:i4>
      </vt:variant>
      <vt:variant>
        <vt:lpwstr/>
      </vt:variant>
      <vt:variant>
        <vt:lpwstr>_Toc204255028</vt:lpwstr>
      </vt:variant>
      <vt:variant>
        <vt:i4>1179699</vt:i4>
      </vt:variant>
      <vt:variant>
        <vt:i4>32</vt:i4>
      </vt:variant>
      <vt:variant>
        <vt:i4>0</vt:i4>
      </vt:variant>
      <vt:variant>
        <vt:i4>5</vt:i4>
      </vt:variant>
      <vt:variant>
        <vt:lpwstr/>
      </vt:variant>
      <vt:variant>
        <vt:lpwstr>_Toc204255027</vt:lpwstr>
      </vt:variant>
      <vt:variant>
        <vt:i4>1179699</vt:i4>
      </vt:variant>
      <vt:variant>
        <vt:i4>26</vt:i4>
      </vt:variant>
      <vt:variant>
        <vt:i4>0</vt:i4>
      </vt:variant>
      <vt:variant>
        <vt:i4>5</vt:i4>
      </vt:variant>
      <vt:variant>
        <vt:lpwstr/>
      </vt:variant>
      <vt:variant>
        <vt:lpwstr>_Toc204255026</vt:lpwstr>
      </vt:variant>
      <vt:variant>
        <vt:i4>1179699</vt:i4>
      </vt:variant>
      <vt:variant>
        <vt:i4>20</vt:i4>
      </vt:variant>
      <vt:variant>
        <vt:i4>0</vt:i4>
      </vt:variant>
      <vt:variant>
        <vt:i4>5</vt:i4>
      </vt:variant>
      <vt:variant>
        <vt:lpwstr/>
      </vt:variant>
      <vt:variant>
        <vt:lpwstr>_Toc204255025</vt:lpwstr>
      </vt:variant>
      <vt:variant>
        <vt:i4>1179699</vt:i4>
      </vt:variant>
      <vt:variant>
        <vt:i4>14</vt:i4>
      </vt:variant>
      <vt:variant>
        <vt:i4>0</vt:i4>
      </vt:variant>
      <vt:variant>
        <vt:i4>5</vt:i4>
      </vt:variant>
      <vt:variant>
        <vt:lpwstr/>
      </vt:variant>
      <vt:variant>
        <vt:lpwstr>_Toc204255024</vt:lpwstr>
      </vt:variant>
      <vt:variant>
        <vt:i4>1179699</vt:i4>
      </vt:variant>
      <vt:variant>
        <vt:i4>8</vt:i4>
      </vt:variant>
      <vt:variant>
        <vt:i4>0</vt:i4>
      </vt:variant>
      <vt:variant>
        <vt:i4>5</vt:i4>
      </vt:variant>
      <vt:variant>
        <vt:lpwstr/>
      </vt:variant>
      <vt:variant>
        <vt:lpwstr>_Toc204255023</vt:lpwstr>
      </vt:variant>
      <vt:variant>
        <vt:i4>1179699</vt:i4>
      </vt:variant>
      <vt:variant>
        <vt:i4>2</vt:i4>
      </vt:variant>
      <vt:variant>
        <vt:i4>0</vt:i4>
      </vt:variant>
      <vt:variant>
        <vt:i4>5</vt:i4>
      </vt:variant>
      <vt:variant>
        <vt:lpwstr/>
      </vt:variant>
      <vt:variant>
        <vt:lpwstr>_Toc204255022</vt:lpwstr>
      </vt:variant>
      <vt:variant>
        <vt:i4>1769508</vt:i4>
      </vt:variant>
      <vt:variant>
        <vt:i4>30</vt:i4>
      </vt:variant>
      <vt:variant>
        <vt:i4>0</vt:i4>
      </vt:variant>
      <vt:variant>
        <vt:i4>5</vt:i4>
      </vt:variant>
      <vt:variant>
        <vt:lpwstr>mailto:Jonathon.Moloney@mhra.gov.uk</vt:lpwstr>
      </vt:variant>
      <vt:variant>
        <vt:lpwstr/>
      </vt:variant>
      <vt:variant>
        <vt:i4>2752528</vt:i4>
      </vt:variant>
      <vt:variant>
        <vt:i4>27</vt:i4>
      </vt:variant>
      <vt:variant>
        <vt:i4>0</vt:i4>
      </vt:variant>
      <vt:variant>
        <vt:i4>5</vt:i4>
      </vt:variant>
      <vt:variant>
        <vt:lpwstr>mailto:Sarah.Cook@mhra.gov.uk</vt:lpwstr>
      </vt:variant>
      <vt:variant>
        <vt:lpwstr/>
      </vt:variant>
      <vt:variant>
        <vt:i4>1769508</vt:i4>
      </vt:variant>
      <vt:variant>
        <vt:i4>24</vt:i4>
      </vt:variant>
      <vt:variant>
        <vt:i4>0</vt:i4>
      </vt:variant>
      <vt:variant>
        <vt:i4>5</vt:i4>
      </vt:variant>
      <vt:variant>
        <vt:lpwstr>mailto:Jonathon.Moloney@mhra.gov.uk</vt:lpwstr>
      </vt:variant>
      <vt:variant>
        <vt:lpwstr/>
      </vt:variant>
      <vt:variant>
        <vt:i4>2752528</vt:i4>
      </vt:variant>
      <vt:variant>
        <vt:i4>21</vt:i4>
      </vt:variant>
      <vt:variant>
        <vt:i4>0</vt:i4>
      </vt:variant>
      <vt:variant>
        <vt:i4>5</vt:i4>
      </vt:variant>
      <vt:variant>
        <vt:lpwstr>mailto:Sarah.Cook@mhra.gov.uk</vt:lpwstr>
      </vt:variant>
      <vt:variant>
        <vt:lpwstr/>
      </vt:variant>
      <vt:variant>
        <vt:i4>1769508</vt:i4>
      </vt:variant>
      <vt:variant>
        <vt:i4>18</vt:i4>
      </vt:variant>
      <vt:variant>
        <vt:i4>0</vt:i4>
      </vt:variant>
      <vt:variant>
        <vt:i4>5</vt:i4>
      </vt:variant>
      <vt:variant>
        <vt:lpwstr>mailto:Jonathon.Moloney@mhra.gov.uk</vt:lpwstr>
      </vt:variant>
      <vt:variant>
        <vt:lpwstr/>
      </vt:variant>
      <vt:variant>
        <vt:i4>2752528</vt:i4>
      </vt:variant>
      <vt:variant>
        <vt:i4>15</vt:i4>
      </vt:variant>
      <vt:variant>
        <vt:i4>0</vt:i4>
      </vt:variant>
      <vt:variant>
        <vt:i4>5</vt:i4>
      </vt:variant>
      <vt:variant>
        <vt:lpwstr>mailto:Sarah.Cook@mhra.gov.uk</vt:lpwstr>
      </vt:variant>
      <vt:variant>
        <vt:lpwstr/>
      </vt:variant>
      <vt:variant>
        <vt:i4>1769508</vt:i4>
      </vt:variant>
      <vt:variant>
        <vt:i4>12</vt:i4>
      </vt:variant>
      <vt:variant>
        <vt:i4>0</vt:i4>
      </vt:variant>
      <vt:variant>
        <vt:i4>5</vt:i4>
      </vt:variant>
      <vt:variant>
        <vt:lpwstr>mailto:Jonathon.Moloney@mhra.gov.uk</vt:lpwstr>
      </vt:variant>
      <vt:variant>
        <vt:lpwstr/>
      </vt:variant>
      <vt:variant>
        <vt:i4>1769508</vt:i4>
      </vt:variant>
      <vt:variant>
        <vt:i4>9</vt:i4>
      </vt:variant>
      <vt:variant>
        <vt:i4>0</vt:i4>
      </vt:variant>
      <vt:variant>
        <vt:i4>5</vt:i4>
      </vt:variant>
      <vt:variant>
        <vt:lpwstr>mailto:Jonathon.Moloney@mhra.gov.uk</vt:lpwstr>
      </vt:variant>
      <vt:variant>
        <vt:lpwstr/>
      </vt:variant>
      <vt:variant>
        <vt:i4>2752528</vt:i4>
      </vt:variant>
      <vt:variant>
        <vt:i4>6</vt:i4>
      </vt:variant>
      <vt:variant>
        <vt:i4>0</vt:i4>
      </vt:variant>
      <vt:variant>
        <vt:i4>5</vt:i4>
      </vt:variant>
      <vt:variant>
        <vt:lpwstr>mailto:Sarah.Cook@mhra.gov.uk</vt:lpwstr>
      </vt:variant>
      <vt:variant>
        <vt:lpwstr/>
      </vt:variant>
      <vt:variant>
        <vt:i4>1769508</vt:i4>
      </vt:variant>
      <vt:variant>
        <vt:i4>3</vt:i4>
      </vt:variant>
      <vt:variant>
        <vt:i4>0</vt:i4>
      </vt:variant>
      <vt:variant>
        <vt:i4>5</vt:i4>
      </vt:variant>
      <vt:variant>
        <vt:lpwstr>mailto:Jonathon.Moloney@mhra.gov.uk</vt:lpwstr>
      </vt:variant>
      <vt:variant>
        <vt:lpwstr/>
      </vt:variant>
      <vt:variant>
        <vt:i4>1769508</vt:i4>
      </vt:variant>
      <vt:variant>
        <vt:i4>0</vt:i4>
      </vt:variant>
      <vt:variant>
        <vt:i4>0</vt:i4>
      </vt:variant>
      <vt:variant>
        <vt:i4>5</vt:i4>
      </vt:variant>
      <vt:variant>
        <vt:lpwstr>mailto:Jonathon.Moloney@mhra.gov.uk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Dugard, Cher</dc:creator>
  <cp:keywords/>
  <cp:lastModifiedBy>Moloney, Jonathon</cp:lastModifiedBy>
  <cp:revision>9</cp:revision>
  <dcterms:created xsi:type="dcterms:W3CDTF">2025-11-24T09:16:00Z</dcterms:created>
  <dcterms:modified xsi:type="dcterms:W3CDTF">2025-11-24T09:24:00Z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0x01010011CF088399B3364EB2D5A194514DF09A</vt:lpwstr>
  </property>
  <property fmtid="{D5CDD505-2E9C-101B-9397-08002B2CF9AE}" pid="3" name="MediaServiceImageTags">
    <vt:lpwstr/>
  </property>
  <property fmtid="{D5CDD505-2E9C-101B-9397-08002B2CF9AE}" pid="4" name="Order">
    <vt:r8>1376300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ument type">
    <vt:lpwstr/>
  </property>
  <property fmtid="{D5CDD505-2E9C-101B-9397-08002B2CF9AE}" pid="12" name="Document_x0020_type">
    <vt:lpwstr/>
  </property>
  <property fmtid="{D5CDD505-2E9C-101B-9397-08002B2CF9AE}" pid="13" name="AgencyKeywords">
    <vt:lpwstr/>
  </property>
  <property fmtid="{D5CDD505-2E9C-101B-9397-08002B2CF9AE}" pid="14" name="SecurityClassification">
    <vt:lpwstr>3;#Official|9d42bd58-89d2-4e46-94bb-80d8f31efd91</vt:lpwstr>
  </property>
</Properties>
</file>