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75A6" w14:textId="77777777" w:rsidR="00F25CA9" w:rsidRDefault="00F25CA9" w:rsidP="00F25CA9">
      <w:pPr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65A52B12" wp14:editId="0C724831">
            <wp:extent cx="1388745" cy="1394460"/>
            <wp:effectExtent l="0" t="0" r="1905" b="0"/>
            <wp:docPr id="804851580" name="Picture 4" descr="A black and grey logo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580" name="Picture 4" descr="A black and grey logo with a blue arrow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029EA" w14:textId="77777777" w:rsidR="00F25CA9" w:rsidRPr="00237725" w:rsidRDefault="00F25CA9" w:rsidP="00F25CA9">
      <w:pPr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>EKC Group –</w:t>
      </w:r>
      <w:r w:rsidRPr="00237725">
        <w:rPr>
          <w:b/>
          <w:bCs/>
          <w:i/>
          <w:iCs/>
          <w:u w:val="single"/>
        </w:rPr>
        <w:t>Tender to provide a HR and Payroll System solution (5-year contract)</w:t>
      </w:r>
    </w:p>
    <w:p w14:paraId="1B74A9DC" w14:textId="75ACBCA3" w:rsidR="00F25CA9" w:rsidRDefault="00F25CA9" w:rsidP="00F25CA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Tender </w:t>
      </w:r>
      <w:r w:rsidRPr="00180DCF">
        <w:rPr>
          <w:b/>
          <w:bCs/>
          <w:i/>
          <w:iCs/>
        </w:rPr>
        <w:t>Clarifications</w:t>
      </w:r>
      <w:r>
        <w:rPr>
          <w:b/>
          <w:bCs/>
          <w:i/>
          <w:iCs/>
        </w:rPr>
        <w:t xml:space="preserve"> and Guidance </w:t>
      </w:r>
      <w:r w:rsidR="000C741B">
        <w:rPr>
          <w:b/>
          <w:bCs/>
          <w:i/>
          <w:iCs/>
        </w:rPr>
        <w:t>7</w:t>
      </w:r>
    </w:p>
    <w:p w14:paraId="14985A80" w14:textId="77777777" w:rsidR="0061136F" w:rsidRDefault="0061136F" w:rsidP="00F25CA9">
      <w:pPr>
        <w:jc w:val="center"/>
        <w:rPr>
          <w:b/>
          <w:bCs/>
          <w:i/>
          <w:iCs/>
        </w:rPr>
      </w:pPr>
    </w:p>
    <w:tbl>
      <w:tblPr>
        <w:tblW w:w="139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976"/>
      </w:tblGrid>
      <w:tr w:rsidR="00F25CA9" w:rsidRPr="00F25CA9" w14:paraId="4F15BFF6" w14:textId="77777777" w:rsidTr="005613D7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57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0"/>
            </w:tblGrid>
            <w:tr w:rsidR="000C741B" w:rsidRPr="000C741B" w14:paraId="285BF0AE" w14:textId="77777777">
              <w:trPr>
                <w:trHeight w:val="290"/>
              </w:trPr>
              <w:tc>
                <w:tcPr>
                  <w:tcW w:w="1576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B7B307" w14:textId="77777777" w:rsidR="000C741B" w:rsidRPr="000C741B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Integration Scope and Data Field Requirements</w:t>
                  </w:r>
                </w:p>
              </w:tc>
            </w:tr>
          </w:tbl>
          <w:p w14:paraId="6A2D1495" w14:textId="77777777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14:paraId="42513770" w14:textId="27B4F551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Q1.</w:t>
            </w:r>
          </w:p>
          <w:tbl>
            <w:tblPr>
              <w:tblW w:w="157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0"/>
            </w:tblGrid>
            <w:tr w:rsidR="000C741B" w:rsidRPr="000C741B" w14:paraId="68FA309D" w14:textId="77777777">
              <w:trPr>
                <w:trHeight w:val="560"/>
              </w:trPr>
              <w:tc>
                <w:tcPr>
                  <w:tcW w:w="15760" w:type="dxa"/>
                  <w:tcMar>
                    <w:top w:w="15" w:type="dxa"/>
                    <w:left w:w="18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1CBDA39" w14:textId="77777777" w:rsidR="002B12C9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Whether EKC Group </w:t>
                  </w:r>
                  <w:proofErr w:type="gramStart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are able to</w:t>
                  </w:r>
                  <w:proofErr w:type="gramEnd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provide a list or data specification outlining the required data </w:t>
                  </w:r>
                </w:p>
                <w:p w14:paraId="7E7A221F" w14:textId="77777777" w:rsidR="002B12C9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fields to be exchanged for each integration (e.g. </w:t>
                  </w:r>
                  <w:proofErr w:type="spellStart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ProSolution</w:t>
                  </w:r>
                  <w:proofErr w:type="spellEnd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, </w:t>
                  </w:r>
                  <w:proofErr w:type="spellStart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TopDesk</w:t>
                  </w:r>
                  <w:proofErr w:type="spellEnd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, SharePoint, </w:t>
                  </w:r>
                </w:p>
                <w:p w14:paraId="40C88DF1" w14:textId="147F9B6B" w:rsidR="000C741B" w:rsidRPr="000C741B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proofErr w:type="spellStart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Eploy</w:t>
                  </w:r>
                  <w:proofErr w:type="spellEnd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, </w:t>
                  </w:r>
                  <w:proofErr w:type="spellStart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MyWorklife</w:t>
                  </w:r>
                  <w:proofErr w:type="spellEnd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/</w:t>
                  </w:r>
                  <w:proofErr w:type="spellStart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MyProgress</w:t>
                  </w:r>
                  <w:proofErr w:type="spellEnd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, Sage Intact, </w:t>
                  </w:r>
                  <w:proofErr w:type="spellStart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PayMyStudent</w:t>
                  </w:r>
                  <w:proofErr w:type="spellEnd"/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, and Safeguarding).</w:t>
                  </w:r>
                </w:p>
              </w:tc>
            </w:tr>
          </w:tbl>
          <w:p w14:paraId="6127DD9C" w14:textId="77777777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14:paraId="516D9D10" w14:textId="77777777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Will be advised nearer to the time as need to discuss at Group level</w:t>
            </w:r>
          </w:p>
          <w:p w14:paraId="752F3E29" w14:textId="77777777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Q2</w:t>
            </w:r>
          </w:p>
          <w:p w14:paraId="69AEFA73" w14:textId="2BECB5DD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tbl>
            <w:tblPr>
              <w:tblW w:w="157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0"/>
            </w:tblGrid>
            <w:tr w:rsidR="000C741B" w:rsidRPr="000C741B" w14:paraId="1927498B" w14:textId="77777777">
              <w:trPr>
                <w:trHeight w:val="560"/>
              </w:trPr>
              <w:tc>
                <w:tcPr>
                  <w:tcW w:w="15760" w:type="dxa"/>
                  <w:tcMar>
                    <w:top w:w="15" w:type="dxa"/>
                    <w:left w:w="18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EA8D45" w14:textId="77777777" w:rsidR="0001365D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Alternatively, if the expectation is that the proposed HR and Payroll system should simply </w:t>
                  </w:r>
                </w:p>
                <w:p w14:paraId="00115786" w14:textId="77777777" w:rsidR="0001365D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facilitate these integrations through open APIs and data exchange capability, and that EKC’s </w:t>
                  </w:r>
                </w:p>
                <w:p w14:paraId="14F464B2" w14:textId="77777777" w:rsidR="0001365D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internal IT team would then manage the configuration or build of the actual integration </w:t>
                  </w:r>
                </w:p>
                <w:p w14:paraId="78CB0236" w14:textId="34575213" w:rsidR="000C741B" w:rsidRPr="000C741B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links post-implementation.</w:t>
                  </w:r>
                </w:p>
                <w:p w14:paraId="1F20DC29" w14:textId="77777777" w:rsidR="000C741B" w:rsidRPr="000C741B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4AAAE530" w14:textId="77777777" w:rsidR="000C741B" w:rsidRPr="000C741B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color w:val="4C94D8" w:themeColor="text2" w:themeTint="80"/>
                      <w:kern w:val="0"/>
                      <w:lang w:eastAsia="en-GB"/>
                      <w14:ligatures w14:val="none"/>
                    </w:rPr>
                    <w:t>Will be advised nearer to the time as need to discuss at Group level</w:t>
                  </w:r>
                </w:p>
              </w:tc>
            </w:tr>
          </w:tbl>
          <w:p w14:paraId="27CB8245" w14:textId="7EC7ADD8" w:rsid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14:paraId="4A026A40" w14:textId="77777777" w:rsidR="00293D80" w:rsidRDefault="00293D80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14:paraId="42A2D9D4" w14:textId="77777777" w:rsidR="00293D80" w:rsidRPr="000C741B" w:rsidRDefault="00293D80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tbl>
            <w:tblPr>
              <w:tblW w:w="157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0"/>
            </w:tblGrid>
            <w:tr w:rsidR="000C741B" w:rsidRPr="000C741B" w14:paraId="5C31FDF9" w14:textId="77777777">
              <w:trPr>
                <w:trHeight w:val="290"/>
              </w:trPr>
              <w:tc>
                <w:tcPr>
                  <w:tcW w:w="1576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5154E0" w14:textId="77777777" w:rsidR="000C741B" w:rsidRPr="000C741B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lastRenderedPageBreak/>
                    <w:t>Conditions of Contract</w:t>
                  </w:r>
                </w:p>
              </w:tc>
            </w:tr>
          </w:tbl>
          <w:p w14:paraId="04E9292E" w14:textId="77777777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14:paraId="0B309E05" w14:textId="77777777" w:rsidR="00293D80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Q1.  Whether EKC Group would be open to reviewing or contracting under the supplier’s standard </w:t>
            </w:r>
          </w:p>
          <w:p w14:paraId="6E18979E" w14:textId="4B24EB5E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Terms and Conditions</w:t>
            </w:r>
          </w:p>
          <w:p w14:paraId="7FE43CCD" w14:textId="08D11437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proofErr w:type="gramStart"/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Yes</w:t>
            </w:r>
            <w:proofErr w:type="gramEnd"/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 we would be open to reviewing or contracting under the supplier's standard T&amp;Cs</w:t>
            </w:r>
          </w:p>
          <w:tbl>
            <w:tblPr>
              <w:tblW w:w="157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0"/>
            </w:tblGrid>
            <w:tr w:rsidR="000C741B" w:rsidRPr="000C741B" w14:paraId="27D19BD6" w14:textId="77777777">
              <w:trPr>
                <w:trHeight w:val="290"/>
              </w:trPr>
              <w:tc>
                <w:tcPr>
                  <w:tcW w:w="1576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1FD91DC" w14:textId="77777777" w:rsidR="000C741B" w:rsidRPr="000C741B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Employee Headcount and Composition</w:t>
                  </w:r>
                </w:p>
              </w:tc>
            </w:tr>
          </w:tbl>
          <w:p w14:paraId="7D4FFC44" w14:textId="3EAAB500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Q1 The total headcount for each entity (EKC Group, EKC Schools Trust, and the hotel subsidiary)</w:t>
            </w:r>
          </w:p>
          <w:p w14:paraId="725275FA" w14:textId="77777777" w:rsidR="00293D80" w:rsidRPr="00293D80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EKC Group - pays roughly 1500 employees each month. EKC Schools estimated 700 employees </w:t>
            </w:r>
          </w:p>
          <w:p w14:paraId="596F5833" w14:textId="5F227204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from April 26. Tronc Scheme currently at 51 employees and Yarrow Hotel is 41 employees.</w:t>
            </w:r>
          </w:p>
          <w:p w14:paraId="1DBAE6FB" w14:textId="77777777" w:rsidR="00293D80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Q3 Whether the 700 Schools Trust employees are in addition to or included within the </w:t>
            </w:r>
          </w:p>
          <w:p w14:paraId="10AD70E6" w14:textId="757C5B44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1,500 Group total.</w:t>
            </w:r>
          </w:p>
          <w:p w14:paraId="32103551" w14:textId="43B9DCC7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They are in addition to.</w:t>
            </w:r>
          </w:p>
          <w:p w14:paraId="5266E8E1" w14:textId="77777777" w:rsidR="00293D80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Q4 A breakdown of any casual or variable-hours employees who are typically paid fewer </w:t>
            </w:r>
          </w:p>
          <w:p w14:paraId="78B91233" w14:textId="4858D60B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than three times per annum on average.</w:t>
            </w:r>
          </w:p>
          <w:p w14:paraId="4651701E" w14:textId="5ED79919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50 - 75 employees</w:t>
            </w:r>
          </w:p>
          <w:tbl>
            <w:tblPr>
              <w:tblW w:w="157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0"/>
            </w:tblGrid>
            <w:tr w:rsidR="000C741B" w:rsidRPr="000C741B" w14:paraId="66780B3D" w14:textId="77777777">
              <w:trPr>
                <w:trHeight w:val="290"/>
              </w:trPr>
              <w:tc>
                <w:tcPr>
                  <w:tcW w:w="1576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46F6D5" w14:textId="77777777" w:rsidR="000C741B" w:rsidRPr="000C741B" w:rsidRDefault="000C741B" w:rsidP="000C741B">
                  <w:pPr>
                    <w:rPr>
                      <w:rFonts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C741B"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2. Pension Schemes</w:t>
                  </w:r>
                </w:p>
              </w:tc>
            </w:tr>
          </w:tbl>
          <w:p w14:paraId="0A7227F5" w14:textId="77777777" w:rsidR="00A3110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Q1 Whether this represents three schemes in total, or if there are multiple LGPS funds </w:t>
            </w:r>
          </w:p>
          <w:p w14:paraId="39CD6ACF" w14:textId="6C9D16E3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in operation across the Group and Schools Trust.</w:t>
            </w:r>
          </w:p>
          <w:p w14:paraId="1CAE24CB" w14:textId="4EE58145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Yes</w:t>
            </w:r>
            <w:r w:rsidR="00A3110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,</w:t>
            </w: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 it is three separate schemes</w:t>
            </w:r>
          </w:p>
          <w:p w14:paraId="53822E0A" w14:textId="53DA44AF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Q2 The approximate number of staff enrolled in each scheme.</w:t>
            </w:r>
          </w:p>
          <w:p w14:paraId="113B752C" w14:textId="058323B2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Group - LGPS - 916, TPS - 618, Trust LGPS - 376, TPS - 203. Yarrow </w:t>
            </w: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- NEST 35</w:t>
            </w:r>
          </w:p>
          <w:p w14:paraId="091E5C57" w14:textId="1F42A36D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3. Learning Management System (LMS)</w:t>
            </w:r>
          </w:p>
          <w:p w14:paraId="7D9B6C64" w14:textId="22AC34B1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Q1 The name of the current LMS in use.</w:t>
            </w:r>
          </w:p>
          <w:p w14:paraId="1F0825AA" w14:textId="77777777" w:rsidR="00A3110B" w:rsidRPr="00A3110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We currently use a couple of </w:t>
            </w:r>
            <w:proofErr w:type="gramStart"/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topic</w:t>
            </w:r>
            <w:proofErr w:type="gramEnd"/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 specific LMS systems for mandatory training and </w:t>
            </w:r>
          </w:p>
          <w:p w14:paraId="779AD1DC" w14:textId="71545C79" w:rsidR="00A3110B" w:rsidRPr="00A3110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Safeguarding and have some topics on our Moodle for staff. Our intention would be to </w:t>
            </w:r>
          </w:p>
          <w:p w14:paraId="67F1290A" w14:textId="436E4005" w:rsidR="00A3110B" w:rsidRPr="00A3110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see if these could be moved to a single system and this may be something that suppliers </w:t>
            </w:r>
          </w:p>
          <w:p w14:paraId="0C2FD9E6" w14:textId="5B2FB82F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could propose as added value (with costings etc).</w:t>
            </w:r>
          </w:p>
          <w:p w14:paraId="70D7754C" w14:textId="77777777" w:rsidR="00A3110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Q2 Whether EKC Group would like to consider the option of including an LMS within </w:t>
            </w:r>
            <w:proofErr w:type="gramStart"/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our</w:t>
            </w:r>
            <w:proofErr w:type="gramEnd"/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49BD4908" w14:textId="04D2076B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proposal as part of an integrated solution.</w:t>
            </w:r>
          </w:p>
          <w:p w14:paraId="212D36F3" w14:textId="2411A7C7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To be advised </w:t>
            </w:r>
          </w:p>
          <w:p w14:paraId="7E25675A" w14:textId="6F293B27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Management Information System (MIS) – Schools Trust</w:t>
            </w:r>
          </w:p>
          <w:p w14:paraId="609CD6F6" w14:textId="0412EA2E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Q1 Whether the Trust currently uses a school MIS (e.g., Arbor, </w:t>
            </w:r>
            <w:proofErr w:type="spellStart"/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Bromcom</w:t>
            </w:r>
            <w:proofErr w:type="spellEnd"/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, SIMS, or another platform).</w:t>
            </w:r>
          </w:p>
          <w:p w14:paraId="2C36C684" w14:textId="3B0E983E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Arbor and </w:t>
            </w:r>
            <w:proofErr w:type="spellStart"/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Bromcom</w:t>
            </w:r>
            <w:proofErr w:type="spellEnd"/>
          </w:p>
          <w:p w14:paraId="47D21177" w14:textId="77777777" w:rsidR="00A3110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Q2 If so, whether there is an expectation for integration between the MIS and the </w:t>
            </w:r>
          </w:p>
          <w:p w14:paraId="2A2A6953" w14:textId="7ED20D2E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proposed HR/Payroll system.</w:t>
            </w:r>
          </w:p>
          <w:p w14:paraId="71BFC958" w14:textId="7CF48A56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We would be interested in integration, where this is inclusive feature. </w:t>
            </w:r>
          </w:p>
          <w:p w14:paraId="34D3292E" w14:textId="3DAEE3D3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5. Payroll Requirements Document Access</w:t>
            </w:r>
          </w:p>
          <w:p w14:paraId="03FDA002" w14:textId="77777777" w:rsidR="00A3110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Q1 Could you please confirm whether this document is required for review, and if so, </w:t>
            </w:r>
          </w:p>
          <w:p w14:paraId="54E2D1C8" w14:textId="662F8B2B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re-send a copy or provide an accessible version?</w:t>
            </w:r>
          </w:p>
          <w:p w14:paraId="615978FC" w14:textId="6F2A0362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No this is included by accident</w:t>
            </w:r>
          </w:p>
          <w:p w14:paraId="05F9F940" w14:textId="62647361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Current System De-support and Go-Live Contingency</w:t>
            </w:r>
          </w:p>
          <w:p w14:paraId="4784E6AA" w14:textId="66EE3846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Q1 The ITT notes the current HR/Payroll system is being phased out by the supplier from 31 March 2026.</w:t>
            </w:r>
          </w:p>
          <w:p w14:paraId="181A2D96" w14:textId="77777777" w:rsidR="00A3110B" w:rsidRPr="00A3110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We can receive support from the outgoing system provider until Oct 2026 subject to them </w:t>
            </w:r>
          </w:p>
          <w:p w14:paraId="05DC2F87" w14:textId="6C878A89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agreeing to this.</w:t>
            </w:r>
          </w:p>
          <w:p w14:paraId="3B37F5EA" w14:textId="77777777" w:rsidR="00A3110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Q2 Could you please confirm if the end of March 2026 is the exact date that it will not be </w:t>
            </w:r>
          </w:p>
          <w:p w14:paraId="12F67D61" w14:textId="12893647" w:rsidR="000C741B" w:rsidRPr="000C741B" w:rsidRDefault="000C741B" w:rsidP="000C741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supported of has the provider allowed the Group contingency in the event of any</w:t>
            </w:r>
          </w:p>
          <w:p w14:paraId="2F057954" w14:textId="77777777" w:rsidR="00A3110B" w:rsidRPr="00A3110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 xml:space="preserve">We can receive support from the outgoing system provider until Oct 2026 subject to them </w:t>
            </w:r>
          </w:p>
          <w:p w14:paraId="1534B1B5" w14:textId="6CE1D717" w:rsidR="000C741B" w:rsidRPr="000C741B" w:rsidRDefault="000C741B" w:rsidP="000C741B">
            <w:pPr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</w:pPr>
            <w:r w:rsidRPr="000C741B">
              <w:rPr>
                <w:rFonts w:eastAsia="Times New Roman" w:cs="Calibri"/>
                <w:color w:val="4C94D8" w:themeColor="text2" w:themeTint="80"/>
                <w:kern w:val="0"/>
                <w:lang w:eastAsia="en-GB"/>
                <w14:ligatures w14:val="none"/>
              </w:rPr>
              <w:t>agreeing to this.</w:t>
            </w:r>
          </w:p>
          <w:p w14:paraId="0E4D85E1" w14:textId="3521716E" w:rsidR="00F25CA9" w:rsidRPr="00F25CA9" w:rsidRDefault="00A3110B" w:rsidP="0062157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25CA9">
              <w:rPr>
                <w:b/>
                <w:bCs/>
              </w:rPr>
              <w:t>_END_</w:t>
            </w:r>
          </w:p>
        </w:tc>
      </w:tr>
      <w:tr w:rsidR="00F25CA9" w:rsidRPr="00F25CA9" w14:paraId="03A39D98" w14:textId="77777777" w:rsidTr="00B8461E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21530" w14:textId="27434121" w:rsidR="00DC23BF" w:rsidRPr="00F25CA9" w:rsidRDefault="00DC23BF" w:rsidP="00F25CA9">
            <w:pPr>
              <w:rPr>
                <w:color w:val="000000"/>
              </w:rPr>
            </w:pPr>
          </w:p>
        </w:tc>
      </w:tr>
    </w:tbl>
    <w:p w14:paraId="2AC7D4B6" w14:textId="77777777" w:rsidR="00F25CA9" w:rsidRPr="00F25CA9" w:rsidRDefault="00F25CA9"/>
    <w:sectPr w:rsidR="00F25CA9" w:rsidRPr="00F25CA9" w:rsidSect="0001365D">
      <w:footerReference w:type="even" r:id="rId11"/>
      <w:footerReference w:type="default" r:id="rId12"/>
      <w:footerReference w:type="first" r:id="rId13"/>
      <w:pgSz w:w="11906" w:h="16838"/>
      <w:pgMar w:top="1440" w:right="851" w:bottom="14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B426" w14:textId="77777777" w:rsidR="00AE64E4" w:rsidRDefault="00AE64E4" w:rsidP="00F25CA9">
      <w:pPr>
        <w:spacing w:after="0" w:line="240" w:lineRule="auto"/>
      </w:pPr>
      <w:r>
        <w:separator/>
      </w:r>
    </w:p>
  </w:endnote>
  <w:endnote w:type="continuationSeparator" w:id="0">
    <w:p w14:paraId="234E9267" w14:textId="77777777" w:rsidR="00AE64E4" w:rsidRDefault="00AE64E4" w:rsidP="00F2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1756" w14:textId="2B8D437B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62934F" wp14:editId="400A23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057167107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E4EE9" w14:textId="0795F82C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293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2.3pt;height:31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" filled="f" stroked="f">
              <v:textbox style="mso-fit-shape-to-text:t" inset="20pt,0,0,15pt">
                <w:txbxContent>
                  <w:p w14:paraId="2C2E4EE9" w14:textId="0795F82C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7BE" w14:textId="7BE77C6E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9D77AD" wp14:editId="7BB99B50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656357083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157DA" w14:textId="18F41193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D77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2.3pt;height:31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" filled="f" stroked="f">
              <v:textbox style="mso-fit-shape-to-text:t" inset="20pt,0,0,15pt">
                <w:txbxContent>
                  <w:p w14:paraId="0DE157DA" w14:textId="18F41193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7013" w14:textId="187F6623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E0163" wp14:editId="1246C7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591600378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C7E98" w14:textId="03F187E1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01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2.3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" filled="f" stroked="f">
              <v:textbox style="mso-fit-shape-to-text:t" inset="20pt,0,0,15pt">
                <w:txbxContent>
                  <w:p w14:paraId="76DC7E98" w14:textId="03F187E1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E233" w14:textId="77777777" w:rsidR="00AE64E4" w:rsidRDefault="00AE64E4" w:rsidP="00F25CA9">
      <w:pPr>
        <w:spacing w:after="0" w:line="240" w:lineRule="auto"/>
      </w:pPr>
      <w:r>
        <w:separator/>
      </w:r>
    </w:p>
  </w:footnote>
  <w:footnote w:type="continuationSeparator" w:id="0">
    <w:p w14:paraId="7E0D4212" w14:textId="77777777" w:rsidR="00AE64E4" w:rsidRDefault="00AE64E4" w:rsidP="00F25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9"/>
    <w:rsid w:val="0001365D"/>
    <w:rsid w:val="00067778"/>
    <w:rsid w:val="00082CB5"/>
    <w:rsid w:val="000C741B"/>
    <w:rsid w:val="00166318"/>
    <w:rsid w:val="00293D80"/>
    <w:rsid w:val="002B12C9"/>
    <w:rsid w:val="003308BB"/>
    <w:rsid w:val="003D15BC"/>
    <w:rsid w:val="00467B88"/>
    <w:rsid w:val="00472479"/>
    <w:rsid w:val="00532837"/>
    <w:rsid w:val="00535F79"/>
    <w:rsid w:val="00540016"/>
    <w:rsid w:val="005514F9"/>
    <w:rsid w:val="00554E8B"/>
    <w:rsid w:val="005613D7"/>
    <w:rsid w:val="00586CE8"/>
    <w:rsid w:val="0061136F"/>
    <w:rsid w:val="0062157B"/>
    <w:rsid w:val="00671E13"/>
    <w:rsid w:val="006961EC"/>
    <w:rsid w:val="007227D9"/>
    <w:rsid w:val="00774923"/>
    <w:rsid w:val="00843615"/>
    <w:rsid w:val="00881FBD"/>
    <w:rsid w:val="008E13B7"/>
    <w:rsid w:val="00A20FF3"/>
    <w:rsid w:val="00A3110B"/>
    <w:rsid w:val="00AE64E4"/>
    <w:rsid w:val="00B8461E"/>
    <w:rsid w:val="00C42BE8"/>
    <w:rsid w:val="00D17F7C"/>
    <w:rsid w:val="00D22895"/>
    <w:rsid w:val="00D23DD9"/>
    <w:rsid w:val="00DC23BF"/>
    <w:rsid w:val="00E11355"/>
    <w:rsid w:val="00E13B5D"/>
    <w:rsid w:val="00E142D0"/>
    <w:rsid w:val="00E466CC"/>
    <w:rsid w:val="00E61A7E"/>
    <w:rsid w:val="00F25CA9"/>
    <w:rsid w:val="00F41484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8A7A"/>
  <w15:chartTrackingRefBased/>
  <w15:docId w15:val="{2E06AAD1-AFB5-4B55-B68E-974C50C2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A9"/>
  </w:style>
  <w:style w:type="paragraph" w:styleId="Heading1">
    <w:name w:val="heading 1"/>
    <w:basedOn w:val="Normal"/>
    <w:next w:val="Normal"/>
    <w:link w:val="Heading1Char"/>
    <w:uiPriority w:val="9"/>
    <w:qFormat/>
    <w:rsid w:val="00F2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A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2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A9"/>
  </w:style>
  <w:style w:type="paragraph" w:styleId="Header">
    <w:name w:val="header"/>
    <w:basedOn w:val="Normal"/>
    <w:link w:val="HeaderChar"/>
    <w:uiPriority w:val="99"/>
    <w:semiHidden/>
    <w:unhideWhenUsed/>
    <w:rsid w:val="0055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a2c2bfaee9ba6d2f1adfdce3d0ece3cb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8cb029b9fabb916e13577da90fd8667b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1E2C90-AA6D-416D-9895-CB8972F3F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29F72-7401-4C59-9F07-EAD17416E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2d603-119f-4647-be05-5a48631aedcf"/>
    <ds:schemaRef ds:uri="d7a39844-8198-4db1-939d-ccda4527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C152F-4B57-47AD-8571-B2EE127A53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CBEE4-A416-477E-BF88-54E70BFC3681}">
  <ds:schemaRefs>
    <ds:schemaRef ds:uri="http://schemas.microsoft.com/office/2006/metadata/properties"/>
    <ds:schemaRef ds:uri="http://schemas.microsoft.com/office/infopath/2007/PartnerControls"/>
    <ds:schemaRef ds:uri="4c72d603-119f-4647-be05-5a48631aedcf"/>
    <ds:schemaRef ds:uri="http://schemas.microsoft.com/sharepoint/v3"/>
    <ds:schemaRef ds:uri="d7a39844-8198-4db1-939d-ccda4527d267"/>
  </ds:schemaRefs>
</ds:datastoreItem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Naomi Morris</cp:lastModifiedBy>
  <cp:revision>8</cp:revision>
  <dcterms:created xsi:type="dcterms:W3CDTF">2025-11-17T10:22:00Z</dcterms:created>
  <dcterms:modified xsi:type="dcterms:W3CDTF">2025-11-17T10:29:00Z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0x0101003C0B7291D1661045A4B37F8350A3555A</vt:lpwstr>
  </property>
  <property fmtid="{D5CDD505-2E9C-101B-9397-08002B2CF9AE}" pid="3" name="ClassificationContentMarkingFooterShapeIds">
    <vt:lpwstr>5edde4fa,3f031703,62ba00db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Public</vt:lpwstr>
  </property>
  <property fmtid="{D5CDD505-2E9C-101B-9397-08002B2CF9AE}" pid="6" name="MediaServiceImageTags">
    <vt:lpwstr/>
  </property>
</Properties>
</file>