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3A16E9">
          <w:pPr>
            <w:pStyle w:val="Heading1"/>
          </w:pPr>
          <w:r>
            <w:t>Invitation to Tender (ITT) and Statement of Requirement</w:t>
          </w:r>
        </w:p>
      </w:sdtContent>
    </w:sdt>
    <w:p w14:paraId="49400A4C" w14:textId="0468A359" w:rsidR="00FC6860" w:rsidRPr="00574B16" w:rsidRDefault="005E2B20" w:rsidP="003A16E9">
      <w:pPr>
        <w:pStyle w:val="Heading1"/>
        <w:rPr>
          <w:rStyle w:val="chrSubTitle"/>
          <w:color w:val="B1173B"/>
        </w:rPr>
      </w:pPr>
      <w:sdt>
        <w:sdtPr>
          <w:rPr>
            <w:rStyle w:val="chrSubTitle"/>
            <w:color w:val="B1173B"/>
          </w:rPr>
          <w:alias w:val="Subject"/>
          <w:tag w:val=""/>
          <w:id w:val="-1191455524"/>
          <w:placeholder>
            <w:docPart w:val="F7B2C56D54132045A178D4CFD36D06DB"/>
          </w:placeholder>
          <w:dataBinding w:prefixMappings="xmlns:ns0='http://purl.org/dc/elements/1.1/' xmlns:ns1='http://schemas.openxmlformats.org/package/2006/metadata/core-properties' " w:xpath="/ns1:coreProperties[1]/ns0:subject[1]" w:storeItemID="{6C3C8BC8-F283-45AE-878A-BAB7291924A1}"/>
          <w:text/>
        </w:sdtPr>
        <w:sdtEndPr>
          <w:rPr>
            <w:rStyle w:val="chrSubTitle"/>
            <w:color w:val="B1173B" w:themeColor="accent1"/>
          </w:rPr>
        </w:sdtEndPr>
        <w:sdtContent>
          <w:r w:rsidR="00354993">
            <w:rPr>
              <w:rStyle w:val="chrSubTitle"/>
              <w:color w:val="B1173B"/>
            </w:rPr>
            <w:t>Provision of Consultancy Services to Support ORR’s Competition Team</w:t>
          </w:r>
        </w:sdtContent>
      </w:sdt>
    </w:p>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5-11-12T00:00:00Z">
          <w:dateFormat w:val="dd MMMM yyyy"/>
          <w:lid w:val="en-GB"/>
          <w:storeMappedDataAs w:val="dateTime"/>
          <w:calendar w:val="gregorian"/>
        </w:date>
      </w:sdtPr>
      <w:sdtEndPr/>
      <w:sdtContent>
        <w:p w14:paraId="38D7D855" w14:textId="3B6EF311" w:rsidR="00FC6860" w:rsidRDefault="005D1175" w:rsidP="003A16E9">
          <w:pPr>
            <w:pStyle w:val="Date"/>
          </w:pPr>
          <w:r>
            <w:rPr>
              <w:bCs/>
            </w:rPr>
            <w:t>12 November 2025</w:t>
          </w:r>
        </w:p>
      </w:sdtContent>
    </w:sdt>
    <w:p w14:paraId="512B2E87" w14:textId="77777777" w:rsidR="003E5612" w:rsidRDefault="003E5612" w:rsidP="003E5612"/>
    <w:p w14:paraId="772A8C9F" w14:textId="46254D44" w:rsidR="003E5612" w:rsidRPr="00574B16" w:rsidRDefault="003E5612" w:rsidP="005D1175">
      <w:pPr>
        <w:pStyle w:val="NormalBulletround"/>
        <w:rPr>
          <w:b/>
          <w:bCs/>
          <w:color w:val="B1173B"/>
        </w:rPr>
      </w:pPr>
      <w:r w:rsidRPr="003E5612">
        <w:rPr>
          <w:b/>
          <w:bCs/>
        </w:rPr>
        <w:t>CPV Code:</w:t>
      </w:r>
      <w:r w:rsidR="005E2B20" w:rsidRPr="005E2B20">
        <w:t xml:space="preserve"> </w:t>
      </w:r>
      <w:r w:rsidR="005E2B20" w:rsidRPr="005E2B20">
        <w:rPr>
          <w:b/>
          <w:bCs/>
          <w:color w:val="B1173B"/>
        </w:rPr>
        <w:t>79410000</w:t>
      </w:r>
    </w:p>
    <w:p w14:paraId="60F6998D" w14:textId="46953DCA" w:rsidR="003E5612" w:rsidRDefault="003E5612" w:rsidP="00E51F8C">
      <w:pPr>
        <w:pStyle w:val="NormalBulletround"/>
        <w:sectPr w:rsidR="003E5612" w:rsidSect="00FC6860">
          <w:headerReference w:type="default" r:id="rId13"/>
          <w:footerReference w:type="default" r:id="rId14"/>
          <w:headerReference w:type="first" r:id="rId15"/>
          <w:footerReference w:type="first" r:id="rId16"/>
          <w:pgSz w:w="11906" w:h="16838" w:code="9"/>
          <w:pgMar w:top="5443" w:right="1134" w:bottom="1134" w:left="1134" w:header="709" w:footer="709" w:gutter="0"/>
          <w:pgNumType w:start="1"/>
          <w:cols w:space="708"/>
          <w:titlePg/>
          <w:docGrid w:linePitch="360"/>
        </w:sectPr>
      </w:pPr>
      <w:r w:rsidRPr="005D1175">
        <w:rPr>
          <w:b/>
          <w:bCs/>
        </w:rPr>
        <w:t>Tender Reference:</w:t>
      </w:r>
      <w:r w:rsidRPr="005D1175">
        <w:rPr>
          <w:b/>
          <w:bCs/>
          <w:color w:val="B1173B"/>
        </w:rPr>
        <w:t xml:space="preserve"> </w:t>
      </w:r>
      <w:r w:rsidR="005D1175">
        <w:rPr>
          <w:b/>
          <w:bCs/>
          <w:color w:val="B1173B"/>
        </w:rPr>
        <w:t xml:space="preserve"> </w:t>
      </w:r>
      <w:r w:rsidR="005E2B20">
        <w:rPr>
          <w:b/>
          <w:bCs/>
          <w:color w:val="B1173B"/>
        </w:rPr>
        <w:t xml:space="preserve"> </w:t>
      </w:r>
      <w:r w:rsidR="005E2B20" w:rsidRPr="005D1175">
        <w:rPr>
          <w:b/>
          <w:bCs/>
          <w:color w:val="B1173B"/>
        </w:rPr>
        <w:t>ORR/CT/25-75</w:t>
      </w:r>
    </w:p>
    <w:p w14:paraId="6F6DAD95" w14:textId="77777777" w:rsidR="00FC6860" w:rsidRDefault="00FC6860" w:rsidP="003A16E9">
      <w:pPr>
        <w:pStyle w:val="Heading2NoToc"/>
      </w:pPr>
      <w:r>
        <w:lastRenderedPageBreak/>
        <w:t>Contents</w:t>
      </w:r>
    </w:p>
    <w:p w14:paraId="687151DC" w14:textId="0C920CE6" w:rsidR="0079264A" w:rsidRPr="005D1175" w:rsidRDefault="00FC6860" w:rsidP="005D1175">
      <w:pPr>
        <w:pStyle w:val="TOC1"/>
        <w:rPr>
          <w:rFonts w:asciiTheme="minorHAnsi" w:eastAsiaTheme="minorEastAsia" w:hAnsiTheme="minorHAnsi"/>
          <w:b w:val="0"/>
          <w:bCs w:val="0"/>
          <w:color w:val="auto"/>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p>
    <w:p w14:paraId="5E5E5324" w14:textId="78D070E9" w:rsidR="0079264A" w:rsidRDefault="0079264A">
      <w:pPr>
        <w:pStyle w:val="TOC1"/>
        <w:rPr>
          <w:rFonts w:asciiTheme="minorHAnsi" w:eastAsiaTheme="minorEastAsia" w:hAnsiTheme="minorHAnsi"/>
          <w:b w:val="0"/>
          <w:bCs w:val="0"/>
          <w:color w:val="auto"/>
          <w:sz w:val="22"/>
          <w:lang w:eastAsia="en-GB"/>
        </w:rPr>
      </w:pPr>
      <w:hyperlink w:anchor="_Toc111551913" w:history="1">
        <w:r w:rsidRPr="000C347F">
          <w:rPr>
            <w:rStyle w:val="Hyperlink"/>
          </w:rPr>
          <w:t>Purpose of the document</w:t>
        </w:r>
        <w:r>
          <w:rPr>
            <w:webHidden/>
          </w:rPr>
          <w:tab/>
        </w:r>
        <w:r>
          <w:rPr>
            <w:webHidden/>
          </w:rPr>
          <w:fldChar w:fldCharType="begin"/>
        </w:r>
        <w:r>
          <w:rPr>
            <w:webHidden/>
          </w:rPr>
          <w:instrText xml:space="preserve"> PAGEREF _Toc111551913 \h </w:instrText>
        </w:r>
        <w:r>
          <w:rPr>
            <w:webHidden/>
          </w:rPr>
        </w:r>
        <w:r>
          <w:rPr>
            <w:webHidden/>
          </w:rPr>
          <w:fldChar w:fldCharType="separate"/>
        </w:r>
        <w:r w:rsidR="005D1175">
          <w:rPr>
            <w:webHidden/>
          </w:rPr>
          <w:t>3</w:t>
        </w:r>
        <w:r>
          <w:rPr>
            <w:webHidden/>
          </w:rPr>
          <w:fldChar w:fldCharType="end"/>
        </w:r>
      </w:hyperlink>
    </w:p>
    <w:p w14:paraId="63A86D55" w14:textId="62CC7511" w:rsidR="0079264A" w:rsidRDefault="0079264A">
      <w:pPr>
        <w:pStyle w:val="TOC1"/>
        <w:rPr>
          <w:rFonts w:asciiTheme="minorHAnsi" w:eastAsiaTheme="minorEastAsia" w:hAnsiTheme="minorHAnsi"/>
          <w:b w:val="0"/>
          <w:bCs w:val="0"/>
          <w:color w:val="auto"/>
          <w:sz w:val="22"/>
          <w:lang w:eastAsia="en-GB"/>
        </w:rPr>
      </w:pPr>
      <w:hyperlink w:anchor="_Toc111551914" w:history="1">
        <w:r w:rsidRPr="000C347F">
          <w:rPr>
            <w:rStyle w:val="Hyperlink"/>
          </w:rPr>
          <w:t>1.</w:t>
        </w:r>
        <w:r>
          <w:rPr>
            <w:rFonts w:asciiTheme="minorHAnsi" w:eastAsiaTheme="minorEastAsia" w:hAnsiTheme="minorHAnsi"/>
            <w:b w:val="0"/>
            <w:bCs w:val="0"/>
            <w:color w:val="auto"/>
            <w:sz w:val="22"/>
            <w:lang w:eastAsia="en-GB"/>
          </w:rPr>
          <w:tab/>
        </w:r>
        <w:r w:rsidRPr="000C347F">
          <w:rPr>
            <w:rStyle w:val="Hyperlink"/>
          </w:rPr>
          <w:t>Introduction to the Office of Rail and Road</w:t>
        </w:r>
        <w:r>
          <w:rPr>
            <w:webHidden/>
          </w:rPr>
          <w:tab/>
        </w:r>
        <w:r>
          <w:rPr>
            <w:webHidden/>
          </w:rPr>
          <w:fldChar w:fldCharType="begin"/>
        </w:r>
        <w:r>
          <w:rPr>
            <w:webHidden/>
          </w:rPr>
          <w:instrText xml:space="preserve"> PAGEREF _Toc111551914 \h </w:instrText>
        </w:r>
        <w:r>
          <w:rPr>
            <w:webHidden/>
          </w:rPr>
        </w:r>
        <w:r>
          <w:rPr>
            <w:webHidden/>
          </w:rPr>
          <w:fldChar w:fldCharType="separate"/>
        </w:r>
        <w:r w:rsidR="005D1175">
          <w:rPr>
            <w:webHidden/>
          </w:rPr>
          <w:t>4</w:t>
        </w:r>
        <w:r>
          <w:rPr>
            <w:webHidden/>
          </w:rPr>
          <w:fldChar w:fldCharType="end"/>
        </w:r>
      </w:hyperlink>
    </w:p>
    <w:p w14:paraId="4F774D3D" w14:textId="096A4DDA" w:rsidR="0079264A" w:rsidRDefault="0079264A">
      <w:pPr>
        <w:pStyle w:val="TOC2"/>
        <w:tabs>
          <w:tab w:val="right" w:pos="9628"/>
        </w:tabs>
        <w:rPr>
          <w:rFonts w:asciiTheme="minorHAnsi" w:eastAsiaTheme="minorEastAsia" w:hAnsiTheme="minorHAnsi"/>
          <w:noProof/>
          <w:sz w:val="22"/>
          <w:lang w:eastAsia="en-GB"/>
        </w:rPr>
      </w:pPr>
      <w:hyperlink w:anchor="_Toc111551915" w:history="1">
        <w:r w:rsidRPr="000C347F">
          <w:rPr>
            <w:rStyle w:val="Hyperlink"/>
            <w:noProof/>
          </w:rPr>
          <w:t>Our strategic objectives</w:t>
        </w:r>
        <w:r>
          <w:rPr>
            <w:noProof/>
            <w:webHidden/>
          </w:rPr>
          <w:tab/>
        </w:r>
        <w:r>
          <w:rPr>
            <w:noProof/>
            <w:webHidden/>
          </w:rPr>
          <w:fldChar w:fldCharType="begin"/>
        </w:r>
        <w:r>
          <w:rPr>
            <w:noProof/>
            <w:webHidden/>
          </w:rPr>
          <w:instrText xml:space="preserve"> PAGEREF _Toc111551915 \h </w:instrText>
        </w:r>
        <w:r>
          <w:rPr>
            <w:noProof/>
            <w:webHidden/>
          </w:rPr>
        </w:r>
        <w:r>
          <w:rPr>
            <w:noProof/>
            <w:webHidden/>
          </w:rPr>
          <w:fldChar w:fldCharType="separate"/>
        </w:r>
        <w:r w:rsidR="005D1175">
          <w:rPr>
            <w:noProof/>
            <w:webHidden/>
          </w:rPr>
          <w:t>4</w:t>
        </w:r>
        <w:r>
          <w:rPr>
            <w:noProof/>
            <w:webHidden/>
          </w:rPr>
          <w:fldChar w:fldCharType="end"/>
        </w:r>
      </w:hyperlink>
    </w:p>
    <w:p w14:paraId="2EDB0490" w14:textId="098BEBA9" w:rsidR="0079264A" w:rsidRDefault="0079264A">
      <w:pPr>
        <w:pStyle w:val="TOC2"/>
        <w:tabs>
          <w:tab w:val="right" w:pos="9628"/>
        </w:tabs>
        <w:rPr>
          <w:rFonts w:asciiTheme="minorHAnsi" w:eastAsiaTheme="minorEastAsia" w:hAnsiTheme="minorHAnsi"/>
          <w:noProof/>
          <w:sz w:val="22"/>
          <w:lang w:eastAsia="en-GB"/>
        </w:rPr>
      </w:pPr>
      <w:hyperlink w:anchor="_Toc111551916" w:history="1">
        <w:r w:rsidRPr="000C347F">
          <w:rPr>
            <w:rStyle w:val="Hyperlink"/>
            <w:noProof/>
          </w:rPr>
          <w:t>Supplying ORR</w:t>
        </w:r>
        <w:r>
          <w:rPr>
            <w:noProof/>
            <w:webHidden/>
          </w:rPr>
          <w:tab/>
        </w:r>
        <w:r>
          <w:rPr>
            <w:noProof/>
            <w:webHidden/>
          </w:rPr>
          <w:fldChar w:fldCharType="begin"/>
        </w:r>
        <w:r>
          <w:rPr>
            <w:noProof/>
            <w:webHidden/>
          </w:rPr>
          <w:instrText xml:space="preserve"> PAGEREF _Toc111551916 \h </w:instrText>
        </w:r>
        <w:r>
          <w:rPr>
            <w:noProof/>
            <w:webHidden/>
          </w:rPr>
        </w:r>
        <w:r>
          <w:rPr>
            <w:noProof/>
            <w:webHidden/>
          </w:rPr>
          <w:fldChar w:fldCharType="separate"/>
        </w:r>
        <w:r w:rsidR="005D1175">
          <w:rPr>
            <w:noProof/>
            <w:webHidden/>
          </w:rPr>
          <w:t>4</w:t>
        </w:r>
        <w:r>
          <w:rPr>
            <w:noProof/>
            <w:webHidden/>
          </w:rPr>
          <w:fldChar w:fldCharType="end"/>
        </w:r>
      </w:hyperlink>
    </w:p>
    <w:p w14:paraId="234AD544" w14:textId="3BD87DB8" w:rsidR="0079264A" w:rsidRDefault="0079264A">
      <w:pPr>
        <w:pStyle w:val="TOC1"/>
        <w:rPr>
          <w:rFonts w:asciiTheme="minorHAnsi" w:eastAsiaTheme="minorEastAsia" w:hAnsiTheme="minorHAnsi"/>
          <w:b w:val="0"/>
          <w:bCs w:val="0"/>
          <w:color w:val="auto"/>
          <w:sz w:val="22"/>
          <w:lang w:eastAsia="en-GB"/>
        </w:rPr>
      </w:pPr>
      <w:hyperlink w:anchor="_Toc111551917" w:history="1">
        <w:r w:rsidRPr="000C347F">
          <w:rPr>
            <w:rStyle w:val="Hyperlink"/>
          </w:rPr>
          <w:t>Small and Medium Enterprises</w:t>
        </w:r>
        <w:r>
          <w:rPr>
            <w:webHidden/>
          </w:rPr>
          <w:tab/>
        </w:r>
        <w:r>
          <w:rPr>
            <w:webHidden/>
          </w:rPr>
          <w:fldChar w:fldCharType="begin"/>
        </w:r>
        <w:r>
          <w:rPr>
            <w:webHidden/>
          </w:rPr>
          <w:instrText xml:space="preserve"> PAGEREF _Toc111551917 \h </w:instrText>
        </w:r>
        <w:r>
          <w:rPr>
            <w:webHidden/>
          </w:rPr>
        </w:r>
        <w:r>
          <w:rPr>
            <w:webHidden/>
          </w:rPr>
          <w:fldChar w:fldCharType="separate"/>
        </w:r>
        <w:r w:rsidR="005D1175">
          <w:rPr>
            <w:webHidden/>
          </w:rPr>
          <w:t>6</w:t>
        </w:r>
        <w:r>
          <w:rPr>
            <w:webHidden/>
          </w:rPr>
          <w:fldChar w:fldCharType="end"/>
        </w:r>
      </w:hyperlink>
    </w:p>
    <w:p w14:paraId="08E45A16" w14:textId="0EE797D1" w:rsidR="0079264A" w:rsidRDefault="0079264A">
      <w:pPr>
        <w:pStyle w:val="TOC1"/>
        <w:rPr>
          <w:rFonts w:asciiTheme="minorHAnsi" w:eastAsiaTheme="minorEastAsia" w:hAnsiTheme="minorHAnsi"/>
          <w:b w:val="0"/>
          <w:bCs w:val="0"/>
          <w:color w:val="auto"/>
          <w:sz w:val="22"/>
          <w:lang w:eastAsia="en-GB"/>
        </w:rPr>
      </w:pPr>
      <w:hyperlink w:anchor="_Toc111551918" w:history="1">
        <w:r w:rsidRPr="000C347F">
          <w:rPr>
            <w:rStyle w:val="Hyperlink"/>
          </w:rPr>
          <w:t>2.</w:t>
        </w:r>
        <w:r>
          <w:rPr>
            <w:rFonts w:asciiTheme="minorHAnsi" w:eastAsiaTheme="minorEastAsia" w:hAnsiTheme="minorHAnsi"/>
            <w:b w:val="0"/>
            <w:bCs w:val="0"/>
            <w:color w:val="auto"/>
            <w:sz w:val="22"/>
            <w:lang w:eastAsia="en-GB"/>
          </w:rPr>
          <w:tab/>
        </w:r>
        <w:r w:rsidRPr="000C347F">
          <w:rPr>
            <w:rStyle w:val="Hyperlink"/>
          </w:rPr>
          <w:t>Statement of Requirement</w:t>
        </w:r>
        <w:r>
          <w:rPr>
            <w:webHidden/>
          </w:rPr>
          <w:tab/>
        </w:r>
        <w:r>
          <w:rPr>
            <w:webHidden/>
          </w:rPr>
          <w:fldChar w:fldCharType="begin"/>
        </w:r>
        <w:r>
          <w:rPr>
            <w:webHidden/>
          </w:rPr>
          <w:instrText xml:space="preserve"> PAGEREF _Toc111551918 \h </w:instrText>
        </w:r>
        <w:r>
          <w:rPr>
            <w:webHidden/>
          </w:rPr>
        </w:r>
        <w:r>
          <w:rPr>
            <w:webHidden/>
          </w:rPr>
          <w:fldChar w:fldCharType="separate"/>
        </w:r>
        <w:r w:rsidR="005D1175">
          <w:rPr>
            <w:webHidden/>
          </w:rPr>
          <w:t>7</w:t>
        </w:r>
        <w:r>
          <w:rPr>
            <w:webHidden/>
          </w:rPr>
          <w:fldChar w:fldCharType="end"/>
        </w:r>
      </w:hyperlink>
    </w:p>
    <w:p w14:paraId="3B60C34D" w14:textId="5A3FA00E" w:rsidR="0079264A" w:rsidRDefault="0079264A">
      <w:pPr>
        <w:pStyle w:val="TOC2"/>
        <w:tabs>
          <w:tab w:val="right" w:pos="9628"/>
        </w:tabs>
        <w:rPr>
          <w:rFonts w:asciiTheme="minorHAnsi" w:eastAsiaTheme="minorEastAsia" w:hAnsiTheme="minorHAnsi"/>
          <w:noProof/>
          <w:sz w:val="22"/>
          <w:lang w:eastAsia="en-GB"/>
        </w:rPr>
      </w:pPr>
      <w:hyperlink w:anchor="_Toc111551919" w:history="1">
        <w:r w:rsidRPr="000C347F">
          <w:rPr>
            <w:rStyle w:val="Hyperlink"/>
            <w:noProof/>
          </w:rPr>
          <w:t>2.1 Background of the project</w:t>
        </w:r>
        <w:r>
          <w:rPr>
            <w:noProof/>
            <w:webHidden/>
          </w:rPr>
          <w:tab/>
        </w:r>
        <w:r>
          <w:rPr>
            <w:noProof/>
            <w:webHidden/>
          </w:rPr>
          <w:fldChar w:fldCharType="begin"/>
        </w:r>
        <w:r>
          <w:rPr>
            <w:noProof/>
            <w:webHidden/>
          </w:rPr>
          <w:instrText xml:space="preserve"> PAGEREF _Toc111551919 \h </w:instrText>
        </w:r>
        <w:r>
          <w:rPr>
            <w:noProof/>
            <w:webHidden/>
          </w:rPr>
        </w:r>
        <w:r>
          <w:rPr>
            <w:noProof/>
            <w:webHidden/>
          </w:rPr>
          <w:fldChar w:fldCharType="separate"/>
        </w:r>
        <w:r w:rsidR="005D1175">
          <w:rPr>
            <w:noProof/>
            <w:webHidden/>
          </w:rPr>
          <w:t>7</w:t>
        </w:r>
        <w:r>
          <w:rPr>
            <w:noProof/>
            <w:webHidden/>
          </w:rPr>
          <w:fldChar w:fldCharType="end"/>
        </w:r>
      </w:hyperlink>
    </w:p>
    <w:p w14:paraId="0A313B7D" w14:textId="5D5C973C" w:rsidR="0079264A" w:rsidRDefault="0079264A">
      <w:pPr>
        <w:pStyle w:val="TOC2"/>
        <w:tabs>
          <w:tab w:val="right" w:pos="9628"/>
        </w:tabs>
        <w:rPr>
          <w:rFonts w:asciiTheme="minorHAnsi" w:eastAsiaTheme="minorEastAsia" w:hAnsiTheme="minorHAnsi"/>
          <w:noProof/>
          <w:sz w:val="22"/>
          <w:lang w:eastAsia="en-GB"/>
        </w:rPr>
      </w:pPr>
      <w:hyperlink w:anchor="_Toc111551920" w:history="1">
        <w:r w:rsidRPr="000C347F">
          <w:rPr>
            <w:rStyle w:val="Hyperlink"/>
            <w:noProof/>
          </w:rPr>
          <w:t>2.2 Project Objectives and Scope</w:t>
        </w:r>
        <w:r>
          <w:rPr>
            <w:noProof/>
            <w:webHidden/>
          </w:rPr>
          <w:tab/>
        </w:r>
        <w:r>
          <w:rPr>
            <w:noProof/>
            <w:webHidden/>
          </w:rPr>
          <w:fldChar w:fldCharType="begin"/>
        </w:r>
        <w:r>
          <w:rPr>
            <w:noProof/>
            <w:webHidden/>
          </w:rPr>
          <w:instrText xml:space="preserve"> PAGEREF _Toc111551920 \h </w:instrText>
        </w:r>
        <w:r>
          <w:rPr>
            <w:noProof/>
            <w:webHidden/>
          </w:rPr>
        </w:r>
        <w:r>
          <w:rPr>
            <w:noProof/>
            <w:webHidden/>
          </w:rPr>
          <w:fldChar w:fldCharType="separate"/>
        </w:r>
        <w:r w:rsidR="005D1175">
          <w:rPr>
            <w:noProof/>
            <w:webHidden/>
          </w:rPr>
          <w:t>7</w:t>
        </w:r>
        <w:r>
          <w:rPr>
            <w:noProof/>
            <w:webHidden/>
          </w:rPr>
          <w:fldChar w:fldCharType="end"/>
        </w:r>
      </w:hyperlink>
    </w:p>
    <w:p w14:paraId="1DC3EE13" w14:textId="01966F9E" w:rsidR="0079264A" w:rsidRDefault="0079264A">
      <w:pPr>
        <w:pStyle w:val="TOC2"/>
        <w:tabs>
          <w:tab w:val="right" w:pos="9628"/>
        </w:tabs>
        <w:rPr>
          <w:rFonts w:asciiTheme="minorHAnsi" w:eastAsiaTheme="minorEastAsia" w:hAnsiTheme="minorHAnsi"/>
          <w:noProof/>
          <w:sz w:val="22"/>
          <w:lang w:eastAsia="en-GB"/>
        </w:rPr>
      </w:pPr>
      <w:hyperlink w:anchor="_Toc111551921" w:history="1">
        <w:r w:rsidRPr="000C347F">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_Toc111551921 \h </w:instrText>
        </w:r>
        <w:r>
          <w:rPr>
            <w:noProof/>
            <w:webHidden/>
          </w:rPr>
        </w:r>
        <w:r>
          <w:rPr>
            <w:noProof/>
            <w:webHidden/>
          </w:rPr>
          <w:fldChar w:fldCharType="separate"/>
        </w:r>
        <w:r w:rsidR="005D1175">
          <w:rPr>
            <w:noProof/>
            <w:webHidden/>
          </w:rPr>
          <w:t>8</w:t>
        </w:r>
        <w:r>
          <w:rPr>
            <w:noProof/>
            <w:webHidden/>
          </w:rPr>
          <w:fldChar w:fldCharType="end"/>
        </w:r>
      </w:hyperlink>
    </w:p>
    <w:p w14:paraId="00910335" w14:textId="7B42C63D" w:rsidR="0079264A" w:rsidRDefault="0079264A">
      <w:pPr>
        <w:pStyle w:val="TOC2"/>
        <w:tabs>
          <w:tab w:val="right" w:pos="9628"/>
        </w:tabs>
        <w:rPr>
          <w:rFonts w:asciiTheme="minorHAnsi" w:eastAsiaTheme="minorEastAsia" w:hAnsiTheme="minorHAnsi"/>
          <w:noProof/>
          <w:sz w:val="22"/>
          <w:lang w:eastAsia="en-GB"/>
        </w:rPr>
      </w:pPr>
      <w:hyperlink w:anchor="_Toc111551922" w:history="1">
        <w:r w:rsidRPr="000C347F">
          <w:rPr>
            <w:rStyle w:val="Hyperlink"/>
            <w:noProof/>
          </w:rPr>
          <w:t>2.4 Project Timescales</w:t>
        </w:r>
        <w:r>
          <w:rPr>
            <w:noProof/>
            <w:webHidden/>
          </w:rPr>
          <w:tab/>
        </w:r>
        <w:r>
          <w:rPr>
            <w:noProof/>
            <w:webHidden/>
          </w:rPr>
          <w:fldChar w:fldCharType="begin"/>
        </w:r>
        <w:r>
          <w:rPr>
            <w:noProof/>
            <w:webHidden/>
          </w:rPr>
          <w:instrText xml:space="preserve"> PAGEREF _Toc111551922 \h </w:instrText>
        </w:r>
        <w:r>
          <w:rPr>
            <w:noProof/>
            <w:webHidden/>
          </w:rPr>
        </w:r>
        <w:r>
          <w:rPr>
            <w:noProof/>
            <w:webHidden/>
          </w:rPr>
          <w:fldChar w:fldCharType="separate"/>
        </w:r>
        <w:r w:rsidR="005D1175">
          <w:rPr>
            <w:noProof/>
            <w:webHidden/>
          </w:rPr>
          <w:t>10</w:t>
        </w:r>
        <w:r>
          <w:rPr>
            <w:noProof/>
            <w:webHidden/>
          </w:rPr>
          <w:fldChar w:fldCharType="end"/>
        </w:r>
      </w:hyperlink>
    </w:p>
    <w:p w14:paraId="5634B37D" w14:textId="076897F5" w:rsidR="0079264A" w:rsidRDefault="0079264A">
      <w:pPr>
        <w:pStyle w:val="TOC2"/>
        <w:tabs>
          <w:tab w:val="right" w:pos="9628"/>
        </w:tabs>
        <w:rPr>
          <w:rFonts w:asciiTheme="minorHAnsi" w:eastAsiaTheme="minorEastAsia" w:hAnsiTheme="minorHAnsi"/>
          <w:noProof/>
          <w:sz w:val="22"/>
          <w:lang w:eastAsia="en-GB"/>
        </w:rPr>
      </w:pPr>
      <w:hyperlink w:anchor="_Toc111551923" w:history="1">
        <w:r w:rsidRPr="000C347F">
          <w:rPr>
            <w:rStyle w:val="Hyperlink"/>
            <w:noProof/>
          </w:rPr>
          <w:t>2.5 Budget and Payment Schedule</w:t>
        </w:r>
        <w:r>
          <w:rPr>
            <w:noProof/>
            <w:webHidden/>
          </w:rPr>
          <w:tab/>
        </w:r>
        <w:r>
          <w:rPr>
            <w:noProof/>
            <w:webHidden/>
          </w:rPr>
          <w:fldChar w:fldCharType="begin"/>
        </w:r>
        <w:r>
          <w:rPr>
            <w:noProof/>
            <w:webHidden/>
          </w:rPr>
          <w:instrText xml:space="preserve"> PAGEREF _Toc111551923 \h </w:instrText>
        </w:r>
        <w:r>
          <w:rPr>
            <w:noProof/>
            <w:webHidden/>
          </w:rPr>
        </w:r>
        <w:r>
          <w:rPr>
            <w:noProof/>
            <w:webHidden/>
          </w:rPr>
          <w:fldChar w:fldCharType="separate"/>
        </w:r>
        <w:r w:rsidR="005D1175">
          <w:rPr>
            <w:noProof/>
            <w:webHidden/>
          </w:rPr>
          <w:t>10</w:t>
        </w:r>
        <w:r>
          <w:rPr>
            <w:noProof/>
            <w:webHidden/>
          </w:rPr>
          <w:fldChar w:fldCharType="end"/>
        </w:r>
      </w:hyperlink>
    </w:p>
    <w:p w14:paraId="3ED694D5" w14:textId="062E516A" w:rsidR="0079264A" w:rsidRDefault="0079264A">
      <w:pPr>
        <w:pStyle w:val="TOC2"/>
        <w:tabs>
          <w:tab w:val="right" w:pos="9628"/>
        </w:tabs>
        <w:rPr>
          <w:rFonts w:asciiTheme="minorHAnsi" w:eastAsiaTheme="minorEastAsia" w:hAnsiTheme="minorHAnsi"/>
          <w:noProof/>
          <w:sz w:val="22"/>
          <w:lang w:eastAsia="en-GB"/>
        </w:rPr>
      </w:pPr>
      <w:hyperlink w:anchor="_Toc111551924" w:history="1">
        <w:r w:rsidRPr="000C347F">
          <w:rPr>
            <w:rStyle w:val="Hyperlink"/>
            <w:noProof/>
          </w:rPr>
          <w:t>2.6 Further project related information for bidders</w:t>
        </w:r>
        <w:r>
          <w:rPr>
            <w:noProof/>
            <w:webHidden/>
          </w:rPr>
          <w:tab/>
        </w:r>
        <w:r>
          <w:rPr>
            <w:noProof/>
            <w:webHidden/>
          </w:rPr>
          <w:fldChar w:fldCharType="begin"/>
        </w:r>
        <w:r>
          <w:rPr>
            <w:noProof/>
            <w:webHidden/>
          </w:rPr>
          <w:instrText xml:space="preserve"> PAGEREF _Toc111551924 \h </w:instrText>
        </w:r>
        <w:r>
          <w:rPr>
            <w:noProof/>
            <w:webHidden/>
          </w:rPr>
        </w:r>
        <w:r>
          <w:rPr>
            <w:noProof/>
            <w:webHidden/>
          </w:rPr>
          <w:fldChar w:fldCharType="separate"/>
        </w:r>
        <w:r w:rsidR="005D1175">
          <w:rPr>
            <w:noProof/>
            <w:webHidden/>
          </w:rPr>
          <w:t>10</w:t>
        </w:r>
        <w:r>
          <w:rPr>
            <w:noProof/>
            <w:webHidden/>
          </w:rPr>
          <w:fldChar w:fldCharType="end"/>
        </w:r>
      </w:hyperlink>
    </w:p>
    <w:p w14:paraId="49188D30" w14:textId="307B1116" w:rsidR="0079264A" w:rsidRDefault="0079264A">
      <w:pPr>
        <w:pStyle w:val="TOC1"/>
        <w:rPr>
          <w:rFonts w:asciiTheme="minorHAnsi" w:eastAsiaTheme="minorEastAsia" w:hAnsiTheme="minorHAnsi"/>
          <w:b w:val="0"/>
          <w:bCs w:val="0"/>
          <w:color w:val="auto"/>
          <w:sz w:val="22"/>
          <w:lang w:eastAsia="en-GB"/>
        </w:rPr>
      </w:pPr>
      <w:hyperlink w:anchor="_Toc111551925" w:history="1">
        <w:r w:rsidRPr="000C347F">
          <w:rPr>
            <w:rStyle w:val="Hyperlink"/>
          </w:rPr>
          <w:t>3.</w:t>
        </w:r>
        <w:r>
          <w:rPr>
            <w:rFonts w:asciiTheme="minorHAnsi" w:eastAsiaTheme="minorEastAsia" w:hAnsiTheme="minorHAnsi"/>
            <w:b w:val="0"/>
            <w:bCs w:val="0"/>
            <w:color w:val="auto"/>
            <w:sz w:val="22"/>
            <w:lang w:eastAsia="en-GB"/>
          </w:rPr>
          <w:tab/>
        </w:r>
        <w:r w:rsidRPr="000C347F">
          <w:rPr>
            <w:rStyle w:val="Hyperlink"/>
          </w:rPr>
          <w:t>Tender Response and Evaluation Criteria</w:t>
        </w:r>
        <w:r>
          <w:rPr>
            <w:webHidden/>
          </w:rPr>
          <w:tab/>
        </w:r>
        <w:r>
          <w:rPr>
            <w:webHidden/>
          </w:rPr>
          <w:fldChar w:fldCharType="begin"/>
        </w:r>
        <w:r>
          <w:rPr>
            <w:webHidden/>
          </w:rPr>
          <w:instrText xml:space="preserve"> PAGEREF _Toc111551925 \h </w:instrText>
        </w:r>
        <w:r>
          <w:rPr>
            <w:webHidden/>
          </w:rPr>
        </w:r>
        <w:r>
          <w:rPr>
            <w:webHidden/>
          </w:rPr>
          <w:fldChar w:fldCharType="separate"/>
        </w:r>
        <w:r w:rsidR="005D1175">
          <w:rPr>
            <w:webHidden/>
          </w:rPr>
          <w:t>13</w:t>
        </w:r>
        <w:r>
          <w:rPr>
            <w:webHidden/>
          </w:rPr>
          <w:fldChar w:fldCharType="end"/>
        </w:r>
      </w:hyperlink>
    </w:p>
    <w:p w14:paraId="4DED5429" w14:textId="707929C4" w:rsidR="0079264A" w:rsidRDefault="0079264A">
      <w:pPr>
        <w:pStyle w:val="TOC2"/>
        <w:tabs>
          <w:tab w:val="right" w:pos="9628"/>
        </w:tabs>
        <w:rPr>
          <w:rFonts w:asciiTheme="minorHAnsi" w:eastAsiaTheme="minorEastAsia" w:hAnsiTheme="minorHAnsi"/>
          <w:noProof/>
          <w:sz w:val="22"/>
          <w:lang w:eastAsia="en-GB"/>
        </w:rPr>
      </w:pPr>
      <w:hyperlink w:anchor="_Toc111551926" w:history="1">
        <w:r w:rsidRPr="000C347F">
          <w:rPr>
            <w:rStyle w:val="Hyperlink"/>
            <w:noProof/>
          </w:rPr>
          <w:t>3.1 The Tender Response</w:t>
        </w:r>
        <w:r>
          <w:rPr>
            <w:noProof/>
            <w:webHidden/>
          </w:rPr>
          <w:tab/>
        </w:r>
        <w:r>
          <w:rPr>
            <w:noProof/>
            <w:webHidden/>
          </w:rPr>
          <w:fldChar w:fldCharType="begin"/>
        </w:r>
        <w:r>
          <w:rPr>
            <w:noProof/>
            <w:webHidden/>
          </w:rPr>
          <w:instrText xml:space="preserve"> PAGEREF _Toc111551926 \h </w:instrText>
        </w:r>
        <w:r>
          <w:rPr>
            <w:noProof/>
            <w:webHidden/>
          </w:rPr>
        </w:r>
        <w:r>
          <w:rPr>
            <w:noProof/>
            <w:webHidden/>
          </w:rPr>
          <w:fldChar w:fldCharType="separate"/>
        </w:r>
        <w:r w:rsidR="005D1175">
          <w:rPr>
            <w:noProof/>
            <w:webHidden/>
          </w:rPr>
          <w:t>13</w:t>
        </w:r>
        <w:r>
          <w:rPr>
            <w:noProof/>
            <w:webHidden/>
          </w:rPr>
          <w:fldChar w:fldCharType="end"/>
        </w:r>
      </w:hyperlink>
    </w:p>
    <w:p w14:paraId="24C28E0D" w14:textId="18AB8D73" w:rsidR="0079264A" w:rsidRDefault="0079264A">
      <w:pPr>
        <w:pStyle w:val="TOC2"/>
        <w:tabs>
          <w:tab w:val="right" w:pos="9628"/>
        </w:tabs>
        <w:rPr>
          <w:rFonts w:asciiTheme="minorHAnsi" w:eastAsiaTheme="minorEastAsia" w:hAnsiTheme="minorHAnsi"/>
          <w:noProof/>
          <w:sz w:val="22"/>
          <w:lang w:eastAsia="en-GB"/>
        </w:rPr>
      </w:pPr>
      <w:hyperlink w:anchor="_Toc111551927" w:history="1">
        <w:r w:rsidRPr="000C347F">
          <w:rPr>
            <w:rStyle w:val="Hyperlink"/>
            <w:noProof/>
          </w:rPr>
          <w:t>3.2 Evaluation Criteria</w:t>
        </w:r>
        <w:r>
          <w:rPr>
            <w:noProof/>
            <w:webHidden/>
          </w:rPr>
          <w:tab/>
        </w:r>
        <w:r>
          <w:rPr>
            <w:noProof/>
            <w:webHidden/>
          </w:rPr>
          <w:fldChar w:fldCharType="begin"/>
        </w:r>
        <w:r>
          <w:rPr>
            <w:noProof/>
            <w:webHidden/>
          </w:rPr>
          <w:instrText xml:space="preserve"> PAGEREF _Toc111551927 \h </w:instrText>
        </w:r>
        <w:r>
          <w:rPr>
            <w:noProof/>
            <w:webHidden/>
          </w:rPr>
        </w:r>
        <w:r>
          <w:rPr>
            <w:noProof/>
            <w:webHidden/>
          </w:rPr>
          <w:fldChar w:fldCharType="separate"/>
        </w:r>
        <w:r w:rsidR="005D1175">
          <w:rPr>
            <w:noProof/>
            <w:webHidden/>
          </w:rPr>
          <w:t>14</w:t>
        </w:r>
        <w:r>
          <w:rPr>
            <w:noProof/>
            <w:webHidden/>
          </w:rPr>
          <w:fldChar w:fldCharType="end"/>
        </w:r>
      </w:hyperlink>
    </w:p>
    <w:p w14:paraId="56D04470" w14:textId="22E42D21" w:rsidR="0079264A" w:rsidRDefault="0079264A">
      <w:pPr>
        <w:pStyle w:val="TOC1"/>
        <w:rPr>
          <w:rFonts w:asciiTheme="minorHAnsi" w:eastAsiaTheme="minorEastAsia" w:hAnsiTheme="minorHAnsi"/>
          <w:b w:val="0"/>
          <w:bCs w:val="0"/>
          <w:color w:val="auto"/>
          <w:sz w:val="22"/>
          <w:lang w:eastAsia="en-GB"/>
        </w:rPr>
      </w:pPr>
      <w:hyperlink w:anchor="_Toc111551928" w:history="1">
        <w:r w:rsidRPr="000C347F">
          <w:rPr>
            <w:rStyle w:val="Hyperlink"/>
          </w:rPr>
          <w:t>4.</w:t>
        </w:r>
        <w:r>
          <w:rPr>
            <w:rFonts w:asciiTheme="minorHAnsi" w:eastAsiaTheme="minorEastAsia" w:hAnsiTheme="minorHAnsi"/>
            <w:b w:val="0"/>
            <w:bCs w:val="0"/>
            <w:color w:val="auto"/>
            <w:sz w:val="22"/>
            <w:lang w:eastAsia="en-GB"/>
          </w:rPr>
          <w:tab/>
        </w:r>
        <w:r w:rsidRPr="000C347F">
          <w:rPr>
            <w:rStyle w:val="Hyperlink"/>
          </w:rPr>
          <w:t>Procurement Procedures</w:t>
        </w:r>
        <w:r>
          <w:rPr>
            <w:webHidden/>
          </w:rPr>
          <w:tab/>
        </w:r>
        <w:r>
          <w:rPr>
            <w:webHidden/>
          </w:rPr>
          <w:fldChar w:fldCharType="begin"/>
        </w:r>
        <w:r>
          <w:rPr>
            <w:webHidden/>
          </w:rPr>
          <w:instrText xml:space="preserve"> PAGEREF _Toc111551928 \h </w:instrText>
        </w:r>
        <w:r>
          <w:rPr>
            <w:webHidden/>
          </w:rPr>
        </w:r>
        <w:r>
          <w:rPr>
            <w:webHidden/>
          </w:rPr>
          <w:fldChar w:fldCharType="separate"/>
        </w:r>
        <w:r w:rsidR="005D1175">
          <w:rPr>
            <w:webHidden/>
          </w:rPr>
          <w:t>19</w:t>
        </w:r>
        <w:r>
          <w:rPr>
            <w:webHidden/>
          </w:rPr>
          <w:fldChar w:fldCharType="end"/>
        </w:r>
      </w:hyperlink>
    </w:p>
    <w:p w14:paraId="0EDE73FA" w14:textId="7C37EEF8" w:rsidR="0079264A" w:rsidRDefault="0079264A">
      <w:pPr>
        <w:pStyle w:val="TOC2"/>
        <w:tabs>
          <w:tab w:val="right" w:pos="9628"/>
        </w:tabs>
        <w:rPr>
          <w:rFonts w:asciiTheme="minorHAnsi" w:eastAsiaTheme="minorEastAsia" w:hAnsiTheme="minorHAnsi"/>
          <w:noProof/>
          <w:sz w:val="22"/>
          <w:lang w:eastAsia="en-GB"/>
        </w:rPr>
      </w:pPr>
      <w:hyperlink w:anchor="_Toc111551929" w:history="1">
        <w:r w:rsidRPr="000C347F">
          <w:rPr>
            <w:rStyle w:val="Hyperlink"/>
            <w:noProof/>
          </w:rPr>
          <w:t>Tendering Timetable</w:t>
        </w:r>
        <w:r>
          <w:rPr>
            <w:noProof/>
            <w:webHidden/>
          </w:rPr>
          <w:tab/>
        </w:r>
        <w:r>
          <w:rPr>
            <w:noProof/>
            <w:webHidden/>
          </w:rPr>
          <w:fldChar w:fldCharType="begin"/>
        </w:r>
        <w:r>
          <w:rPr>
            <w:noProof/>
            <w:webHidden/>
          </w:rPr>
          <w:instrText xml:space="preserve"> PAGEREF _Toc111551929 \h </w:instrText>
        </w:r>
        <w:r>
          <w:rPr>
            <w:noProof/>
            <w:webHidden/>
          </w:rPr>
        </w:r>
        <w:r>
          <w:rPr>
            <w:noProof/>
            <w:webHidden/>
          </w:rPr>
          <w:fldChar w:fldCharType="separate"/>
        </w:r>
        <w:r w:rsidR="005D1175">
          <w:rPr>
            <w:noProof/>
            <w:webHidden/>
          </w:rPr>
          <w:t>19</w:t>
        </w:r>
        <w:r>
          <w:rPr>
            <w:noProof/>
            <w:webHidden/>
          </w:rPr>
          <w:fldChar w:fldCharType="end"/>
        </w:r>
      </w:hyperlink>
    </w:p>
    <w:p w14:paraId="0713F7E5" w14:textId="517E28C1" w:rsidR="0079264A" w:rsidRDefault="0079264A">
      <w:pPr>
        <w:pStyle w:val="TOC2"/>
        <w:tabs>
          <w:tab w:val="right" w:pos="9628"/>
        </w:tabs>
        <w:rPr>
          <w:rFonts w:asciiTheme="minorHAnsi" w:eastAsiaTheme="minorEastAsia" w:hAnsiTheme="minorHAnsi"/>
          <w:noProof/>
          <w:sz w:val="22"/>
          <w:lang w:eastAsia="en-GB"/>
        </w:rPr>
      </w:pPr>
      <w:hyperlink w:anchor="_Toc111551930" w:history="1">
        <w:r w:rsidRPr="000C347F">
          <w:rPr>
            <w:rStyle w:val="Hyperlink"/>
            <w:noProof/>
          </w:rPr>
          <w:t>Tendering Instructions and Guidance</w:t>
        </w:r>
        <w:r>
          <w:rPr>
            <w:noProof/>
            <w:webHidden/>
          </w:rPr>
          <w:tab/>
        </w:r>
        <w:r>
          <w:rPr>
            <w:noProof/>
            <w:webHidden/>
          </w:rPr>
          <w:fldChar w:fldCharType="begin"/>
        </w:r>
        <w:r>
          <w:rPr>
            <w:noProof/>
            <w:webHidden/>
          </w:rPr>
          <w:instrText xml:space="preserve"> PAGEREF _Toc111551930 \h </w:instrText>
        </w:r>
        <w:r>
          <w:rPr>
            <w:noProof/>
            <w:webHidden/>
          </w:rPr>
        </w:r>
        <w:r>
          <w:rPr>
            <w:noProof/>
            <w:webHidden/>
          </w:rPr>
          <w:fldChar w:fldCharType="separate"/>
        </w:r>
        <w:r w:rsidR="005D1175">
          <w:rPr>
            <w:noProof/>
            <w:webHidden/>
          </w:rPr>
          <w:t>19</w:t>
        </w:r>
        <w:r>
          <w:rPr>
            <w:noProof/>
            <w:webHidden/>
          </w:rPr>
          <w:fldChar w:fldCharType="end"/>
        </w:r>
      </w:hyperlink>
    </w:p>
    <w:p w14:paraId="6B48D324" w14:textId="2419B6E7" w:rsidR="00FC6860" w:rsidRDefault="00FC6860" w:rsidP="003A16E9">
      <w:pPr>
        <w:sectPr w:rsidR="00FC6860" w:rsidSect="003A16E9">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4938A150" w14:textId="65B90A51" w:rsidR="00251F00" w:rsidRPr="007B448E" w:rsidRDefault="00A02455" w:rsidP="00251F00">
      <w:r w:rsidRPr="00A87FAC">
        <w:t xml:space="preserve">The purpose of this document is to invite proposals for </w:t>
      </w:r>
      <w:r w:rsidR="5977A194" w:rsidRPr="00A87FAC">
        <w:t xml:space="preserve">consultancy support </w:t>
      </w:r>
      <w:r w:rsidR="00444A30" w:rsidRPr="00A87FAC">
        <w:t>in relation to</w:t>
      </w:r>
      <w:r w:rsidR="00251F00">
        <w:t xml:space="preserve"> providing strategic and analytical input across a portfolio of competition-related projects, including scoping and planning potential future</w:t>
      </w:r>
      <w:r w:rsidR="009644DE">
        <w:t xml:space="preserve"> work.</w:t>
      </w:r>
      <w:r w:rsidR="00E843DD">
        <w:rPr>
          <w:bCs/>
        </w:rPr>
        <w:t xml:space="preserve"> </w:t>
      </w:r>
    </w:p>
    <w:p w14:paraId="75A839A6" w14:textId="77777777" w:rsidR="00A02455" w:rsidRDefault="00A02455" w:rsidP="00A02455">
      <w:r>
        <w:t>This document contains the following sections:</w:t>
      </w:r>
    </w:p>
    <w:p w14:paraId="51B87CA1" w14:textId="0B9312F1" w:rsidR="00A02455" w:rsidRDefault="00A02455">
      <w:pPr>
        <w:pStyle w:val="NormalBulletnumber"/>
        <w:numPr>
          <w:ilvl w:val="3"/>
          <w:numId w:val="15"/>
        </w:numPr>
        <w:ind w:left="709"/>
      </w:pPr>
      <w:r>
        <w:t>Introduction to the Office of Rail and Road</w:t>
      </w:r>
    </w:p>
    <w:p w14:paraId="2D9218E9" w14:textId="244A6AEA" w:rsidR="00A02455" w:rsidRDefault="00A02455">
      <w:pPr>
        <w:pStyle w:val="NormalBulletnumber"/>
        <w:tabs>
          <w:tab w:val="clear" w:pos="2268"/>
        </w:tabs>
        <w:ind w:left="709"/>
      </w:pPr>
      <w:r>
        <w:t>Statement of Requirement</w:t>
      </w:r>
    </w:p>
    <w:p w14:paraId="58D2761D" w14:textId="55F451CC" w:rsidR="00A02455" w:rsidRDefault="00A02455">
      <w:pPr>
        <w:pStyle w:val="NormalBulletnumber"/>
        <w:tabs>
          <w:tab w:val="clear" w:pos="2268"/>
        </w:tabs>
        <w:ind w:left="709"/>
      </w:pPr>
      <w:r>
        <w:t>Tender Proposal &amp; Evaluation Criteria</w:t>
      </w:r>
    </w:p>
    <w:p w14:paraId="3E217975" w14:textId="18F2E131" w:rsidR="00451C67" w:rsidRPr="00451C67" w:rsidRDefault="00A02455">
      <w:pPr>
        <w:pStyle w:val="NormalBulletnumber"/>
        <w:tabs>
          <w:tab w:val="clear" w:pos="2268"/>
        </w:tabs>
        <w:ind w:left="709"/>
      </w:pPr>
      <w:r>
        <w:t>Procurement Procedures</w:t>
      </w:r>
    </w:p>
    <w:p w14:paraId="253D5E63" w14:textId="052BB41B" w:rsidR="003E1A78" w:rsidRDefault="00490915">
      <w:pPr>
        <w:pStyle w:val="Heading2"/>
      </w:pPr>
      <w:bookmarkStart w:id="5" w:name="_Toc111551914"/>
      <w:r>
        <w:lastRenderedPageBreak/>
        <w:t>Introduction to the Office of Rail and Road</w:t>
      </w:r>
      <w:bookmarkEnd w:id="5"/>
    </w:p>
    <w:p w14:paraId="0EC8CF73" w14:textId="77777777" w:rsidR="00490915" w:rsidRDefault="00490915" w:rsidP="00490915">
      <w:r>
        <w:t xml:space="preserve">The Office of Rail and Road </w:t>
      </w:r>
      <w:proofErr w:type="gramStart"/>
      <w:r>
        <w:t>is</w:t>
      </w:r>
      <w:proofErr w:type="gramEnd"/>
      <w:r>
        <w:t xml:space="preserve">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1155191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pPr>
        <w:pStyle w:val="NormalBulletround"/>
      </w:pPr>
      <w:r>
        <w:t xml:space="preserve">to ensure that processes have regard for equality and diversity; and </w:t>
      </w:r>
    </w:p>
    <w:p w14:paraId="76FDEFD9" w14:textId="3A415708" w:rsidR="00490915" w:rsidRDefault="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23"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3536768" w:rsidR="00D776B6" w:rsidRPr="00995D5A" w:rsidRDefault="00D776B6">
      <w:pPr>
        <w:pStyle w:val="Boxedparagraph"/>
        <w:rPr>
          <w:b/>
          <w:color w:val="B1173B"/>
        </w:rPr>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noWrap/>
            <w:vAlign w:val="center"/>
          </w:tcPr>
          <w:p w14:paraId="789FBC62" w14:textId="77777777" w:rsidR="00D6160E" w:rsidRPr="00D6160E" w:rsidRDefault="00D6160E" w:rsidP="003A16E9">
            <w:pPr>
              <w:pStyle w:val="TblText"/>
            </w:pPr>
            <w:r w:rsidRPr="00D6160E">
              <w:t>≤ € 10 million</w:t>
            </w:r>
          </w:p>
        </w:tc>
        <w:tc>
          <w:tcPr>
            <w:tcW w:w="894" w:type="dxa"/>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noWrap/>
            <w:vAlign w:val="center"/>
          </w:tcPr>
          <w:p w14:paraId="2A51A8A8" w14:textId="77777777" w:rsidR="00D6160E" w:rsidRPr="00D6160E" w:rsidRDefault="00D6160E" w:rsidP="003A16E9">
            <w:pPr>
              <w:pStyle w:val="TblText"/>
            </w:pPr>
            <w:r w:rsidRPr="00D6160E">
              <w:t>&gt; € 50 million</w:t>
            </w:r>
          </w:p>
        </w:tc>
        <w:tc>
          <w:tcPr>
            <w:tcW w:w="894" w:type="dxa"/>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56A1863F" w14:textId="642F4D4F" w:rsidR="00F20E70" w:rsidRDefault="00995D5A" w:rsidP="00995D5A">
      <w:pPr>
        <w:pStyle w:val="NormalBulletround"/>
        <w:numPr>
          <w:ilvl w:val="0"/>
          <w:numId w:val="0"/>
        </w:numPr>
      </w:pPr>
      <w:r>
        <w:t xml:space="preserve">ORR is the independent economic and safety regulator for Britain’s railways and is responsible for monitoring the performance and efficiency for England’s Strategic Road Network. ORR is also the competition authority for the railways in Great Britain. </w:t>
      </w:r>
    </w:p>
    <w:p w14:paraId="56B8EFAB" w14:textId="0813AF84" w:rsidR="00543957" w:rsidRPr="00543957" w:rsidRDefault="00543957" w:rsidP="00543957">
      <w:pPr>
        <w:pStyle w:val="NormalBulletround"/>
        <w:numPr>
          <w:ilvl w:val="0"/>
          <w:numId w:val="0"/>
        </w:numPr>
      </w:pPr>
      <w:r w:rsidRPr="00543957">
        <w:t xml:space="preserve">ORR has a statutory duty to promote competition in the provision of railway services for the benefit of users of these services. ORR also has a duty to have regard to the funds available to the Secretary of State for the purposes of </w:t>
      </w:r>
      <w:r w:rsidR="00330A04">
        <w:t>their</w:t>
      </w:r>
      <w:r w:rsidRPr="00543957">
        <w:t xml:space="preserve"> functions in relation to railways or railway services. </w:t>
      </w:r>
    </w:p>
    <w:p w14:paraId="0FCF5043" w14:textId="77777777" w:rsidR="00543957" w:rsidRPr="00543957" w:rsidRDefault="00543957" w:rsidP="00543957">
      <w:pPr>
        <w:pStyle w:val="NormalBulletround"/>
        <w:numPr>
          <w:ilvl w:val="0"/>
          <w:numId w:val="0"/>
        </w:numPr>
      </w:pPr>
      <w:r w:rsidRPr="00543957">
        <w:t>ORR has a duty to keep the provision of railway services under review; to monitor the competitive situation in the rail services markets; and to take appropriate measures where markets are not working to the benefit of consumers or taxpayers. We discharge this duty by looking for markets where there appear to be issues that warrant further attention. We identify those markets in response to a complaint, information from an interested party, or our own intelligence gathering.  </w:t>
      </w:r>
    </w:p>
    <w:p w14:paraId="1F46C55A" w14:textId="77777777" w:rsidR="00543957" w:rsidRPr="00543957" w:rsidRDefault="00543957" w:rsidP="00543957">
      <w:pPr>
        <w:pStyle w:val="NormalBulletround"/>
        <w:numPr>
          <w:ilvl w:val="0"/>
          <w:numId w:val="0"/>
        </w:numPr>
      </w:pPr>
      <w:r w:rsidRPr="00543957">
        <w:t>ORR’s powers in this area are granted via the Enterprise Act 2002. This act provides the legal framework under which the ORR conducts market studies and other competition-related activities. Market studies are formal examinations into the causes of why particular markets may not be working well.  </w:t>
      </w:r>
    </w:p>
    <w:p w14:paraId="790DCB35" w14:textId="7546A6F9" w:rsidR="00543957" w:rsidRPr="00543957" w:rsidRDefault="00543957" w:rsidP="00543957">
      <w:pPr>
        <w:pStyle w:val="NormalBulletround"/>
        <w:numPr>
          <w:ilvl w:val="0"/>
          <w:numId w:val="0"/>
        </w:numPr>
      </w:pPr>
      <w:r w:rsidRPr="00543957">
        <w:t>This work is being commissioned by ORR’s Competition Team. ORR’s competition activities span a range of work, including market reviews</w:t>
      </w:r>
      <w:r w:rsidR="006E0699">
        <w:t xml:space="preserve">, market studies, and other analytical and policy work to support fair and effective market outcomes. </w:t>
      </w:r>
    </w:p>
    <w:p w14:paraId="74919ACA" w14:textId="331A5EC3" w:rsidR="00F20E70" w:rsidRDefault="00F20E70" w:rsidP="009C085A">
      <w:pPr>
        <w:pStyle w:val="Heading3"/>
        <w:tabs>
          <w:tab w:val="left" w:pos="6915"/>
        </w:tabs>
      </w:pPr>
      <w:bookmarkStart w:id="11" w:name="_Toc111551920"/>
      <w:r>
        <w:t>2.2 Project Objectives and Scope</w:t>
      </w:r>
      <w:bookmarkEnd w:id="11"/>
      <w:r w:rsidR="006A695C">
        <w:tab/>
      </w:r>
    </w:p>
    <w:p w14:paraId="194C7B37" w14:textId="77777777" w:rsidR="00354993" w:rsidRPr="007B448E" w:rsidRDefault="00354993" w:rsidP="00354993">
      <w:pPr>
        <w:spacing w:before="100" w:beforeAutospacing="1" w:after="100" w:afterAutospacing="1" w:line="240" w:lineRule="auto"/>
        <w:rPr>
          <w:color w:val="000000" w:themeColor="text1"/>
        </w:rPr>
      </w:pPr>
      <w:r w:rsidRPr="007B448E">
        <w:rPr>
          <w:color w:val="000000" w:themeColor="text1"/>
        </w:rPr>
        <w:t>The objective of this procurement is to secure expert consultancy support to strengthen ORR’s competition work by:</w:t>
      </w:r>
    </w:p>
    <w:p w14:paraId="261FA28E" w14:textId="77777777" w:rsidR="00354993" w:rsidRPr="007B448E" w:rsidRDefault="00354993">
      <w:pPr>
        <w:pStyle w:val="Bulletround"/>
      </w:pPr>
      <w:r w:rsidRPr="007B448E">
        <w:t>Providing strategic and analytical input across a portfolio of competition-related projects, including market reviews, policy development, and casework.</w:t>
      </w:r>
    </w:p>
    <w:p w14:paraId="26ABF68E" w14:textId="77777777" w:rsidR="00354993" w:rsidRPr="007B448E" w:rsidRDefault="00354993">
      <w:pPr>
        <w:pStyle w:val="Bulletround"/>
      </w:pPr>
      <w:r w:rsidRPr="007B448E">
        <w:t>Supporting ORR in scoping and planning potential future market reviews or market studies, in line with the statutory framework under the Enterprise Act 2002.</w:t>
      </w:r>
    </w:p>
    <w:p w14:paraId="2E1E7EAD" w14:textId="77777777" w:rsidR="00354993" w:rsidRPr="007B448E" w:rsidRDefault="00354993">
      <w:pPr>
        <w:pStyle w:val="Bulletround"/>
      </w:pPr>
      <w:r w:rsidRPr="007B448E">
        <w:lastRenderedPageBreak/>
        <w:t>Designing proportionate and effective evidence-gathering approaches applicable across competition projects.</w:t>
      </w:r>
    </w:p>
    <w:p w14:paraId="62EE8B90" w14:textId="1F14E6DA" w:rsidR="00354993" w:rsidRPr="007B448E" w:rsidRDefault="00354993">
      <w:pPr>
        <w:pStyle w:val="Bulletround"/>
      </w:pPr>
      <w:r w:rsidRPr="007B448E">
        <w:t xml:space="preserve">Enhancing ORR’s internal capability through </w:t>
      </w:r>
      <w:r w:rsidR="00147A8B">
        <w:t xml:space="preserve">collaborative working and knowledge transfer with ORR staff. </w:t>
      </w:r>
    </w:p>
    <w:p w14:paraId="746CEF8C" w14:textId="77777777" w:rsidR="00354993" w:rsidRPr="007B448E" w:rsidRDefault="00354993">
      <w:pPr>
        <w:pStyle w:val="Bulletround"/>
      </w:pPr>
      <w:r w:rsidRPr="007B448E">
        <w:t>Assisting ORR in assessing the competition and market implications of rail reform proposals.</w:t>
      </w:r>
    </w:p>
    <w:p w14:paraId="69A75C90" w14:textId="7C8E4979" w:rsidR="003F3CB0" w:rsidRDefault="003F3CB0" w:rsidP="003F3CB0">
      <w:pPr>
        <w:pStyle w:val="Heading3"/>
      </w:pPr>
      <w:bookmarkStart w:id="12" w:name="_Toc111551921"/>
      <w:r w:rsidRPr="003F3CB0">
        <w:t>2.3 Project Outputs, Deliverables and Contract Management</w:t>
      </w:r>
      <w:bookmarkEnd w:id="12"/>
    </w:p>
    <w:p w14:paraId="480D8983" w14:textId="77777777" w:rsidR="00DB02EF" w:rsidRDefault="00DB02EF" w:rsidP="00DB02EF">
      <w:pPr>
        <w:pStyle w:val="Heading4"/>
      </w:pPr>
      <w:r>
        <w:t>Outputs and Deliverables</w:t>
      </w:r>
    </w:p>
    <w:p w14:paraId="04823917" w14:textId="24C580F6" w:rsidR="001F43A3" w:rsidRPr="00982ADC" w:rsidRDefault="001F43A3" w:rsidP="00982ADC">
      <w:pPr>
        <w:spacing w:before="100" w:beforeAutospacing="1" w:after="100" w:afterAutospacing="1" w:line="240" w:lineRule="auto"/>
        <w:rPr>
          <w:color w:val="000000" w:themeColor="text1"/>
        </w:rPr>
      </w:pPr>
      <w:r w:rsidRPr="00982ADC">
        <w:rPr>
          <w:color w:val="000000" w:themeColor="text1"/>
        </w:rPr>
        <w:t>During the six-month engagement, the successful supplier will deliver:</w:t>
      </w:r>
    </w:p>
    <w:p w14:paraId="12D4EACB" w14:textId="569D6C0C" w:rsidR="001F43A3" w:rsidRPr="001F43A3" w:rsidRDefault="001F43A3">
      <w:pPr>
        <w:pStyle w:val="Bulletround"/>
      </w:pPr>
      <w:r w:rsidRPr="001F43A3">
        <w:rPr>
          <w:b/>
          <w:bCs/>
        </w:rPr>
        <w:t>Project Planning</w:t>
      </w:r>
      <w:r w:rsidRPr="001F43A3">
        <w:br/>
        <w:t>Develop detailed work plans and milestone trackers for new projects, including key deliverables, dependencies, and resourcing. Propose governance and approvals structures aligned with ORR’s internal processes and, where relevant, statutory timetables under the Enterprise Act 2002.</w:t>
      </w:r>
    </w:p>
    <w:p w14:paraId="0D403382" w14:textId="7046F5E7" w:rsidR="001F43A3" w:rsidRPr="001F43A3" w:rsidRDefault="001F43A3">
      <w:pPr>
        <w:pStyle w:val="Bulletround"/>
      </w:pPr>
      <w:r w:rsidRPr="001F43A3">
        <w:rPr>
          <w:b/>
          <w:bCs/>
        </w:rPr>
        <w:t>Evidence Frameworks</w:t>
      </w:r>
      <w:r w:rsidRPr="001F43A3">
        <w:br/>
        <w:t>Design a comprehensive framework for data and evidence collection across competition and market projects. This should include identification of relevant data sources, draft information request templates, and recommended analytical approaches.</w:t>
      </w:r>
    </w:p>
    <w:p w14:paraId="7304B9D2" w14:textId="5407B5C6" w:rsidR="001F43A3" w:rsidRPr="001F43A3" w:rsidRDefault="001F43A3">
      <w:pPr>
        <w:pStyle w:val="Bulletround"/>
      </w:pPr>
      <w:r w:rsidRPr="001F43A3">
        <w:rPr>
          <w:b/>
          <w:bCs/>
        </w:rPr>
        <w:t>Stakeholder Engagement</w:t>
      </w:r>
      <w:r w:rsidRPr="001F43A3">
        <w:br/>
        <w:t>Prepare a structured engagement plan setting out objectives, key audiences (e.g. industry participants, government, other regulators), engagement methods, and a proposed schedule. Support early engagement and advise on communication materials or briefings as required.</w:t>
      </w:r>
    </w:p>
    <w:p w14:paraId="6519DB43" w14:textId="1FB9C3DF" w:rsidR="001F43A3" w:rsidRPr="001F43A3" w:rsidRDefault="001F43A3">
      <w:pPr>
        <w:pStyle w:val="Bulletround"/>
      </w:pPr>
      <w:r w:rsidRPr="001F43A3">
        <w:rPr>
          <w:b/>
          <w:bCs/>
        </w:rPr>
        <w:t>Rail Reform Analysis</w:t>
      </w:r>
      <w:r w:rsidRPr="001F43A3">
        <w:br/>
        <w:t>Provide targeted analytical and policy input on rail reform proposals, particularly where they impact competition, market structure, or transparency. Support ORR’s internal readiness for potential market or structural changes.</w:t>
      </w:r>
    </w:p>
    <w:p w14:paraId="2BFD8324" w14:textId="349C0B25" w:rsidR="001F43A3" w:rsidRPr="001F43A3" w:rsidRDefault="001F43A3">
      <w:pPr>
        <w:pStyle w:val="Bulletround"/>
      </w:pPr>
      <w:r w:rsidRPr="001F43A3">
        <w:rPr>
          <w:b/>
          <w:bCs/>
        </w:rPr>
        <w:t>Knowledge Transfer</w:t>
      </w:r>
      <w:r w:rsidRPr="001F43A3">
        <w:br/>
        <w:t>Deliver formal documentation and a final debrief to ensure effective handover of knowledge and tools to ORR staff.</w:t>
      </w:r>
    </w:p>
    <w:p w14:paraId="379CC1D6" w14:textId="74AA4187" w:rsidR="001F43A3" w:rsidRPr="00982ADC" w:rsidRDefault="001F43A3" w:rsidP="00982ADC">
      <w:pPr>
        <w:spacing w:before="100" w:beforeAutospacing="1" w:after="100" w:afterAutospacing="1" w:line="240" w:lineRule="auto"/>
        <w:rPr>
          <w:color w:val="000000" w:themeColor="text1"/>
        </w:rPr>
      </w:pPr>
      <w:r w:rsidRPr="00982ADC">
        <w:rPr>
          <w:color w:val="000000" w:themeColor="text1"/>
        </w:rPr>
        <w:lastRenderedPageBreak/>
        <w:t>All analysis undertaken in support of contract deliverables must be subject to documented analytical assurance. The supplier will provide an assurance statement summarising:</w:t>
      </w:r>
    </w:p>
    <w:p w14:paraId="13C50CB5" w14:textId="77777777" w:rsidR="001F43A3" w:rsidRPr="001F43A3" w:rsidRDefault="001F43A3">
      <w:pPr>
        <w:pStyle w:val="Bulletround"/>
      </w:pPr>
      <w:r w:rsidRPr="001F43A3">
        <w:t xml:space="preserve">The assurance process </w:t>
      </w:r>
      <w:proofErr w:type="gramStart"/>
      <w:r w:rsidRPr="001F43A3">
        <w:t>undertaken;</w:t>
      </w:r>
      <w:proofErr w:type="gramEnd"/>
    </w:p>
    <w:p w14:paraId="098526B1" w14:textId="77B2A5E3" w:rsidR="001F43A3" w:rsidRPr="001F43A3" w:rsidRDefault="001F43A3">
      <w:pPr>
        <w:pStyle w:val="Bulletround"/>
      </w:pPr>
      <w:r w:rsidRPr="001F43A3">
        <w:t>Risks of error and scope for challenge;</w:t>
      </w:r>
      <w:r w:rsidR="00BC5512">
        <w:t xml:space="preserve"> and</w:t>
      </w:r>
    </w:p>
    <w:p w14:paraId="6BEF09A9" w14:textId="1169358A" w:rsidR="001F43A3" w:rsidRDefault="001F43A3">
      <w:pPr>
        <w:pStyle w:val="Bulletround"/>
      </w:pPr>
      <w:r w:rsidRPr="001F43A3">
        <w:t>Any uncertainties associated with the analysis.</w:t>
      </w:r>
    </w:p>
    <w:p w14:paraId="30DFB785" w14:textId="439A37DA" w:rsidR="00DB02EF" w:rsidRDefault="00DB02EF" w:rsidP="00DB02EF">
      <w:pPr>
        <w:pStyle w:val="Heading4"/>
      </w:pPr>
      <w:r w:rsidRPr="00A2730A">
        <w:t>Contract Management Requirements</w:t>
      </w:r>
    </w:p>
    <w:p w14:paraId="2042D065" w14:textId="49381A9D" w:rsidR="00DB02EF" w:rsidRPr="00574B16" w:rsidRDefault="7F5BD607" w:rsidP="413504D2">
      <w:r w:rsidRPr="413504D2">
        <w:t xml:space="preserve">The successful supplier will be embedded within ORR’s Competition </w:t>
      </w:r>
      <w:r w:rsidRPr="00AD2D33">
        <w:t>Team</w:t>
      </w:r>
      <w:r w:rsidR="00147A8B" w:rsidRPr="00AD2D33">
        <w:t xml:space="preserve"> with a direct reporting line to the Principal Manager, Competition</w:t>
      </w:r>
      <w:r w:rsidRPr="00AD2D33">
        <w:t xml:space="preserve">, working </w:t>
      </w:r>
      <w:r w:rsidRPr="413504D2">
        <w:t>closely with colleagues across the Economics</w:t>
      </w:r>
      <w:r w:rsidR="004576D3">
        <w:t>,</w:t>
      </w:r>
      <w:r w:rsidRPr="413504D2">
        <w:t xml:space="preserve"> Finance </w:t>
      </w:r>
      <w:r w:rsidR="004576D3">
        <w:t xml:space="preserve">and Markets </w:t>
      </w:r>
      <w:r w:rsidRPr="413504D2">
        <w:t xml:space="preserve">Directorate and other relevant internal teams. The supplier will be expected to operate as part of </w:t>
      </w:r>
      <w:r w:rsidR="00167477">
        <w:rPr>
          <w:rFonts w:cs="Arial"/>
        </w:rPr>
        <w:t>a</w:t>
      </w:r>
      <w:r w:rsidRPr="413504D2">
        <w:t xml:space="preserve"> project team, participating in regular team and project meetings to ensure alignment and knowledge transfer throughout the engagement.</w:t>
      </w:r>
    </w:p>
    <w:p w14:paraId="44D26D43" w14:textId="6BB9C2BA" w:rsidR="00DB02EF" w:rsidRDefault="7F5BD607" w:rsidP="00F35E91">
      <w:pPr>
        <w:pStyle w:val="Heading5"/>
        <w:rPr>
          <w:b w:val="0"/>
        </w:rPr>
      </w:pPr>
      <w:r w:rsidRPr="413504D2">
        <w:t>Management and Reporting Arrangements</w:t>
      </w:r>
    </w:p>
    <w:p w14:paraId="30FEB50B" w14:textId="12406A89" w:rsidR="7F5BD607" w:rsidRDefault="7F5BD607">
      <w:pPr>
        <w:pStyle w:val="Bulletround"/>
      </w:pPr>
      <w:r w:rsidRPr="00982ADC">
        <w:rPr>
          <w:b/>
          <w:bCs/>
          <w:u w:val="single"/>
        </w:rPr>
        <w:t>Meetings</w:t>
      </w:r>
      <w:r>
        <w:t xml:space="preserve">: </w:t>
      </w:r>
      <w:r w:rsidR="0044450E">
        <w:t>p</w:t>
      </w:r>
      <w:r>
        <w:t xml:space="preserve">rogress will be reviewed through weekly check-ins (which may be virtual) and a more detailed monthly review meeting with the project lead and relevant senior staff. </w:t>
      </w:r>
    </w:p>
    <w:p w14:paraId="6512D92B" w14:textId="34B5DE5B" w:rsidR="00DB02EF" w:rsidRPr="00167477" w:rsidRDefault="7F5BD607">
      <w:pPr>
        <w:pStyle w:val="Bulletround"/>
      </w:pPr>
      <w:r w:rsidRPr="00982ADC">
        <w:rPr>
          <w:rFonts w:eastAsiaTheme="minorEastAsia" w:cs="Arial"/>
          <w:b/>
          <w:bCs/>
          <w:szCs w:val="24"/>
          <w:u w:val="single"/>
        </w:rPr>
        <w:t>Progress Reportin</w:t>
      </w:r>
      <w:r w:rsidRPr="00982ADC">
        <w:rPr>
          <w:b/>
          <w:bCs/>
        </w:rPr>
        <w:t>g</w:t>
      </w:r>
      <w:r>
        <w:t xml:space="preserve">: </w:t>
      </w:r>
      <w:r w:rsidR="0044450E">
        <w:t>t</w:t>
      </w:r>
      <w:r>
        <w:t>he supplier will be required to provide brief written updates ahead of each monthly meeting, summarising progress against milestones, key findings and next steps.</w:t>
      </w:r>
    </w:p>
    <w:p w14:paraId="6627A4F5" w14:textId="1506E77C" w:rsidR="00DB02EF" w:rsidRPr="00574B16" w:rsidRDefault="7F5BD607">
      <w:pPr>
        <w:pStyle w:val="Bulletround"/>
      </w:pPr>
      <w:r w:rsidRPr="00982ADC">
        <w:rPr>
          <w:rFonts w:eastAsiaTheme="minorEastAsia" w:cs="Arial"/>
          <w:b/>
          <w:bCs/>
          <w:szCs w:val="24"/>
          <w:u w:val="single"/>
        </w:rPr>
        <w:t>Integration and Communication</w:t>
      </w:r>
      <w:r>
        <w:t xml:space="preserve">: </w:t>
      </w:r>
      <w:r w:rsidR="0044450E">
        <w:t>t</w:t>
      </w:r>
      <w:r>
        <w:t xml:space="preserve">he supplier will work collaboratively with ORR colleagues, sharing drafts, participating in internal discussions and contributing to relevant </w:t>
      </w:r>
      <w:r w:rsidR="00167477">
        <w:rPr>
          <w:rFonts w:cs="Arial"/>
        </w:rPr>
        <w:t>sessions</w:t>
      </w:r>
      <w:r>
        <w:t xml:space="preserve"> on</w:t>
      </w:r>
      <w:r w:rsidR="00167477">
        <w:t xml:space="preserve"> </w:t>
      </w:r>
      <w:r w:rsidR="00167477">
        <w:rPr>
          <w:rFonts w:cs="Arial"/>
        </w:rPr>
        <w:t>the</w:t>
      </w:r>
      <w:r w:rsidRPr="00167477">
        <w:rPr>
          <w:rFonts w:cs="Arial"/>
        </w:rPr>
        <w:t xml:space="preserve"> </w:t>
      </w:r>
      <w:r>
        <w:t xml:space="preserve">market study </w:t>
      </w:r>
      <w:r w:rsidR="00167477">
        <w:t xml:space="preserve">and </w:t>
      </w:r>
      <w:r>
        <w:t>rail reform.</w:t>
      </w:r>
    </w:p>
    <w:p w14:paraId="68A38D20" w14:textId="77777777" w:rsidR="00F35E91" w:rsidRDefault="7F5BD607" w:rsidP="00F35E91">
      <w:pPr>
        <w:spacing w:before="120" w:after="120"/>
        <w:rPr>
          <w:rFonts w:eastAsiaTheme="majorEastAsia" w:cstheme="majorBidi"/>
          <w:b/>
        </w:rPr>
      </w:pPr>
      <w:r w:rsidRPr="00F35E91">
        <w:rPr>
          <w:rFonts w:eastAsiaTheme="majorEastAsia" w:cstheme="majorBidi"/>
          <w:b/>
        </w:rPr>
        <w:t>Performance Management</w:t>
      </w:r>
    </w:p>
    <w:p w14:paraId="7473F12C" w14:textId="03F33697" w:rsidR="00DB02EF" w:rsidRPr="00574B16" w:rsidRDefault="590A338A" w:rsidP="00F35E91">
      <w:pPr>
        <w:spacing w:before="120" w:after="120"/>
      </w:pPr>
      <w:r>
        <w:t>P</w:t>
      </w:r>
      <w:r w:rsidR="186632B2">
        <w:t>rogress</w:t>
      </w:r>
      <w:r w:rsidR="7F5BD607">
        <w:t xml:space="preserve"> and quality will be assessed against agreed milestones and deliverables, including:</w:t>
      </w:r>
    </w:p>
    <w:p w14:paraId="0719A817" w14:textId="5BE70E1B" w:rsidR="00DB02EF" w:rsidRPr="00167477" w:rsidRDefault="7F5BD607">
      <w:pPr>
        <w:pStyle w:val="Bulletround"/>
        <w:rPr>
          <w:szCs w:val="24"/>
        </w:rPr>
      </w:pPr>
      <w:r w:rsidRPr="00167477">
        <w:t xml:space="preserve">Timely completion of agreed outputs to the required </w:t>
      </w:r>
      <w:proofErr w:type="gramStart"/>
      <w:r w:rsidRPr="00167477">
        <w:t>standard;</w:t>
      </w:r>
      <w:proofErr w:type="gramEnd"/>
    </w:p>
    <w:p w14:paraId="67EFE946" w14:textId="2AB0D2CE" w:rsidR="00DB02EF" w:rsidRPr="00167477" w:rsidRDefault="7F5BD607">
      <w:pPr>
        <w:pStyle w:val="Bulletround"/>
        <w:rPr>
          <w:szCs w:val="24"/>
        </w:rPr>
      </w:pPr>
      <w:r w:rsidRPr="00167477">
        <w:t>Responsiveness to feedback and ability to adapt to changing priorities; and</w:t>
      </w:r>
    </w:p>
    <w:p w14:paraId="2FB1870C" w14:textId="55F75A67" w:rsidR="00DB02EF" w:rsidRPr="00167477" w:rsidRDefault="7F5BD607">
      <w:pPr>
        <w:pStyle w:val="Bulletround"/>
        <w:rPr>
          <w:szCs w:val="24"/>
        </w:rPr>
      </w:pPr>
      <w:r w:rsidRPr="00167477">
        <w:t>Contribution to internal capacity building and knowledge transfer.</w:t>
      </w:r>
    </w:p>
    <w:p w14:paraId="0D67A89E" w14:textId="134A30E0" w:rsidR="00DB02EF" w:rsidRPr="00167477" w:rsidRDefault="7F5BD607" w:rsidP="0044450E">
      <w:pPr>
        <w:pStyle w:val="Heading5"/>
        <w:rPr>
          <w:b w:val="0"/>
          <w:bCs/>
        </w:rPr>
      </w:pPr>
      <w:r w:rsidRPr="00167477">
        <w:t>Roles and Responsibilities</w:t>
      </w:r>
    </w:p>
    <w:p w14:paraId="3DA5A255" w14:textId="4D74FDCD" w:rsidR="00DB02EF" w:rsidRPr="00167477" w:rsidRDefault="7F5BD607">
      <w:pPr>
        <w:pStyle w:val="Bulletround"/>
        <w:rPr>
          <w:szCs w:val="24"/>
        </w:rPr>
      </w:pPr>
      <w:r w:rsidRPr="00167477">
        <w:t>The supplier will be responsible for day-to-day delivery of agreed tasks and outputs, maintaining communication with the ORR project lead.</w:t>
      </w:r>
    </w:p>
    <w:p w14:paraId="63045B30" w14:textId="68F7A76D" w:rsidR="00DB02EF" w:rsidRPr="00167477" w:rsidRDefault="7F5BD607">
      <w:pPr>
        <w:pStyle w:val="Bulletround"/>
        <w:rPr>
          <w:szCs w:val="24"/>
        </w:rPr>
      </w:pPr>
      <w:r w:rsidRPr="00167477">
        <w:lastRenderedPageBreak/>
        <w:t>ORR will be responsible for providing direction, access to internal information, and timely feedback on draft deliverables.</w:t>
      </w:r>
    </w:p>
    <w:p w14:paraId="0B536016" w14:textId="0D36D237" w:rsidR="00DB02EF" w:rsidRPr="00167477" w:rsidRDefault="7F5BD607">
      <w:pPr>
        <w:pStyle w:val="Bulletround"/>
        <w:rPr>
          <w:szCs w:val="24"/>
        </w:rPr>
      </w:pPr>
      <w:r w:rsidRPr="00167477">
        <w:t xml:space="preserve">Both parties will ensure that responsibilities and decision-making authority are clearly documented at project initiation. </w:t>
      </w:r>
    </w:p>
    <w:p w14:paraId="71E02207" w14:textId="138D3DBD" w:rsidR="00D3087F" w:rsidRDefault="00AF7AF9" w:rsidP="00AF7AF9">
      <w:pPr>
        <w:pStyle w:val="Heading3"/>
      </w:pPr>
      <w:bookmarkStart w:id="13" w:name="_Toc111551922"/>
      <w:r>
        <w:t xml:space="preserve">2.4 </w:t>
      </w:r>
      <w:r w:rsidR="00147A8B">
        <w:t>Appointment</w:t>
      </w:r>
      <w:r>
        <w:t xml:space="preserve"> Timescales</w:t>
      </w:r>
      <w:bookmarkEnd w:id="13"/>
      <w:r w:rsidR="00147A8B">
        <w:t xml:space="preserve"> for Deliverables</w:t>
      </w:r>
    </w:p>
    <w:tbl>
      <w:tblPr>
        <w:tblW w:w="976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119"/>
        <w:gridCol w:w="3969"/>
        <w:gridCol w:w="4678"/>
      </w:tblGrid>
      <w:tr w:rsidR="00D3087F" w:rsidRPr="0020297B" w14:paraId="06148E64" w14:textId="77777777" w:rsidTr="004C5148">
        <w:trPr>
          <w:cantSplit/>
          <w:tblHeader/>
        </w:trPr>
        <w:tc>
          <w:tcPr>
            <w:tcW w:w="1119" w:type="dxa"/>
            <w:tcBorders>
              <w:bottom w:val="single" w:sz="12" w:space="0" w:color="FFFFFF"/>
            </w:tcBorders>
            <w:shd w:val="solid" w:color="253268" w:themeColor="dark2" w:fill="253268" w:themeFill="dark2"/>
          </w:tcPr>
          <w:p w14:paraId="471D36EF" w14:textId="77777777" w:rsidR="00D3087F" w:rsidRPr="0020297B" w:rsidRDefault="00D3087F" w:rsidP="00E775EE">
            <w:pPr>
              <w:pStyle w:val="TblHeading"/>
            </w:pPr>
            <w:r>
              <w:t>Stage</w:t>
            </w:r>
          </w:p>
        </w:tc>
        <w:tc>
          <w:tcPr>
            <w:tcW w:w="3969" w:type="dxa"/>
            <w:tcBorders>
              <w:bottom w:val="single" w:sz="12" w:space="0" w:color="FFFFFF"/>
            </w:tcBorders>
            <w:shd w:val="solid" w:color="253268" w:themeColor="dark2" w:fill="253268" w:themeFill="dark2"/>
          </w:tcPr>
          <w:p w14:paraId="46D13F99" w14:textId="77777777" w:rsidR="00D3087F" w:rsidRPr="0020297B" w:rsidRDefault="00D3087F" w:rsidP="00E775EE">
            <w:pPr>
              <w:pStyle w:val="TblHeading"/>
            </w:pPr>
            <w:r>
              <w:t>Deliverable</w:t>
            </w:r>
          </w:p>
        </w:tc>
        <w:tc>
          <w:tcPr>
            <w:tcW w:w="4678" w:type="dxa"/>
            <w:tcBorders>
              <w:bottom w:val="single" w:sz="12" w:space="0" w:color="FFFFFF"/>
            </w:tcBorders>
            <w:shd w:val="solid" w:color="253268" w:themeColor="dark2" w:fill="253268" w:themeFill="dark2"/>
          </w:tcPr>
          <w:p w14:paraId="6481A314" w14:textId="716D2849" w:rsidR="00D3087F" w:rsidRPr="0020297B" w:rsidRDefault="00D3087F" w:rsidP="00E775EE">
            <w:pPr>
              <w:pStyle w:val="TblHeading"/>
            </w:pPr>
            <w:r>
              <w:t>Delivery period</w:t>
            </w:r>
          </w:p>
        </w:tc>
      </w:tr>
      <w:tr w:rsidR="00D3087F" w:rsidRPr="0020297B" w14:paraId="622A49CD" w14:textId="77777777" w:rsidTr="004C5148">
        <w:trPr>
          <w:cantSplit/>
        </w:trPr>
        <w:tc>
          <w:tcPr>
            <w:tcW w:w="1119" w:type="dxa"/>
            <w:tcBorders>
              <w:bottom w:val="single" w:sz="12" w:space="0" w:color="FFFFFF"/>
            </w:tcBorders>
            <w:shd w:val="solid" w:color="FFFFFF" w:fill="FFFFFF"/>
          </w:tcPr>
          <w:p w14:paraId="5DA73BD6" w14:textId="77777777" w:rsidR="00D3087F" w:rsidRPr="00CD040B" w:rsidRDefault="00D3087F" w:rsidP="00E775EE">
            <w:pPr>
              <w:pStyle w:val="TblText"/>
            </w:pPr>
            <w:r w:rsidRPr="00CD040B">
              <w:t>1</w:t>
            </w:r>
          </w:p>
        </w:tc>
        <w:tc>
          <w:tcPr>
            <w:tcW w:w="3969" w:type="dxa"/>
            <w:tcBorders>
              <w:bottom w:val="single" w:sz="12" w:space="0" w:color="FFFFFF"/>
            </w:tcBorders>
            <w:shd w:val="solid" w:color="FFFFFF" w:fill="FFFFFF"/>
          </w:tcPr>
          <w:p w14:paraId="73AF72B5" w14:textId="77777777" w:rsidR="00D3087F" w:rsidRPr="00CD040B" w:rsidRDefault="00D3087F" w:rsidP="00E775EE">
            <w:pPr>
              <w:pStyle w:val="TblText"/>
            </w:pPr>
            <w:r w:rsidRPr="00407E2C">
              <w:t>Project Planning &amp; Governance</w:t>
            </w:r>
          </w:p>
        </w:tc>
        <w:tc>
          <w:tcPr>
            <w:tcW w:w="4678" w:type="dxa"/>
            <w:tcBorders>
              <w:bottom w:val="single" w:sz="12" w:space="0" w:color="FFFFFF"/>
            </w:tcBorders>
            <w:shd w:val="solid" w:color="FFFFFF" w:fill="FFFFFF"/>
          </w:tcPr>
          <w:p w14:paraId="2CD06E29" w14:textId="74CAA0AA" w:rsidR="00D3087F" w:rsidRPr="00CD040B" w:rsidRDefault="00D3087F" w:rsidP="00E775EE">
            <w:pPr>
              <w:pStyle w:val="TblText"/>
            </w:pPr>
            <w:r>
              <w:t>December 2025</w:t>
            </w:r>
            <w:r w:rsidR="004C5148">
              <w:t xml:space="preserve"> – January 2026</w:t>
            </w:r>
          </w:p>
        </w:tc>
      </w:tr>
      <w:tr w:rsidR="00D3087F" w:rsidRPr="0020297B" w14:paraId="51667F08" w14:textId="77777777" w:rsidTr="004C5148">
        <w:trPr>
          <w:cantSplit/>
        </w:trPr>
        <w:tc>
          <w:tcPr>
            <w:tcW w:w="1119" w:type="dxa"/>
            <w:tcBorders>
              <w:bottom w:val="single" w:sz="12" w:space="0" w:color="FFFFFF"/>
            </w:tcBorders>
            <w:shd w:val="solid" w:color="E4E7F5" w:themeColor="text2" w:themeTint="19" w:fill="E4E7F5" w:themeFill="text2" w:themeFillTint="19"/>
          </w:tcPr>
          <w:p w14:paraId="0B5E1A2A" w14:textId="77777777" w:rsidR="00D3087F" w:rsidRPr="00CD040B" w:rsidRDefault="00D3087F" w:rsidP="00E775EE">
            <w:pPr>
              <w:pStyle w:val="TblText"/>
            </w:pPr>
            <w:r w:rsidRPr="00CD040B">
              <w:t>2</w:t>
            </w:r>
          </w:p>
        </w:tc>
        <w:tc>
          <w:tcPr>
            <w:tcW w:w="3969" w:type="dxa"/>
            <w:tcBorders>
              <w:bottom w:val="single" w:sz="12" w:space="0" w:color="FFFFFF"/>
            </w:tcBorders>
            <w:shd w:val="solid" w:color="E4E7F5" w:themeColor="text2" w:themeTint="19" w:fill="E4E7F5" w:themeFill="text2" w:themeFillTint="19"/>
          </w:tcPr>
          <w:p w14:paraId="341E64D2" w14:textId="77777777" w:rsidR="00D3087F" w:rsidRPr="00CD040B" w:rsidRDefault="00D3087F" w:rsidP="00E775EE">
            <w:pPr>
              <w:pStyle w:val="TblText"/>
            </w:pPr>
            <w:r w:rsidRPr="00407E2C">
              <w:t>Evidence Frameworks</w:t>
            </w:r>
          </w:p>
        </w:tc>
        <w:tc>
          <w:tcPr>
            <w:tcW w:w="4678" w:type="dxa"/>
            <w:tcBorders>
              <w:bottom w:val="single" w:sz="12" w:space="0" w:color="FFFFFF"/>
            </w:tcBorders>
            <w:shd w:val="solid" w:color="E4E7F5" w:themeColor="text2" w:themeTint="19" w:fill="E4E7F5" w:themeFill="text2" w:themeFillTint="19"/>
          </w:tcPr>
          <w:p w14:paraId="0D0EA289" w14:textId="1B054267" w:rsidR="00D3087F" w:rsidRPr="00CD040B" w:rsidRDefault="004C5148" w:rsidP="00E775EE">
            <w:pPr>
              <w:pStyle w:val="TblText"/>
            </w:pPr>
            <w:r>
              <w:t>December 2025 – January 2026</w:t>
            </w:r>
          </w:p>
        </w:tc>
      </w:tr>
      <w:tr w:rsidR="00D3087F" w:rsidRPr="0020297B" w14:paraId="37F790E1" w14:textId="77777777" w:rsidTr="004C5148">
        <w:trPr>
          <w:cantSplit/>
        </w:trPr>
        <w:tc>
          <w:tcPr>
            <w:tcW w:w="1119" w:type="dxa"/>
            <w:tcBorders>
              <w:bottom w:val="single" w:sz="12" w:space="0" w:color="FFFFFF"/>
            </w:tcBorders>
          </w:tcPr>
          <w:p w14:paraId="64243883" w14:textId="77777777" w:rsidR="00D3087F" w:rsidRPr="00CD040B" w:rsidRDefault="00D3087F" w:rsidP="00E775EE">
            <w:pPr>
              <w:pStyle w:val="TblText"/>
            </w:pPr>
            <w:r w:rsidRPr="00CD040B">
              <w:t>3</w:t>
            </w:r>
          </w:p>
        </w:tc>
        <w:tc>
          <w:tcPr>
            <w:tcW w:w="3969" w:type="dxa"/>
            <w:tcBorders>
              <w:bottom w:val="single" w:sz="12" w:space="0" w:color="FFFFFF"/>
            </w:tcBorders>
          </w:tcPr>
          <w:p w14:paraId="5C98D4ED" w14:textId="77777777" w:rsidR="00D3087F" w:rsidRPr="00CD040B" w:rsidRDefault="00D3087F" w:rsidP="00E775EE">
            <w:pPr>
              <w:pStyle w:val="TblText"/>
            </w:pPr>
            <w:r w:rsidRPr="00407E2C">
              <w:t>Analytical Support</w:t>
            </w:r>
          </w:p>
        </w:tc>
        <w:tc>
          <w:tcPr>
            <w:tcW w:w="4678" w:type="dxa"/>
            <w:tcBorders>
              <w:bottom w:val="single" w:sz="12" w:space="0" w:color="FFFFFF"/>
            </w:tcBorders>
          </w:tcPr>
          <w:p w14:paraId="6E2D720B" w14:textId="1DBCA714" w:rsidR="00D3087F" w:rsidRPr="00CD040B" w:rsidRDefault="004C5148" w:rsidP="00E775EE">
            <w:pPr>
              <w:pStyle w:val="TblText"/>
            </w:pPr>
            <w:r>
              <w:t>January 2026 – May 2026</w:t>
            </w:r>
          </w:p>
        </w:tc>
      </w:tr>
      <w:tr w:rsidR="00D3087F" w:rsidRPr="0020297B" w14:paraId="1F72C378" w14:textId="77777777" w:rsidTr="004C5148">
        <w:trPr>
          <w:cantSplit/>
        </w:trPr>
        <w:tc>
          <w:tcPr>
            <w:tcW w:w="1119" w:type="dxa"/>
            <w:tcBorders>
              <w:bottom w:val="single" w:sz="12" w:space="0" w:color="FFFFFF"/>
            </w:tcBorders>
            <w:shd w:val="solid" w:color="E4E7F5" w:themeColor="text2" w:themeTint="19" w:fill="E4E7F5" w:themeFill="text2" w:themeFillTint="19"/>
          </w:tcPr>
          <w:p w14:paraId="2F7DE0C1" w14:textId="77777777" w:rsidR="00D3087F" w:rsidRPr="00CD040B" w:rsidRDefault="00D3087F" w:rsidP="00E775EE">
            <w:pPr>
              <w:pStyle w:val="TblText"/>
            </w:pPr>
            <w:r w:rsidRPr="00CD040B">
              <w:t>4</w:t>
            </w:r>
          </w:p>
        </w:tc>
        <w:tc>
          <w:tcPr>
            <w:tcW w:w="3969" w:type="dxa"/>
            <w:tcBorders>
              <w:bottom w:val="single" w:sz="12" w:space="0" w:color="FFFFFF"/>
            </w:tcBorders>
            <w:shd w:val="solid" w:color="E4E7F5" w:themeColor="text2" w:themeTint="19" w:fill="E4E7F5" w:themeFill="text2" w:themeFillTint="19"/>
          </w:tcPr>
          <w:p w14:paraId="0B241DDD" w14:textId="77777777" w:rsidR="00D3087F" w:rsidRPr="00CD040B" w:rsidRDefault="00D3087F" w:rsidP="00E775EE">
            <w:pPr>
              <w:pStyle w:val="TblText"/>
            </w:pPr>
            <w:r w:rsidRPr="00407E2C">
              <w:t>Stakeholder Engagement</w:t>
            </w:r>
          </w:p>
        </w:tc>
        <w:tc>
          <w:tcPr>
            <w:tcW w:w="4678" w:type="dxa"/>
            <w:tcBorders>
              <w:bottom w:val="single" w:sz="12" w:space="0" w:color="FFFFFF"/>
            </w:tcBorders>
            <w:shd w:val="solid" w:color="E4E7F5" w:themeColor="text2" w:themeTint="19" w:fill="E4E7F5" w:themeFill="text2" w:themeFillTint="19"/>
          </w:tcPr>
          <w:p w14:paraId="039A6149" w14:textId="1AA4FDA9" w:rsidR="00D3087F" w:rsidRPr="00CD040B" w:rsidRDefault="004C5148" w:rsidP="00E775EE">
            <w:pPr>
              <w:pStyle w:val="TblText"/>
            </w:pPr>
            <w:r>
              <w:t>January 2026</w:t>
            </w:r>
          </w:p>
        </w:tc>
      </w:tr>
      <w:tr w:rsidR="00D3087F" w:rsidRPr="0020297B" w14:paraId="66727095" w14:textId="77777777" w:rsidTr="004C5148">
        <w:trPr>
          <w:cantSplit/>
        </w:trPr>
        <w:tc>
          <w:tcPr>
            <w:tcW w:w="1119" w:type="dxa"/>
            <w:tcBorders>
              <w:bottom w:val="single" w:sz="12" w:space="0" w:color="FFFFFF"/>
            </w:tcBorders>
          </w:tcPr>
          <w:p w14:paraId="10C19B0D" w14:textId="77777777" w:rsidR="00D3087F" w:rsidRPr="00CD040B" w:rsidRDefault="00D3087F" w:rsidP="00E775EE">
            <w:pPr>
              <w:pStyle w:val="TblText"/>
            </w:pPr>
            <w:r w:rsidRPr="00CD040B">
              <w:t>5</w:t>
            </w:r>
          </w:p>
        </w:tc>
        <w:tc>
          <w:tcPr>
            <w:tcW w:w="3969" w:type="dxa"/>
            <w:tcBorders>
              <w:bottom w:val="single" w:sz="12" w:space="0" w:color="FFFFFF"/>
            </w:tcBorders>
          </w:tcPr>
          <w:p w14:paraId="6E660DFF" w14:textId="77777777" w:rsidR="00D3087F" w:rsidRPr="00CD040B" w:rsidRDefault="00D3087F" w:rsidP="00E775EE">
            <w:pPr>
              <w:pStyle w:val="TblText"/>
            </w:pPr>
            <w:r w:rsidRPr="00407E2C">
              <w:t>Rail Reform Analysis</w:t>
            </w:r>
          </w:p>
        </w:tc>
        <w:tc>
          <w:tcPr>
            <w:tcW w:w="4678" w:type="dxa"/>
            <w:tcBorders>
              <w:bottom w:val="single" w:sz="12" w:space="0" w:color="FFFFFF"/>
            </w:tcBorders>
          </w:tcPr>
          <w:p w14:paraId="5C33EC64" w14:textId="3656069F" w:rsidR="00D3087F" w:rsidRPr="00CD040B" w:rsidRDefault="004C5148" w:rsidP="00E775EE">
            <w:pPr>
              <w:pStyle w:val="TblText"/>
            </w:pPr>
            <w:r>
              <w:t>January 2026 – May 2026</w:t>
            </w:r>
          </w:p>
        </w:tc>
      </w:tr>
      <w:tr w:rsidR="00D3087F" w:rsidRPr="0020297B" w14:paraId="49F9E0BC" w14:textId="77777777" w:rsidTr="004C5148">
        <w:trPr>
          <w:cantSplit/>
        </w:trPr>
        <w:tc>
          <w:tcPr>
            <w:tcW w:w="1119" w:type="dxa"/>
            <w:tcBorders>
              <w:bottom w:val="single" w:sz="12" w:space="0" w:color="FFFFFF"/>
            </w:tcBorders>
            <w:shd w:val="solid" w:color="E4E7F5" w:themeColor="text2" w:themeTint="19" w:fill="E4E7F5" w:themeFill="text2" w:themeFillTint="19"/>
          </w:tcPr>
          <w:p w14:paraId="4F55E35D" w14:textId="77777777" w:rsidR="00D3087F" w:rsidRPr="00CD040B" w:rsidRDefault="00D3087F" w:rsidP="00E775EE">
            <w:pPr>
              <w:pStyle w:val="TblText"/>
            </w:pPr>
            <w:r w:rsidRPr="00CD040B">
              <w:t>6</w:t>
            </w:r>
          </w:p>
        </w:tc>
        <w:tc>
          <w:tcPr>
            <w:tcW w:w="3969" w:type="dxa"/>
            <w:tcBorders>
              <w:bottom w:val="single" w:sz="12" w:space="0" w:color="FFFFFF"/>
            </w:tcBorders>
            <w:shd w:val="solid" w:color="E4E7F5" w:themeColor="text2" w:themeTint="19" w:fill="E4E7F5" w:themeFill="text2" w:themeFillTint="19"/>
          </w:tcPr>
          <w:p w14:paraId="2D003B75" w14:textId="77777777" w:rsidR="00D3087F" w:rsidRPr="00CD040B" w:rsidRDefault="00D3087F" w:rsidP="00E775EE">
            <w:pPr>
              <w:pStyle w:val="TblText"/>
            </w:pPr>
            <w:r w:rsidRPr="00407E2C">
              <w:t>Reporting &amp; Knowledge Transfer</w:t>
            </w:r>
          </w:p>
        </w:tc>
        <w:tc>
          <w:tcPr>
            <w:tcW w:w="4678" w:type="dxa"/>
            <w:tcBorders>
              <w:bottom w:val="single" w:sz="12" w:space="0" w:color="FFFFFF"/>
            </w:tcBorders>
            <w:shd w:val="solid" w:color="E4E7F5" w:themeColor="text2" w:themeTint="19" w:fill="E4E7F5" w:themeFill="text2" w:themeFillTint="19"/>
          </w:tcPr>
          <w:p w14:paraId="7CF5B4B8" w14:textId="62692F71" w:rsidR="00D3087F" w:rsidRPr="00CD040B" w:rsidRDefault="004C5148" w:rsidP="00E775EE">
            <w:pPr>
              <w:pStyle w:val="TblText"/>
            </w:pPr>
            <w:r>
              <w:t>December 2025 – May 2026</w:t>
            </w:r>
          </w:p>
        </w:tc>
      </w:tr>
    </w:tbl>
    <w:p w14:paraId="76E3EE61" w14:textId="420F91D1" w:rsidR="00AF7AF9" w:rsidRDefault="00AF7AF9" w:rsidP="00AF7AF9">
      <w:pPr>
        <w:pStyle w:val="Heading3"/>
      </w:pPr>
      <w:bookmarkStart w:id="14" w:name="_Toc111551923"/>
      <w:r>
        <w:t>2.5 Budget and Payment Schedule</w:t>
      </w:r>
      <w:bookmarkEnd w:id="14"/>
    </w:p>
    <w:p w14:paraId="7D86A410" w14:textId="0EF435EA" w:rsidR="00D401C8" w:rsidRDefault="00D401C8" w:rsidP="00D401C8">
      <w:r>
        <w:t>The maximum budget for this piece of work is £</w:t>
      </w:r>
      <w:r w:rsidR="00167477">
        <w:t>7</w:t>
      </w:r>
      <w:r w:rsidR="003B04AD">
        <w:t>0,000</w:t>
      </w:r>
      <w:r>
        <w:t xml:space="preserve"> (inc. of expenses, exc. of VAT).</w:t>
      </w:r>
    </w:p>
    <w:p w14:paraId="761CC2BB" w14:textId="5170A724" w:rsidR="005E2B20" w:rsidRDefault="005E2B20" w:rsidP="00D401C8">
      <w:r w:rsidRPr="005E2B20">
        <w:t>Payment Schedule</w:t>
      </w:r>
      <w:r>
        <w:t xml:space="preserve"> to be agreed at contract award.</w:t>
      </w:r>
    </w:p>
    <w:p w14:paraId="3BB5AE4A" w14:textId="1E776C7A" w:rsidR="00AF7AF9" w:rsidRDefault="00AF7AF9" w:rsidP="00AF7AF9">
      <w:pPr>
        <w:pStyle w:val="Heading3"/>
      </w:pPr>
      <w:bookmarkStart w:id="15" w:name="_Toc111551924"/>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lastRenderedPageBreak/>
        <w:t>Confidentiality</w:t>
      </w:r>
    </w:p>
    <w:p w14:paraId="1AACCFD5" w14:textId="4BD2F7CE" w:rsidR="00C26E3E" w:rsidRPr="00FA03A2"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237BF5A2" w14:textId="77777777" w:rsidR="00AD2D33" w:rsidRPr="00AD2D33" w:rsidRDefault="00AD2D33" w:rsidP="00AD2D33"/>
    <w:p w14:paraId="241CE60C" w14:textId="77777777" w:rsidR="00AD2D33" w:rsidRPr="00AD2D33" w:rsidRDefault="00AD2D33" w:rsidP="00AD2D33"/>
    <w:p w14:paraId="61C0D14A" w14:textId="77777777" w:rsidR="00AD2D33" w:rsidRPr="00AD2D33" w:rsidRDefault="00AD2D33" w:rsidP="00AD2D33"/>
    <w:p w14:paraId="0E7BA239" w14:textId="77777777" w:rsidR="00AD2D33" w:rsidRPr="00AD2D33" w:rsidRDefault="00AD2D33" w:rsidP="00AD2D33"/>
    <w:p w14:paraId="1B2A6614" w14:textId="77777777" w:rsidR="00AD2D33" w:rsidRPr="00AD2D33" w:rsidRDefault="00AD2D33" w:rsidP="00AD2D33"/>
    <w:p w14:paraId="0214715A" w14:textId="77777777" w:rsidR="00AD2D33" w:rsidRPr="00AD2D33" w:rsidRDefault="00AD2D33" w:rsidP="00AD2D33"/>
    <w:p w14:paraId="5ECED70E" w14:textId="77777777" w:rsidR="00AD2D33" w:rsidRDefault="00AD2D33" w:rsidP="00AD2D33"/>
    <w:p w14:paraId="370D9EDD" w14:textId="09B647C2" w:rsidR="00AD2D33" w:rsidRPr="00AD2D33" w:rsidRDefault="00AD2D33" w:rsidP="00AD2D33">
      <w:pPr>
        <w:tabs>
          <w:tab w:val="left" w:pos="6972"/>
        </w:tabs>
      </w:pPr>
      <w:r>
        <w:tab/>
      </w:r>
    </w:p>
    <w:p w14:paraId="62F0CBBD" w14:textId="688FB854" w:rsidR="00C26E3E" w:rsidRDefault="001768F1">
      <w:pPr>
        <w:pStyle w:val="Heading2"/>
      </w:pPr>
      <w:bookmarkStart w:id="16" w:name="_Toc111551925"/>
      <w:r>
        <w:lastRenderedPageBreak/>
        <w:t>Tender Response and Evaluation Criteria</w:t>
      </w:r>
      <w:bookmarkEnd w:id="16"/>
    </w:p>
    <w:p w14:paraId="6C9F4B20" w14:textId="5CFF035D" w:rsidR="001768F1" w:rsidRDefault="001768F1" w:rsidP="001768F1">
      <w:pPr>
        <w:pStyle w:val="Heading3"/>
      </w:pPr>
      <w:bookmarkStart w:id="17" w:name="_Toc111551926"/>
      <w:r>
        <w:t>3.1 The Tender Response</w:t>
      </w:r>
      <w:bookmarkEnd w:id="17"/>
    </w:p>
    <w:p w14:paraId="33A2C61B" w14:textId="244EACB2" w:rsidR="001768F1" w:rsidRDefault="001768F1" w:rsidP="001768F1">
      <w:r>
        <w:t>The proposals for this project should include an outline of how bidders will meet the requirement outlined in section (ii) “Statement of Requirement”. The following information should be included</w:t>
      </w:r>
      <w:r w:rsidR="00600E38">
        <w:t>:</w:t>
      </w:r>
      <w:r>
        <w:t xml:space="preserve"> </w:t>
      </w:r>
    </w:p>
    <w:p w14:paraId="0696CABC" w14:textId="13E563FF" w:rsidR="001768F1" w:rsidRPr="001E7C87" w:rsidRDefault="001768F1">
      <w:pPr>
        <w:pStyle w:val="NormalBulletalpha"/>
        <w:numPr>
          <w:ilvl w:val="1"/>
          <w:numId w:val="16"/>
        </w:numPr>
        <w:rPr>
          <w:b/>
          <w:bCs/>
        </w:rPr>
      </w:pPr>
      <w:r w:rsidRPr="001E7C87">
        <w:rPr>
          <w:b/>
          <w:bCs/>
        </w:rPr>
        <w:t xml:space="preserve">Understanding of customer's requirements </w:t>
      </w:r>
    </w:p>
    <w:p w14:paraId="40A10F39" w14:textId="2F05A8F7" w:rsidR="001768F1" w:rsidRDefault="001768F1">
      <w:pPr>
        <w:pStyle w:val="NormalBullet-"/>
      </w:pPr>
      <w:r>
        <w:t xml:space="preserve">Demonstrate an understanding of the requirement and overall aims of the </w:t>
      </w:r>
      <w:r w:rsidR="00DB5354">
        <w:t>assignment</w:t>
      </w:r>
      <w:r>
        <w:t xml:space="preserve">. </w:t>
      </w:r>
    </w:p>
    <w:p w14:paraId="739AC64F" w14:textId="220C8536" w:rsidR="001768F1" w:rsidRPr="001E7C87" w:rsidRDefault="001768F1">
      <w:pPr>
        <w:pStyle w:val="NormalBulletalpha"/>
        <w:rPr>
          <w:b/>
          <w:bCs/>
        </w:rPr>
      </w:pPr>
      <w:r w:rsidRPr="001E7C87">
        <w:rPr>
          <w:b/>
          <w:bCs/>
        </w:rPr>
        <w:t>Approach to customer's requirements</w:t>
      </w:r>
    </w:p>
    <w:p w14:paraId="631D4126" w14:textId="6CF56E75" w:rsidR="001768F1" w:rsidRDefault="001768F1">
      <w:pPr>
        <w:pStyle w:val="NormalBullet-"/>
      </w:pPr>
      <w:r>
        <w:t xml:space="preserve">Provide an explanation of the proposed approach and any methodologies </w:t>
      </w:r>
      <w:r w:rsidR="00206817">
        <w:t>you</w:t>
      </w:r>
      <w:r>
        <w:t xml:space="preserve"> will </w:t>
      </w:r>
      <w:proofErr w:type="gramStart"/>
      <w:r w:rsidR="00206817">
        <w:t>use</w:t>
      </w:r>
      <w:r>
        <w:t>;</w:t>
      </w:r>
      <w:proofErr w:type="gramEnd"/>
    </w:p>
    <w:p w14:paraId="1F4787C6" w14:textId="072FE63F" w:rsidR="001768F1" w:rsidRDefault="001768F1">
      <w:pPr>
        <w:pStyle w:val="NormalBullet-"/>
      </w:pPr>
      <w:r>
        <w:t xml:space="preserve">Details of your assumptions and/or constraints/dependencies made in relation to the </w:t>
      </w:r>
      <w:proofErr w:type="gramStart"/>
      <w:r w:rsidR="00DB5354">
        <w:t>assignment</w:t>
      </w:r>
      <w:r w:rsidR="00206817">
        <w:t>;</w:t>
      </w:r>
      <w:proofErr w:type="gramEnd"/>
      <w:r>
        <w:t xml:space="preserve"> </w:t>
      </w:r>
    </w:p>
    <w:p w14:paraId="7A15F24F" w14:textId="0452F1F4" w:rsidR="00B44AB9" w:rsidRPr="009C085A" w:rsidRDefault="00B44AB9">
      <w:pPr>
        <w:pStyle w:val="NormalBullet-"/>
      </w:pPr>
      <w:r w:rsidRPr="009C085A">
        <w:t xml:space="preserve">A description </w:t>
      </w:r>
      <w:r w:rsidR="009462E2" w:rsidRPr="009C085A">
        <w:t xml:space="preserve">of the proposed approach to planning and managing delivery, including how outputs </w:t>
      </w:r>
      <w:r w:rsidR="00E751C4" w:rsidRPr="009C085A">
        <w:t xml:space="preserve">will be achieved </w:t>
      </w:r>
      <w:r w:rsidR="004A4BFA" w:rsidRPr="009C085A">
        <w:t xml:space="preserve">and how time / resource will be managed to ensure successful </w:t>
      </w:r>
      <w:proofErr w:type="gramStart"/>
      <w:r w:rsidR="004A4BFA" w:rsidRPr="009C085A">
        <w:t>delivery;</w:t>
      </w:r>
      <w:proofErr w:type="gramEnd"/>
    </w:p>
    <w:p w14:paraId="10DC7C63" w14:textId="120C39E6" w:rsidR="001768F1" w:rsidRDefault="001768F1">
      <w:pPr>
        <w:pStyle w:val="NormalBullet-"/>
      </w:pPr>
      <w:r>
        <w:t xml:space="preserve">An understanding of the risks, and explain how they would be mitigated to ensure </w:t>
      </w:r>
      <w:proofErr w:type="gramStart"/>
      <w:r>
        <w:t>delivery</w:t>
      </w:r>
      <w:r w:rsidR="00BC6FE3">
        <w:t>;</w:t>
      </w:r>
      <w:proofErr w:type="gramEnd"/>
    </w:p>
    <w:p w14:paraId="759CAB3E" w14:textId="4348C6D1" w:rsidR="001768F1" w:rsidRPr="008E5039" w:rsidRDefault="00621979">
      <w:pPr>
        <w:pStyle w:val="NormalBullet-"/>
        <w:rPr>
          <w:b/>
          <w:bCs/>
          <w:color w:val="B1173B"/>
        </w:rPr>
      </w:pPr>
      <w:r w:rsidRPr="008E5039">
        <w:t>Details of</w:t>
      </w:r>
      <w:r w:rsidR="001768F1" w:rsidRPr="008E5039">
        <w:t xml:space="preserve"> </w:t>
      </w:r>
      <w:r w:rsidRPr="008E5039">
        <w:t xml:space="preserve">your approach to our </w:t>
      </w:r>
      <w:r w:rsidR="001768F1" w:rsidRPr="008E5039">
        <w:t xml:space="preserve">security requirements </w:t>
      </w:r>
      <w:r w:rsidRPr="008E5039">
        <w:t xml:space="preserve">as </w:t>
      </w:r>
      <w:r w:rsidR="001768F1" w:rsidRPr="008E5039">
        <w:t>outlined in the S</w:t>
      </w:r>
      <w:r w:rsidR="00BC6FE3">
        <w:t>tatement of requirements; and</w:t>
      </w:r>
      <w:r w:rsidR="008E5039" w:rsidRPr="008E5039">
        <w:t xml:space="preserve"> </w:t>
      </w:r>
    </w:p>
    <w:p w14:paraId="16625C17" w14:textId="458CDC1F" w:rsidR="001768F1" w:rsidRDefault="001768F1">
      <w:pPr>
        <w:pStyle w:val="NormalBullet-"/>
      </w:pPr>
      <w:r>
        <w:t xml:space="preserve">What support bidders will require from </w:t>
      </w:r>
      <w:proofErr w:type="gramStart"/>
      <w:r>
        <w:t>ORR;</w:t>
      </w:r>
      <w:proofErr w:type="gramEnd"/>
      <w:r>
        <w:t xml:space="preserve"> </w:t>
      </w:r>
    </w:p>
    <w:p w14:paraId="5673ADDA" w14:textId="7390B0D3" w:rsidR="001768F1" w:rsidRPr="001E7C87" w:rsidRDefault="001768F1">
      <w:pPr>
        <w:pStyle w:val="NormalBulletalpha"/>
        <w:rPr>
          <w:b/>
          <w:bCs/>
        </w:rPr>
      </w:pPr>
      <w:r w:rsidRPr="001E7C87">
        <w:rPr>
          <w:b/>
          <w:bCs/>
        </w:rPr>
        <w:t xml:space="preserve">Proposed </w:t>
      </w:r>
      <w:r w:rsidR="00D31800">
        <w:rPr>
          <w:b/>
          <w:bCs/>
        </w:rPr>
        <w:t>resourcing</w:t>
      </w:r>
    </w:p>
    <w:p w14:paraId="5069A898" w14:textId="5AE317AE" w:rsidR="001768F1" w:rsidRDefault="001768F1">
      <w:pPr>
        <w:pStyle w:val="NormalBullet-"/>
      </w:pPr>
      <w:r>
        <w:t xml:space="preserve">Key personnel including details of how their key skills, experience and qualifications align to the delivery of the </w:t>
      </w:r>
      <w:proofErr w:type="gramStart"/>
      <w:r>
        <w:t>project;</w:t>
      </w:r>
      <w:proofErr w:type="gramEnd"/>
    </w:p>
    <w:p w14:paraId="3E9E2235" w14:textId="55104B6C" w:rsidR="001768F1" w:rsidRDefault="001768F1">
      <w:pPr>
        <w:pStyle w:val="NormalBullet-"/>
      </w:pPr>
      <w:r>
        <w:t xml:space="preserve">Project roles and </w:t>
      </w:r>
      <w:proofErr w:type="gramStart"/>
      <w:r>
        <w:t>responsibilities</w:t>
      </w:r>
      <w:r w:rsidR="002B41C6">
        <w:t>;</w:t>
      </w:r>
      <w:proofErr w:type="gramEnd"/>
      <w:r>
        <w:t xml:space="preserve"> </w:t>
      </w:r>
    </w:p>
    <w:p w14:paraId="4BD28B95" w14:textId="6EB4CB9C" w:rsidR="001768F1" w:rsidRDefault="001768F1">
      <w:pPr>
        <w:pStyle w:val="NormalBullet-"/>
      </w:pPr>
      <w:r>
        <w:lastRenderedPageBreak/>
        <w:t>Confirmation that you have carried out the necessary employment checks (e.g. right to work in the UK)</w:t>
      </w:r>
      <w:r w:rsidR="002B41C6">
        <w:t>; and</w:t>
      </w:r>
    </w:p>
    <w:p w14:paraId="5F3C04C1" w14:textId="28F408DF" w:rsidR="001768F1" w:rsidRDefault="001768F1">
      <w:pPr>
        <w:pStyle w:val="NormalBullet-"/>
      </w:pPr>
      <w:r>
        <w:t>Some relevant examples of previous work that bidders have carried out (e</w:t>
      </w:r>
      <w:r w:rsidR="00BC6FE3">
        <w:t>.</w:t>
      </w:r>
      <w:r>
        <w:t xml:space="preserve">g. case studies) </w:t>
      </w:r>
      <w:r w:rsidR="00206817">
        <w:t xml:space="preserve">and </w:t>
      </w:r>
      <w:r w:rsidR="00206817" w:rsidRPr="00206817">
        <w:t>d</w:t>
      </w:r>
      <w:r>
        <w:t>etails of at least two relevant reference projects along with contact details of clients</w:t>
      </w:r>
      <w:r w:rsidR="002B41C6">
        <w:t>.</w:t>
      </w:r>
    </w:p>
    <w:p w14:paraId="1C8F4186" w14:textId="6CC05A44" w:rsidR="001768F1" w:rsidRPr="001E7C87" w:rsidRDefault="001768F1">
      <w:pPr>
        <w:pStyle w:val="NormalBulletalpha"/>
        <w:rPr>
          <w:b/>
          <w:bCs/>
        </w:rPr>
      </w:pPr>
      <w:r w:rsidRPr="001E7C87">
        <w:rPr>
          <w:b/>
          <w:bCs/>
        </w:rPr>
        <w:t>Pricing</w:t>
      </w:r>
    </w:p>
    <w:p w14:paraId="02E5F86A" w14:textId="0F9A7A68" w:rsidR="001768F1" w:rsidRDefault="001768F1" w:rsidP="001768F1">
      <w:r>
        <w:t xml:space="preserve">A fixed fee for the </w:t>
      </w:r>
      <w:r w:rsidR="00D31800">
        <w:t>engagement</w:t>
      </w:r>
      <w:r>
        <w:t xml:space="preserve">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11551927"/>
      <w:r>
        <w:t>3.2 Evaluation Criteria</w:t>
      </w:r>
      <w:bookmarkEnd w:id="18"/>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pPr>
        <w:pStyle w:val="NormalBulletround"/>
      </w:pPr>
      <w:r>
        <w:t>Completeness of the tender information</w:t>
      </w:r>
    </w:p>
    <w:p w14:paraId="11689649" w14:textId="50622408" w:rsidR="005C29ED" w:rsidRDefault="005C29ED">
      <w:pPr>
        <w:pStyle w:val="NormalBulletround"/>
      </w:pPr>
      <w:r>
        <w:t>Completed Declaration Form of Tender and Disclaimer</w:t>
      </w:r>
    </w:p>
    <w:p w14:paraId="745A254A" w14:textId="600D3905" w:rsidR="005C29ED" w:rsidRDefault="005C29ED">
      <w:pPr>
        <w:pStyle w:val="NormalBulletround"/>
      </w:pPr>
      <w:r>
        <w:t>Tender submitted in accordance with the conditions and instructions for tendering</w:t>
      </w:r>
    </w:p>
    <w:p w14:paraId="41557F9E" w14:textId="76516727" w:rsidR="005C29ED" w:rsidRDefault="005C29ED">
      <w:pPr>
        <w:pStyle w:val="NormalBulletround"/>
      </w:pPr>
      <w:r>
        <w:t>Tender submitted by the closing date and time</w:t>
      </w:r>
    </w:p>
    <w:p w14:paraId="080DB46E" w14:textId="1F325002" w:rsidR="005C29ED" w:rsidRDefault="005C29ED">
      <w:pPr>
        <w:pStyle w:val="NormalBulletround"/>
      </w:pPr>
      <w:r>
        <w:t>Compliance with contractual arrangements</w:t>
      </w:r>
    </w:p>
    <w:p w14:paraId="7BE3F130" w14:textId="036910E3" w:rsidR="001F4F0C" w:rsidRPr="00ED4D75" w:rsidRDefault="00621979">
      <w:pPr>
        <w:pStyle w:val="NormalBulletround"/>
        <w:rPr>
          <w:b/>
          <w:color w:val="FF0000"/>
        </w:rPr>
      </w:pPr>
      <w:bookmarkStart w:id="19" w:name="_Hlk174010684"/>
      <w:r w:rsidRPr="00ED4D75">
        <w:t>Submission</w:t>
      </w:r>
      <w:r w:rsidR="001F4F0C" w:rsidRPr="00ED4D75">
        <w:t xml:space="preserve"> </w:t>
      </w:r>
      <w:r w:rsidRPr="00ED4D75">
        <w:t xml:space="preserve">of </w:t>
      </w:r>
      <w:r w:rsidR="001F4F0C" w:rsidRPr="00ED4D75">
        <w:t>Cyber Essentials, Cyber Essentials Plus or ISO27000 certification (or equivalent)</w:t>
      </w:r>
      <w:r w:rsidR="007E5192" w:rsidRPr="00ED4D75">
        <w:t xml:space="preserve"> to demonstrate compliance with cyber security standards.</w:t>
      </w:r>
    </w:p>
    <w:bookmarkEnd w:id="19"/>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w:t>
      </w:r>
      <w:r>
        <w:lastRenderedPageBreak/>
        <w:t xml:space="preserve">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3F90A5F8" w14:textId="21A250DE" w:rsidR="00327F77" w:rsidRPr="00327F77" w:rsidRDefault="00327F77" w:rsidP="00327F77">
      <w:pPr>
        <w:keepNext/>
        <w:keepLines/>
        <w:spacing w:before="120" w:after="120" w:line="240" w:lineRule="auto"/>
        <w:outlineLvl w:val="3"/>
        <w:rPr>
          <w:rFonts w:eastAsia="DengXian Light" w:cs="Times New Roman"/>
          <w:b/>
          <w:iCs/>
          <w:color w:val="253268" w:themeColor="text2"/>
          <w:sz w:val="28"/>
        </w:rPr>
      </w:pPr>
      <w:r w:rsidRPr="00327F77">
        <w:rPr>
          <w:rFonts w:eastAsia="DengXian Light" w:cs="Times New Roman"/>
          <w:b/>
          <w:iCs/>
          <w:color w:val="253268" w:themeColor="text2"/>
          <w:sz w:val="28"/>
        </w:rPr>
        <w:t xml:space="preserve">Methodology </w:t>
      </w:r>
      <w:r w:rsidRPr="00832ADA">
        <w:rPr>
          <w:rFonts w:eastAsia="DengXian Light" w:cs="Times New Roman"/>
          <w:b/>
          <w:color w:val="253268" w:themeColor="text2"/>
          <w:sz w:val="28"/>
        </w:rPr>
        <w:t>(</w:t>
      </w:r>
      <w:r w:rsidR="00885AFD" w:rsidRPr="00832ADA">
        <w:rPr>
          <w:rFonts w:eastAsia="DengXian Light" w:cs="Times New Roman"/>
          <w:b/>
          <w:iCs/>
          <w:color w:val="253268" w:themeColor="text2"/>
          <w:sz w:val="28"/>
        </w:rPr>
        <w:t>20</w:t>
      </w:r>
      <w:r w:rsidRPr="00832ADA">
        <w:rPr>
          <w:rFonts w:eastAsia="DengXian Light" w:cs="Times New Roman"/>
          <w:b/>
          <w:color w:val="253268" w:themeColor="text2"/>
          <w:sz w:val="28"/>
        </w:rPr>
        <w:t>%)</w:t>
      </w:r>
    </w:p>
    <w:p w14:paraId="2B3BEC18" w14:textId="2EC45B38" w:rsidR="00327F77" w:rsidRPr="00327F77" w:rsidRDefault="00327F77" w:rsidP="00327F77">
      <w:pPr>
        <w:rPr>
          <w:rFonts w:eastAsia="Calibri" w:cs="Arial"/>
        </w:rPr>
      </w:pPr>
      <w:r w:rsidRPr="00327F77">
        <w:rPr>
          <w:rFonts w:eastAsia="Calibri" w:cs="Arial"/>
        </w:rPr>
        <w:t xml:space="preserve">The proposal should set out the methodology by which the </w:t>
      </w:r>
      <w:r w:rsidR="00D31800">
        <w:rPr>
          <w:rFonts w:eastAsia="Calibri" w:cs="Arial"/>
        </w:rPr>
        <w:t>engagement</w:t>
      </w:r>
      <w:r w:rsidRPr="00327F77">
        <w:rPr>
          <w:rFonts w:eastAsia="Calibri" w:cs="Arial"/>
        </w:rPr>
        <w:t xml:space="preserve"> requirement</w:t>
      </w:r>
      <w:r w:rsidR="00D31800">
        <w:rPr>
          <w:rFonts w:eastAsia="Calibri" w:cs="Arial"/>
        </w:rPr>
        <w:t>s</w:t>
      </w:r>
      <w:r w:rsidRPr="00327F77">
        <w:rPr>
          <w:rFonts w:eastAsia="Calibri" w:cs="Arial"/>
        </w:rPr>
        <w:t xml:space="preserve"> will be initiated, delivered and concluded.  </w:t>
      </w:r>
      <w:proofErr w:type="gramStart"/>
      <w:r w:rsidRPr="00327F77">
        <w:rPr>
          <w:rFonts w:eastAsia="Calibri" w:cs="Arial"/>
        </w:rPr>
        <w:t>In particular, it</w:t>
      </w:r>
      <w:proofErr w:type="gramEnd"/>
      <w:r w:rsidRPr="00327F77">
        <w:rPr>
          <w:rFonts w:eastAsia="Calibri" w:cs="Arial"/>
        </w:rPr>
        <w:t xml:space="preserve"> must:</w:t>
      </w:r>
    </w:p>
    <w:p w14:paraId="34DD15C2" w14:textId="53A0C28C" w:rsidR="00327F77" w:rsidRPr="00327F77" w:rsidRDefault="00327F77">
      <w:pPr>
        <w:numPr>
          <w:ilvl w:val="1"/>
          <w:numId w:val="20"/>
        </w:numPr>
        <w:rPr>
          <w:rFonts w:eastAsia="Calibri" w:cs="Arial"/>
        </w:rPr>
      </w:pPr>
      <w:r w:rsidRPr="00327F77">
        <w:rPr>
          <w:rFonts w:eastAsia="Calibri" w:cs="Arial"/>
        </w:rPr>
        <w:t xml:space="preserve">Explain the </w:t>
      </w:r>
      <w:r w:rsidR="00D31800">
        <w:rPr>
          <w:rFonts w:eastAsia="Calibri" w:cs="Arial"/>
        </w:rPr>
        <w:t>relevant</w:t>
      </w:r>
      <w:r w:rsidRPr="00327F77">
        <w:rPr>
          <w:rFonts w:eastAsia="Calibri" w:cs="Arial"/>
        </w:rPr>
        <w:t xml:space="preserve"> methodolog</w:t>
      </w:r>
      <w:r w:rsidR="00D31800">
        <w:rPr>
          <w:rFonts w:eastAsia="Calibri" w:cs="Arial"/>
        </w:rPr>
        <w:t>ies</w:t>
      </w:r>
      <w:r w:rsidRPr="00327F77">
        <w:rPr>
          <w:rFonts w:eastAsia="Calibri" w:cs="Arial"/>
        </w:rPr>
        <w:t xml:space="preserve"> and delivery mechanisms to ensure that the requirements of this specification are met in terms of quality</w:t>
      </w:r>
    </w:p>
    <w:p w14:paraId="2098806E" w14:textId="765C2A3C" w:rsidR="00327F77" w:rsidRPr="00327F77" w:rsidRDefault="00327F77">
      <w:pPr>
        <w:numPr>
          <w:ilvl w:val="1"/>
          <w:numId w:val="20"/>
        </w:numPr>
        <w:rPr>
          <w:rFonts w:eastAsia="Calibri" w:cs="Arial"/>
        </w:rPr>
      </w:pPr>
      <w:r w:rsidRPr="00327F77">
        <w:rPr>
          <w:rFonts w:eastAsia="Calibri" w:cs="Arial"/>
        </w:rPr>
        <w:t>Explain how your organisation will work in partnership with ORR’s project manager to ensure that the requirement</w:t>
      </w:r>
      <w:r w:rsidR="00D31800">
        <w:rPr>
          <w:rFonts w:eastAsia="Calibri" w:cs="Arial"/>
        </w:rPr>
        <w:t>s</w:t>
      </w:r>
      <w:r w:rsidRPr="00327F77">
        <w:rPr>
          <w:rFonts w:eastAsia="Calibri" w:cs="Arial"/>
        </w:rPr>
        <w:t xml:space="preserve"> </w:t>
      </w:r>
      <w:r w:rsidR="00D31800">
        <w:rPr>
          <w:rFonts w:eastAsia="Calibri" w:cs="Arial"/>
        </w:rPr>
        <w:t>are</w:t>
      </w:r>
      <w:r w:rsidRPr="00327F77">
        <w:rPr>
          <w:rFonts w:eastAsia="Calibri" w:cs="Arial"/>
        </w:rPr>
        <w:t xml:space="preserve"> </w:t>
      </w:r>
      <w:proofErr w:type="gramStart"/>
      <w:r w:rsidRPr="00327F77">
        <w:rPr>
          <w:rFonts w:eastAsia="Calibri" w:cs="Arial"/>
        </w:rPr>
        <w:t>met</w:t>
      </w:r>
      <w:r w:rsidR="005E76D5">
        <w:rPr>
          <w:rFonts w:eastAsia="Calibri" w:cs="Arial"/>
        </w:rPr>
        <w:t>;</w:t>
      </w:r>
      <w:proofErr w:type="gramEnd"/>
    </w:p>
    <w:p w14:paraId="22834F15" w14:textId="4350D70C" w:rsidR="00C91CC1" w:rsidRPr="009C085A" w:rsidRDefault="00C91CC1">
      <w:pPr>
        <w:numPr>
          <w:ilvl w:val="1"/>
          <w:numId w:val="20"/>
        </w:numPr>
        <w:rPr>
          <w:rFonts w:eastAsia="Calibri" w:cs="Arial"/>
        </w:rPr>
      </w:pPr>
      <w:r w:rsidRPr="009C085A">
        <w:rPr>
          <w:rFonts w:eastAsia="Calibri" w:cs="Arial"/>
        </w:rPr>
        <w:t>Explain how a proposed approach would support ORR’s stakeholder engagement activity, including how the individual will contribute to the gathering and analysis of data / evidence from external parties.</w:t>
      </w:r>
    </w:p>
    <w:p w14:paraId="360C634F" w14:textId="0F8EFF3D" w:rsidR="00327F77" w:rsidRPr="00327F77" w:rsidRDefault="00327F77" w:rsidP="00327F77">
      <w:pPr>
        <w:keepNext/>
        <w:keepLines/>
        <w:spacing w:before="120" w:after="120" w:line="240" w:lineRule="auto"/>
        <w:outlineLvl w:val="3"/>
        <w:rPr>
          <w:rFonts w:eastAsia="DengXian Light" w:cs="Times New Roman"/>
          <w:b/>
          <w:iCs/>
          <w:color w:val="253268" w:themeColor="text2"/>
          <w:sz w:val="28"/>
        </w:rPr>
      </w:pPr>
      <w:r w:rsidRPr="00327F77">
        <w:rPr>
          <w:rFonts w:eastAsia="DengXian Light" w:cs="Times New Roman"/>
          <w:b/>
          <w:iCs/>
          <w:color w:val="253268" w:themeColor="text2"/>
          <w:sz w:val="28"/>
        </w:rPr>
        <w:t xml:space="preserve">Delivery </w:t>
      </w:r>
      <w:r w:rsidRPr="00832ADA">
        <w:rPr>
          <w:rFonts w:eastAsia="DengXian Light" w:cs="Times New Roman"/>
          <w:b/>
          <w:color w:val="253268" w:themeColor="text2"/>
          <w:sz w:val="28"/>
        </w:rPr>
        <w:t>(</w:t>
      </w:r>
      <w:r w:rsidR="00832ADA" w:rsidRPr="00832ADA">
        <w:rPr>
          <w:rFonts w:eastAsia="DengXian Light" w:cs="Times New Roman"/>
          <w:b/>
          <w:iCs/>
          <w:color w:val="253268" w:themeColor="text2"/>
          <w:sz w:val="28"/>
        </w:rPr>
        <w:t>20</w:t>
      </w:r>
      <w:r w:rsidRPr="00832ADA">
        <w:rPr>
          <w:rFonts w:eastAsia="DengXian Light" w:cs="Times New Roman"/>
          <w:b/>
          <w:color w:val="253268" w:themeColor="text2"/>
          <w:sz w:val="28"/>
        </w:rPr>
        <w:t>%)</w:t>
      </w:r>
    </w:p>
    <w:p w14:paraId="144A915D" w14:textId="3922B3B2" w:rsidR="00327F77" w:rsidRPr="00327F77" w:rsidRDefault="00327F77" w:rsidP="00327F77">
      <w:pPr>
        <w:rPr>
          <w:rFonts w:eastAsia="Calibri" w:cs="Arial"/>
        </w:rPr>
      </w:pPr>
      <w:r w:rsidRPr="00327F77">
        <w:rPr>
          <w:rFonts w:eastAsia="Calibri" w:cs="Arial"/>
        </w:rPr>
        <w:t>The proposal should set out how and when the requirement</w:t>
      </w:r>
      <w:r w:rsidR="00D965EC">
        <w:rPr>
          <w:rFonts w:eastAsia="Calibri" w:cs="Arial"/>
        </w:rPr>
        <w:t>s of the engagement</w:t>
      </w:r>
      <w:r w:rsidRPr="00327F77">
        <w:rPr>
          <w:rFonts w:eastAsia="Calibri" w:cs="Arial"/>
        </w:rPr>
        <w:t xml:space="preserve"> will be delivered. </w:t>
      </w:r>
      <w:proofErr w:type="gramStart"/>
      <w:r w:rsidRPr="00327F77">
        <w:rPr>
          <w:rFonts w:eastAsia="Calibri" w:cs="Arial"/>
        </w:rPr>
        <w:t>In particular, it</w:t>
      </w:r>
      <w:proofErr w:type="gramEnd"/>
      <w:r w:rsidRPr="00327F77">
        <w:rPr>
          <w:rFonts w:eastAsia="Calibri" w:cs="Arial"/>
        </w:rPr>
        <w:t xml:space="preserve"> must:</w:t>
      </w:r>
    </w:p>
    <w:p w14:paraId="466B7B3D" w14:textId="330B48AB" w:rsidR="00D965EC" w:rsidRPr="00D965EC" w:rsidRDefault="00D965EC" w:rsidP="00D965EC">
      <w:pPr>
        <w:numPr>
          <w:ilvl w:val="1"/>
          <w:numId w:val="21"/>
        </w:numPr>
        <w:rPr>
          <w:rFonts w:eastAsia="Calibri" w:cs="Arial"/>
        </w:rPr>
      </w:pPr>
      <w:r w:rsidRPr="00D965EC">
        <w:rPr>
          <w:rFonts w:eastAsia="Calibri" w:cs="Arial"/>
        </w:rPr>
        <w:t xml:space="preserve">Describe how </w:t>
      </w:r>
      <w:r>
        <w:rPr>
          <w:rFonts w:eastAsia="Calibri" w:cs="Arial"/>
        </w:rPr>
        <w:t xml:space="preserve">the timely delivery of outputs will be ensured, </w:t>
      </w:r>
      <w:r w:rsidRPr="00D965EC">
        <w:rPr>
          <w:rFonts w:eastAsia="Calibri" w:cs="Arial"/>
        </w:rPr>
        <w:t xml:space="preserve">including how </w:t>
      </w:r>
      <w:r>
        <w:rPr>
          <w:rFonts w:eastAsia="Calibri" w:cs="Arial"/>
        </w:rPr>
        <w:t xml:space="preserve">progress will be managed and monitored against indicative milestones. Explanation of how </w:t>
      </w:r>
      <w:r w:rsidRPr="00D965EC">
        <w:rPr>
          <w:rFonts w:eastAsia="Calibri" w:cs="Arial"/>
        </w:rPr>
        <w:t>delivery will be adapted to accommodate changes in scope or priority</w:t>
      </w:r>
      <w:r>
        <w:rPr>
          <w:rFonts w:eastAsia="Calibri" w:cs="Arial"/>
        </w:rPr>
        <w:t xml:space="preserve"> would also be beneficial</w:t>
      </w:r>
      <w:r w:rsidRPr="00D965EC">
        <w:rPr>
          <w:rFonts w:eastAsia="Calibri" w:cs="Arial"/>
        </w:rPr>
        <w:t>.</w:t>
      </w:r>
    </w:p>
    <w:p w14:paraId="2463AC40" w14:textId="4DFA0DFA" w:rsidR="00D965EC" w:rsidRPr="00D965EC" w:rsidRDefault="00D965EC" w:rsidP="00D965EC">
      <w:pPr>
        <w:numPr>
          <w:ilvl w:val="1"/>
          <w:numId w:val="21"/>
        </w:numPr>
        <w:rPr>
          <w:rFonts w:eastAsia="Calibri" w:cs="Arial"/>
        </w:rPr>
      </w:pPr>
      <w:r w:rsidRPr="00D965EC">
        <w:rPr>
          <w:rFonts w:eastAsia="Calibri" w:cs="Arial"/>
        </w:rPr>
        <w:t xml:space="preserve">Identify key risks and dependencies associated with </w:t>
      </w:r>
      <w:proofErr w:type="gramStart"/>
      <w:r w:rsidRPr="00D965EC">
        <w:rPr>
          <w:rFonts w:eastAsia="Calibri" w:cs="Arial"/>
        </w:rPr>
        <w:t>delivery, and</w:t>
      </w:r>
      <w:proofErr w:type="gramEnd"/>
      <w:r w:rsidRPr="00D965EC">
        <w:rPr>
          <w:rFonts w:eastAsia="Calibri" w:cs="Arial"/>
        </w:rPr>
        <w:t xml:space="preserve"> set out how these will be managed or mitigated to maintain momentum and ensure quality.</w:t>
      </w:r>
    </w:p>
    <w:p w14:paraId="1ED3EBF8" w14:textId="7FACE25C" w:rsidR="00D965EC" w:rsidRPr="00D965EC" w:rsidRDefault="00D965EC" w:rsidP="00D965EC">
      <w:pPr>
        <w:numPr>
          <w:ilvl w:val="1"/>
          <w:numId w:val="21"/>
        </w:numPr>
        <w:rPr>
          <w:rFonts w:eastAsia="Calibri" w:cs="Arial"/>
        </w:rPr>
      </w:pPr>
      <w:r w:rsidRPr="00D965EC">
        <w:rPr>
          <w:rFonts w:eastAsia="Calibri" w:cs="Arial"/>
        </w:rPr>
        <w:t>Set out the resources that will be allocated to the engagement, including core team members and any additional capacity that can be drawn upon if required. Explain how the supplier will maintain continuity and responsiveness across the contract period.</w:t>
      </w:r>
    </w:p>
    <w:p w14:paraId="6A66D9E9" w14:textId="49106B38" w:rsidR="005C29ED" w:rsidRPr="00502BA2" w:rsidRDefault="005C29ED" w:rsidP="00350594">
      <w:pPr>
        <w:pStyle w:val="Heading4"/>
      </w:pPr>
      <w:r>
        <w:t xml:space="preserve">Experience </w:t>
      </w:r>
      <w:r w:rsidRPr="00502BA2">
        <w:t>(</w:t>
      </w:r>
      <w:r w:rsidR="00832ADA">
        <w:t>4</w:t>
      </w:r>
      <w:r w:rsidR="00502BA2" w:rsidRPr="00502BA2">
        <w:t>0</w:t>
      </w:r>
      <w:r w:rsidRPr="00502BA2">
        <w:t>%)</w:t>
      </w:r>
    </w:p>
    <w:p w14:paraId="06C2BCDB" w14:textId="255ECC02"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7098E150" w:rsidR="005C29ED" w:rsidRDefault="005C29ED">
      <w:pPr>
        <w:pStyle w:val="NormalBulletalpha"/>
        <w:numPr>
          <w:ilvl w:val="1"/>
          <w:numId w:val="17"/>
        </w:numPr>
      </w:pPr>
      <w:r>
        <w:lastRenderedPageBreak/>
        <w:t>Provide CV of the consultant who will be delivering the project</w:t>
      </w:r>
      <w:r w:rsidR="00393BB4">
        <w:t xml:space="preserve"> (it is anticipated that the </w:t>
      </w:r>
      <w:r w:rsidR="00393BB4" w:rsidRPr="00393BB4">
        <w:t>experience</w:t>
      </w:r>
      <w:r w:rsidR="00393BB4">
        <w:t>-level will be</w:t>
      </w:r>
      <w:r w:rsidR="00393BB4" w:rsidRPr="00393BB4">
        <w:t xml:space="preserve"> equivalent to case or project manager level</w:t>
      </w:r>
      <w:r w:rsidR="00393BB4">
        <w:t xml:space="preserve">; </w:t>
      </w:r>
      <w:r w:rsidR="00393BB4" w:rsidRPr="00393BB4">
        <w:t>not Principal or Associate Director</w:t>
      </w:r>
      <w:r w:rsidR="00393BB4">
        <w:t>-level,</w:t>
      </w:r>
      <w:r w:rsidR="00393BB4" w:rsidRPr="00393BB4">
        <w:t xml:space="preserve"> for example</w:t>
      </w:r>
      <w:proofErr w:type="gramStart"/>
      <w:r w:rsidR="00393BB4">
        <w:t>)</w:t>
      </w:r>
      <w:r>
        <w:t>;</w:t>
      </w:r>
      <w:proofErr w:type="gramEnd"/>
      <w:r>
        <w:t xml:space="preserve"> </w:t>
      </w:r>
    </w:p>
    <w:p w14:paraId="1146D7A1" w14:textId="34F8B340" w:rsidR="005C29ED" w:rsidRDefault="005C29ED">
      <w:pPr>
        <w:pStyle w:val="NormalBulletalpha"/>
        <w:numPr>
          <w:ilvl w:val="1"/>
          <w:numId w:val="17"/>
        </w:numPr>
      </w:pPr>
      <w:r>
        <w:t>Highlight the organisation’s relevant experience for this project, submitting examples of similar projects.</w:t>
      </w:r>
    </w:p>
    <w:p w14:paraId="370476F8" w14:textId="7155001D" w:rsidR="005C29ED" w:rsidRDefault="005C29ED" w:rsidP="00350594">
      <w:pPr>
        <w:pStyle w:val="Heading4"/>
      </w:pPr>
      <w:r>
        <w:t xml:space="preserve">Cost / Value for money </w:t>
      </w:r>
      <w:r w:rsidRPr="00502BA2">
        <w:t>(</w:t>
      </w:r>
      <w:r w:rsidR="00502BA2" w:rsidRPr="00502BA2">
        <w:t>20</w:t>
      </w:r>
      <w:r w:rsidRPr="00502BA2">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lastRenderedPageBreak/>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757472" w:rsidRPr="00757472" w14:paraId="695F9E09" w14:textId="77777777" w:rsidTr="00886DE9">
        <w:trPr>
          <w:trHeight w:val="1140"/>
        </w:trPr>
        <w:tc>
          <w:tcPr>
            <w:tcW w:w="637" w:type="pct"/>
            <w:tcBorders>
              <w:top w:val="nil"/>
            </w:tcBorders>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pPr>
        <w:pStyle w:val="NormalBulletround"/>
      </w:pPr>
      <w:r>
        <w:t>Fixed fee</w:t>
      </w:r>
    </w:p>
    <w:p w14:paraId="50E17621" w14:textId="77777777" w:rsidR="00CA25B2" w:rsidRDefault="00CA25B2">
      <w:pPr>
        <w:pStyle w:val="NormalBulletround"/>
      </w:pPr>
      <w:r>
        <w:t>The lowest fixed fee will be awarded the maximum price score of 100.</w:t>
      </w:r>
    </w:p>
    <w:p w14:paraId="747DA973" w14:textId="77777777" w:rsidR="00CA25B2" w:rsidRDefault="00CA25B2">
      <w:pPr>
        <w:pStyle w:val="NormalBulletround"/>
      </w:pPr>
      <w:r>
        <w:t>All other bidders will get a price score relative to the lowest fee tendered.</w:t>
      </w:r>
    </w:p>
    <w:p w14:paraId="72C05532" w14:textId="13DA9C56" w:rsidR="00716CEC" w:rsidRDefault="00CA25B2">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pPr>
        <w:pStyle w:val="Heading2"/>
      </w:pPr>
      <w:bookmarkStart w:id="20" w:name="_Toc111551928"/>
      <w:r w:rsidRPr="002D3643">
        <w:lastRenderedPageBreak/>
        <w:t xml:space="preserve">Procurement </w:t>
      </w:r>
      <w:r>
        <w:t>P</w:t>
      </w:r>
      <w:r w:rsidRPr="002D3643">
        <w:t>rocedures</w:t>
      </w:r>
      <w:bookmarkEnd w:id="20"/>
      <w:r w:rsidRPr="002D3643">
        <w:t xml:space="preserve"> </w:t>
      </w:r>
    </w:p>
    <w:p w14:paraId="038D890E" w14:textId="77777777" w:rsidR="00400432" w:rsidRDefault="00400432" w:rsidP="00400432">
      <w:pPr>
        <w:pStyle w:val="Heading3"/>
      </w:pPr>
      <w:bookmarkStart w:id="21" w:name="_Toc111551929"/>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36224BEA">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36224BEA">
        <w:tc>
          <w:tcPr>
            <w:tcW w:w="4928"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hemeColor="background2"/>
            </w:tcBorders>
            <w:shd w:val="clear" w:color="auto" w:fill="FFFFFF" w:themeFill="background2"/>
          </w:tcPr>
          <w:p w14:paraId="0B221E35" w14:textId="5BBB0F7B" w:rsidR="00400432" w:rsidRPr="00400432" w:rsidRDefault="00975693" w:rsidP="00400432">
            <w:pPr>
              <w:pStyle w:val="TblText"/>
            </w:pPr>
            <w:r>
              <w:t>12</w:t>
            </w:r>
            <w:r w:rsidR="00982ADC">
              <w:t xml:space="preserve"> November</w:t>
            </w:r>
            <w:r w:rsidR="00430F60">
              <w:t xml:space="preserve"> 2025</w:t>
            </w:r>
          </w:p>
        </w:tc>
      </w:tr>
      <w:tr w:rsidR="00400432" w:rsidRPr="00400432" w14:paraId="42283B80" w14:textId="77777777" w:rsidTr="36224BEA">
        <w:tc>
          <w:tcPr>
            <w:tcW w:w="4928"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hemeColor="background2"/>
            </w:tcBorders>
            <w:shd w:val="clear" w:color="auto" w:fill="E4E7F5"/>
          </w:tcPr>
          <w:p w14:paraId="4308C2DC" w14:textId="6AE4EA9D" w:rsidR="00400432" w:rsidRPr="00400432" w:rsidRDefault="00F60938" w:rsidP="00400432">
            <w:pPr>
              <w:pStyle w:val="TblText"/>
            </w:pPr>
            <w:r>
              <w:t>Midday</w:t>
            </w:r>
            <w:r w:rsidR="000D7CA1">
              <w:t xml:space="preserve"> </w:t>
            </w:r>
            <w:r w:rsidR="00975693">
              <w:t>24</w:t>
            </w:r>
            <w:r w:rsidR="000D7CA1">
              <w:t xml:space="preserve"> November 2025</w:t>
            </w:r>
          </w:p>
        </w:tc>
      </w:tr>
      <w:tr w:rsidR="00400432" w:rsidRPr="00400432" w14:paraId="66301268" w14:textId="77777777" w:rsidTr="36224BEA">
        <w:tc>
          <w:tcPr>
            <w:tcW w:w="4928"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hemeColor="background2"/>
            </w:tcBorders>
            <w:shd w:val="clear" w:color="auto" w:fill="FFFFFF" w:themeFill="background2"/>
          </w:tcPr>
          <w:p w14:paraId="63343DB4" w14:textId="431DE19A" w:rsidR="00400432" w:rsidRPr="00400432" w:rsidRDefault="00A32472" w:rsidP="00400432">
            <w:pPr>
              <w:pStyle w:val="TblText"/>
            </w:pPr>
            <w:r>
              <w:t xml:space="preserve">Midday </w:t>
            </w:r>
            <w:r w:rsidR="00982ADC">
              <w:t>2</w:t>
            </w:r>
            <w:r w:rsidR="00975693">
              <w:t>7</w:t>
            </w:r>
            <w:r>
              <w:t xml:space="preserve"> November 2025</w:t>
            </w:r>
          </w:p>
        </w:tc>
      </w:tr>
      <w:tr w:rsidR="00400432" w:rsidRPr="00400432" w14:paraId="2D3D0936" w14:textId="77777777" w:rsidTr="36224BEA">
        <w:tc>
          <w:tcPr>
            <w:tcW w:w="4928"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hemeColor="background2"/>
            </w:tcBorders>
            <w:shd w:val="clear" w:color="auto" w:fill="E4E7F5"/>
          </w:tcPr>
          <w:p w14:paraId="2FF6E1B1" w14:textId="230650F4" w:rsidR="00400432" w:rsidRPr="00400432" w:rsidRDefault="00F73370" w:rsidP="00400432">
            <w:pPr>
              <w:pStyle w:val="TblText"/>
            </w:pPr>
            <w:r>
              <w:t>w/c</w:t>
            </w:r>
            <w:r w:rsidR="00402A19">
              <w:t xml:space="preserve"> </w:t>
            </w:r>
            <w:r w:rsidR="00975693">
              <w:t>8</w:t>
            </w:r>
            <w:r w:rsidR="00AA33B6">
              <w:t xml:space="preserve"> December</w:t>
            </w:r>
            <w:r w:rsidR="00402A19">
              <w:t xml:space="preserve"> 2025</w:t>
            </w:r>
          </w:p>
        </w:tc>
      </w:tr>
      <w:tr w:rsidR="00400432" w:rsidRPr="00400432" w14:paraId="3E83975E" w14:textId="77777777" w:rsidTr="36224BEA">
        <w:tc>
          <w:tcPr>
            <w:tcW w:w="4928"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3600" w:type="dxa"/>
            <w:shd w:val="clear" w:color="auto" w:fill="FFFFFF" w:themeFill="background2"/>
          </w:tcPr>
          <w:p w14:paraId="5605FB39" w14:textId="3F33B885" w:rsidR="00400432" w:rsidRPr="00400432" w:rsidRDefault="00CA2EC0" w:rsidP="00400432">
            <w:pPr>
              <w:pStyle w:val="TblText"/>
            </w:pPr>
            <w:r>
              <w:t xml:space="preserve">w/c </w:t>
            </w:r>
            <w:r w:rsidR="00975693">
              <w:t>15</w:t>
            </w:r>
            <w:r w:rsidR="003C6C10">
              <w:t xml:space="preserve"> December</w:t>
            </w:r>
            <w:r w:rsidR="00F64C55">
              <w:t xml:space="preserve"> 2025</w:t>
            </w:r>
          </w:p>
        </w:tc>
      </w:tr>
    </w:tbl>
    <w:p w14:paraId="3DFADB3D" w14:textId="77777777" w:rsidR="00433557" w:rsidRDefault="00433557" w:rsidP="000A0438">
      <w:pPr>
        <w:pStyle w:val="Heading3"/>
      </w:pPr>
      <w:bookmarkStart w:id="22" w:name="_Toc111551930"/>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23" w:name="_Hlk187308838"/>
      <w:r>
        <w:t>Submission Process</w:t>
      </w:r>
    </w:p>
    <w:bookmarkEnd w:id="23"/>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lastRenderedPageBreak/>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 xml:space="preserve">If you are already registered on our </w:t>
      </w:r>
      <w:proofErr w:type="spellStart"/>
      <w:r>
        <w:t>eTendering</w:t>
      </w:r>
      <w:proofErr w:type="spellEnd"/>
      <w:r>
        <w:t xml:space="preserve">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4"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 xml:space="preserve">ORR may be prepared to consider non-fundamental changes to the standard terms and conditions in exceptional circumstances.  If there are any areas where you feel you </w:t>
      </w:r>
      <w:proofErr w:type="gramStart"/>
      <w:r w:rsidRPr="00DB7BCE">
        <w:rPr>
          <w:b/>
          <w:bCs/>
        </w:rPr>
        <w:t>are not able to</w:t>
      </w:r>
      <w:proofErr w:type="gramEnd"/>
      <w:r w:rsidRPr="00DB7BCE">
        <w:rPr>
          <w:b/>
          <w:bCs/>
        </w:rPr>
        <w:t xml:space="preserve">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pPr>
        <w:pStyle w:val="NormalBulletround"/>
      </w:pPr>
      <w:r>
        <w:t xml:space="preserve">ORR Terms &amp; </w:t>
      </w:r>
      <w:proofErr w:type="gramStart"/>
      <w:r>
        <w:t>Conditions;</w:t>
      </w:r>
      <w:proofErr w:type="gramEnd"/>
      <w:r>
        <w:t xml:space="preserve"> </w:t>
      </w:r>
    </w:p>
    <w:p w14:paraId="08958C5B" w14:textId="2814C608" w:rsidR="00D2517B" w:rsidRDefault="00D2517B">
      <w:pPr>
        <w:pStyle w:val="NormalBulletround"/>
      </w:pPr>
      <w:r>
        <w:lastRenderedPageBreak/>
        <w:t xml:space="preserve">Service </w:t>
      </w:r>
      <w:proofErr w:type="gramStart"/>
      <w:r>
        <w:t>Schedules;</w:t>
      </w:r>
      <w:proofErr w:type="gramEnd"/>
    </w:p>
    <w:p w14:paraId="75E74751" w14:textId="3FFDF4FA" w:rsidR="00D2517B" w:rsidRDefault="00D2517B">
      <w:pPr>
        <w:pStyle w:val="NormalBulletround"/>
      </w:pPr>
      <w:r>
        <w:t xml:space="preserve">this Invite to Tender &amp; Statement of Requirement document; and </w:t>
      </w:r>
    </w:p>
    <w:p w14:paraId="7AB0DA44" w14:textId="0CABED05" w:rsidR="00D2517B" w:rsidRDefault="00D2517B">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pPr>
        <w:pStyle w:val="NormalBulletround"/>
      </w:pPr>
      <w:r>
        <w:t>contract price and any incentivisation mechanisms</w:t>
      </w:r>
    </w:p>
    <w:p w14:paraId="0C608C4C" w14:textId="4D5BAB55" w:rsidR="00D2517B" w:rsidRDefault="00D2517B">
      <w:pPr>
        <w:pStyle w:val="NormalBulletround"/>
      </w:pPr>
      <w:r>
        <w:t>performance metrics and management of them</w:t>
      </w:r>
    </w:p>
    <w:p w14:paraId="6EF2FC26" w14:textId="50C8AAC7" w:rsidR="00D2517B" w:rsidRDefault="00D2517B">
      <w:pPr>
        <w:pStyle w:val="NormalBulletround"/>
      </w:pPr>
      <w:r>
        <w:t>plans for management of underperformance and its financial impact</w:t>
      </w:r>
    </w:p>
    <w:p w14:paraId="7AC03503" w14:textId="3D4C7866" w:rsidR="00D2517B" w:rsidRDefault="00D2517B">
      <w:pPr>
        <w:pStyle w:val="NormalBulletround"/>
      </w:pPr>
      <w:r>
        <w:t>governance arrangements including through supply chains where significant contract value rests with subcontractors</w:t>
      </w:r>
    </w:p>
    <w:p w14:paraId="3ABEB3FE" w14:textId="39B3AE4E" w:rsidR="00D2517B" w:rsidRDefault="00D2517B">
      <w:pPr>
        <w:pStyle w:val="NormalBulletround"/>
      </w:pPr>
      <w:r>
        <w:t>resource plans</w:t>
      </w:r>
    </w:p>
    <w:p w14:paraId="410BF383" w14:textId="3D32CA97" w:rsidR="00D2517B" w:rsidRDefault="00D2517B">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w:t>
      </w:r>
      <w:proofErr w:type="gramStart"/>
      <w:r>
        <w:t>current;</w:t>
      </w:r>
      <w:proofErr w:type="gramEnd"/>
      <w:r>
        <w:t xml:space="preserve"> </w:t>
      </w:r>
    </w:p>
    <w:p w14:paraId="70389FA8" w14:textId="774CDF3A"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w:t>
      </w:r>
      <w:r>
        <w:lastRenderedPageBreak/>
        <w:t>accepts any duty of confidence by virtue of that marking.   If a request is received ORR may also be required to disclose details of unsuccessful bids</w:t>
      </w:r>
      <w:r w:rsidR="00575F95">
        <w:t xml:space="preserve">. </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r w:rsidRPr="009757DA">
              <w:t>Para.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3A16E9">
          <w:headerReference w:type="even" r:id="rId25"/>
          <w:headerReference w:type="default" r:id="rId26"/>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6FEE58D0">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0BFE59CF" w:rsidR="00D25F7E" w:rsidRDefault="00D25F7E" w:rsidP="00D25F7E">
      <w:pPr>
        <w:pStyle w:val="Copyrighttext"/>
      </w:pPr>
      <w:r>
        <w:t>© Crown copyright 202</w:t>
      </w:r>
      <w:r w:rsidR="00F57347">
        <w:t>5</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8" w:history="1">
        <w:r w:rsidRPr="00D25F7E">
          <w:rPr>
            <w:rStyle w:val="Hyperlink"/>
          </w:rPr>
          <w:t>nationalarchives.gov.uk/doc/open-government-licence/version/3</w:t>
        </w:r>
      </w:hyperlink>
    </w:p>
    <w:p w14:paraId="32A9639F" w14:textId="77777777" w:rsidR="00D25F7E" w:rsidRDefault="00D25F7E" w:rsidP="00D25F7E">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3069EDFA" w14:textId="72BAE3FE" w:rsidR="008F0B87" w:rsidRDefault="00D25F7E" w:rsidP="49F518E0">
      <w:pPr>
        <w:pStyle w:val="Copyrighttext"/>
      </w:pPr>
      <w:r>
        <w:t xml:space="preserve">This publication is available at </w:t>
      </w:r>
      <w:hyperlink r:id="rId29">
        <w:r w:rsidR="74B3C0C4" w:rsidRPr="49F518E0">
          <w:rPr>
            <w:rStyle w:val="Hyperlink"/>
          </w:rPr>
          <w:t>Find a Tender</w:t>
        </w:r>
      </w:hyperlink>
    </w:p>
    <w:p w14:paraId="2D68CC5D" w14:textId="2AE9329A" w:rsidR="00D25F7E" w:rsidRPr="00D25F7E" w:rsidRDefault="00D25F7E" w:rsidP="00D25F7E">
      <w:pPr>
        <w:pStyle w:val="Copyrighttext"/>
      </w:pPr>
      <w:r>
        <w:t xml:space="preserve">Any enquiries regarding this publication should be sent to us at </w:t>
      </w:r>
      <w:hyperlink r:id="rId30" w:history="1">
        <w:r w:rsidR="008F0B87" w:rsidRPr="00C9621C">
          <w:rPr>
            <w:rStyle w:val="Hyperlink"/>
          </w:rPr>
          <w:t>procurementteam@orr.gov.uk</w:t>
        </w:r>
      </w:hyperlink>
      <w:r w:rsidR="008F0B87">
        <w:t xml:space="preserve"> </w:t>
      </w:r>
    </w:p>
    <w:sectPr w:rsidR="00D25F7E" w:rsidRPr="00D25F7E" w:rsidSect="00D25F7E">
      <w:headerReference w:type="even" r:id="rId31"/>
      <w:headerReference w:type="default" r:id="rId32"/>
      <w:footerReference w:type="even" r:id="rId33"/>
      <w:footerReference w:type="default" r:id="rId34"/>
      <w:headerReference w:type="first" r:id="rId35"/>
      <w:footerReference w:type="first" r:id="rId36"/>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49D71" w14:textId="77777777" w:rsidR="006E4F60" w:rsidRDefault="006E4F60" w:rsidP="00555585">
      <w:pPr>
        <w:spacing w:after="0" w:line="240" w:lineRule="auto"/>
      </w:pPr>
      <w:r>
        <w:separator/>
      </w:r>
    </w:p>
  </w:endnote>
  <w:endnote w:type="continuationSeparator" w:id="0">
    <w:p w14:paraId="718AD5EC" w14:textId="77777777" w:rsidR="006E4F60" w:rsidRDefault="006E4F60" w:rsidP="00555585">
      <w:pPr>
        <w:spacing w:after="0" w:line="240" w:lineRule="auto"/>
      </w:pPr>
      <w:r>
        <w:continuationSeparator/>
      </w:r>
    </w:p>
  </w:endnote>
  <w:endnote w:type="continuationNotice" w:id="1">
    <w:p w14:paraId="39CFEF24" w14:textId="77777777" w:rsidR="006E4F60" w:rsidRDefault="006E4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2614" w14:textId="77777777" w:rsidR="00FC6860" w:rsidRPr="00904857" w:rsidRDefault="00FC6860" w:rsidP="003A16E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BC6C" w14:textId="77777777" w:rsidR="00D25F7E" w:rsidRDefault="00D25F7E" w:rsidP="003A16E9">
    <w:pPr>
      <w:pStyle w:val="Footer"/>
    </w:pPr>
  </w:p>
  <w:p w14:paraId="30922858" w14:textId="77777777" w:rsidR="00D25F7E" w:rsidRDefault="00D25F7E" w:rsidP="003A16E9">
    <w:pPr>
      <w:pStyle w:val="Footer"/>
    </w:pPr>
  </w:p>
  <w:p w14:paraId="722278C7" w14:textId="77777777" w:rsidR="00D25F7E" w:rsidRDefault="00D25F7E" w:rsidP="003A16E9">
    <w:pPr>
      <w:pStyle w:val="Footer"/>
    </w:pPr>
  </w:p>
  <w:p w14:paraId="2F806F11" w14:textId="77777777" w:rsidR="00D25F7E" w:rsidRDefault="00D25F7E" w:rsidP="003A16E9">
    <w:pPr>
      <w:pStyle w:val="Footer"/>
    </w:pPr>
  </w:p>
  <w:p w14:paraId="6D31B3EB" w14:textId="77777777" w:rsidR="00D25F7E" w:rsidRDefault="00D25F7E" w:rsidP="003A16E9">
    <w:pPr>
      <w:pStyle w:val="Footer"/>
    </w:pPr>
  </w:p>
  <w:p w14:paraId="26D028EC" w14:textId="77777777" w:rsidR="00D25F7E" w:rsidRPr="004A743E" w:rsidRDefault="00D25F7E"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42AE" w14:textId="77777777" w:rsidR="006E4F60" w:rsidRDefault="006E4F60" w:rsidP="00555585">
      <w:pPr>
        <w:spacing w:after="0" w:line="240" w:lineRule="auto"/>
      </w:pPr>
      <w:r>
        <w:separator/>
      </w:r>
    </w:p>
  </w:footnote>
  <w:footnote w:type="continuationSeparator" w:id="0">
    <w:p w14:paraId="55DA7143" w14:textId="77777777" w:rsidR="006E4F60" w:rsidRDefault="006E4F60" w:rsidP="00555585">
      <w:pPr>
        <w:spacing w:after="0" w:line="240" w:lineRule="auto"/>
      </w:pPr>
      <w:r>
        <w:continuationSeparator/>
      </w:r>
    </w:p>
  </w:footnote>
  <w:footnote w:type="continuationNotice" w:id="1">
    <w:p w14:paraId="54F2C5F8" w14:textId="77777777" w:rsidR="006E4F60" w:rsidRDefault="006E4F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bmkContents"/>
  <w:bookmarkEnd w:id="3"/>
  <w:p w14:paraId="787800DB" w14:textId="65212DC4"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EF3B" w14:textId="078851F1"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AF1" w14:textId="77777777" w:rsidR="00852E5A" w:rsidRPr="00FC6860" w:rsidRDefault="00852E5A" w:rsidP="00FC6860">
    <w:pPr>
      <w:pStyle w:val="Header"/>
    </w:pPr>
    <w:bookmarkStart w:id="24" w:name="bmkBackPage"/>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2" w15:restartNumberingAfterBreak="0">
    <w:nsid w:val="118439F5"/>
    <w:multiLevelType w:val="multilevel"/>
    <w:tmpl w:val="0B3EB1C4"/>
    <w:numStyleLink w:val="ORRBoxed"/>
  </w:abstractNum>
  <w:abstractNum w:abstractNumId="3" w15:restartNumberingAfterBreak="0">
    <w:nsid w:val="138756B1"/>
    <w:multiLevelType w:val="multilevel"/>
    <w:tmpl w:val="D79C245A"/>
    <w:numStyleLink w:val="ORRNormalList"/>
  </w:abstractNum>
  <w:abstractNum w:abstractNumId="4"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6" w15:restartNumberingAfterBreak="0">
    <w:nsid w:val="21336443"/>
    <w:multiLevelType w:val="multilevel"/>
    <w:tmpl w:val="FEF47FD2"/>
    <w:numStyleLink w:val="ORRSummary"/>
  </w:abstractNum>
  <w:abstractNum w:abstractNumId="7" w15:restartNumberingAfterBreak="0">
    <w:nsid w:val="2B4D62A2"/>
    <w:multiLevelType w:val="hybridMultilevel"/>
    <w:tmpl w:val="40B49B7E"/>
    <w:lvl w:ilvl="0" w:tplc="D8D87F22">
      <w:start w:val="1"/>
      <w:numFmt w:val="bullet"/>
      <w:lvlText w:val=""/>
      <w:lvlJc w:val="left"/>
      <w:pPr>
        <w:ind w:left="1020" w:hanging="360"/>
      </w:pPr>
      <w:rPr>
        <w:rFonts w:ascii="Symbol" w:hAnsi="Symbol"/>
      </w:rPr>
    </w:lvl>
    <w:lvl w:ilvl="1" w:tplc="C524B14A">
      <w:start w:val="1"/>
      <w:numFmt w:val="bullet"/>
      <w:lvlText w:val=""/>
      <w:lvlJc w:val="left"/>
      <w:pPr>
        <w:ind w:left="1020" w:hanging="360"/>
      </w:pPr>
      <w:rPr>
        <w:rFonts w:ascii="Symbol" w:hAnsi="Symbol"/>
      </w:rPr>
    </w:lvl>
    <w:lvl w:ilvl="2" w:tplc="FA62091A">
      <w:start w:val="1"/>
      <w:numFmt w:val="bullet"/>
      <w:lvlText w:val=""/>
      <w:lvlJc w:val="left"/>
      <w:pPr>
        <w:ind w:left="1020" w:hanging="360"/>
      </w:pPr>
      <w:rPr>
        <w:rFonts w:ascii="Symbol" w:hAnsi="Symbol"/>
      </w:rPr>
    </w:lvl>
    <w:lvl w:ilvl="3" w:tplc="AB603744">
      <w:start w:val="1"/>
      <w:numFmt w:val="bullet"/>
      <w:lvlText w:val=""/>
      <w:lvlJc w:val="left"/>
      <w:pPr>
        <w:ind w:left="1020" w:hanging="360"/>
      </w:pPr>
      <w:rPr>
        <w:rFonts w:ascii="Symbol" w:hAnsi="Symbol"/>
      </w:rPr>
    </w:lvl>
    <w:lvl w:ilvl="4" w:tplc="BB44CF4A">
      <w:start w:val="1"/>
      <w:numFmt w:val="bullet"/>
      <w:lvlText w:val=""/>
      <w:lvlJc w:val="left"/>
      <w:pPr>
        <w:ind w:left="1020" w:hanging="360"/>
      </w:pPr>
      <w:rPr>
        <w:rFonts w:ascii="Symbol" w:hAnsi="Symbol"/>
      </w:rPr>
    </w:lvl>
    <w:lvl w:ilvl="5" w:tplc="E0747242">
      <w:start w:val="1"/>
      <w:numFmt w:val="bullet"/>
      <w:lvlText w:val=""/>
      <w:lvlJc w:val="left"/>
      <w:pPr>
        <w:ind w:left="1020" w:hanging="360"/>
      </w:pPr>
      <w:rPr>
        <w:rFonts w:ascii="Symbol" w:hAnsi="Symbol"/>
      </w:rPr>
    </w:lvl>
    <w:lvl w:ilvl="6" w:tplc="BFC09C50">
      <w:start w:val="1"/>
      <w:numFmt w:val="bullet"/>
      <w:lvlText w:val=""/>
      <w:lvlJc w:val="left"/>
      <w:pPr>
        <w:ind w:left="1020" w:hanging="360"/>
      </w:pPr>
      <w:rPr>
        <w:rFonts w:ascii="Symbol" w:hAnsi="Symbol"/>
      </w:rPr>
    </w:lvl>
    <w:lvl w:ilvl="7" w:tplc="31DC459E">
      <w:start w:val="1"/>
      <w:numFmt w:val="bullet"/>
      <w:lvlText w:val=""/>
      <w:lvlJc w:val="left"/>
      <w:pPr>
        <w:ind w:left="1020" w:hanging="360"/>
      </w:pPr>
      <w:rPr>
        <w:rFonts w:ascii="Symbol" w:hAnsi="Symbol"/>
      </w:rPr>
    </w:lvl>
    <w:lvl w:ilvl="8" w:tplc="4316F90E">
      <w:start w:val="1"/>
      <w:numFmt w:val="bullet"/>
      <w:lvlText w:val=""/>
      <w:lvlJc w:val="left"/>
      <w:pPr>
        <w:ind w:left="1020" w:hanging="360"/>
      </w:pPr>
      <w:rPr>
        <w:rFonts w:ascii="Symbol" w:hAnsi="Symbol"/>
      </w:rPr>
    </w:lvl>
  </w:abstractNum>
  <w:abstractNum w:abstractNumId="8"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11"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2" w15:restartNumberingAfterBreak="0">
    <w:nsid w:val="68BD5682"/>
    <w:multiLevelType w:val="multilevel"/>
    <w:tmpl w:val="EAD453D0"/>
    <w:numStyleLink w:val="NumbListHighlight"/>
  </w:abstractNum>
  <w:abstractNum w:abstractNumId="13"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4" w15:restartNumberingAfterBreak="0">
    <w:nsid w:val="7DDA5CB4"/>
    <w:multiLevelType w:val="multilevel"/>
    <w:tmpl w:val="6B204466"/>
    <w:numStyleLink w:val="ORRAnnex"/>
  </w:abstractNum>
  <w:num w:numId="1" w16cid:durableId="1643778289">
    <w:abstractNumId w:val="10"/>
  </w:num>
  <w:num w:numId="2" w16cid:durableId="170343250">
    <w:abstractNumId w:val="13"/>
  </w:num>
  <w:num w:numId="3" w16cid:durableId="615990203">
    <w:abstractNumId w:val="4"/>
  </w:num>
  <w:num w:numId="4" w16cid:durableId="1539008159">
    <w:abstractNumId w:val="9"/>
  </w:num>
  <w:num w:numId="5" w16cid:durableId="1334801291">
    <w:abstractNumId w:val="5"/>
  </w:num>
  <w:num w:numId="6" w16cid:durableId="1708795862">
    <w:abstractNumId w:val="6"/>
  </w:num>
  <w:num w:numId="7" w16cid:durableId="1432780497">
    <w:abstractNumId w:val="2"/>
  </w:num>
  <w:num w:numId="8" w16cid:durableId="35012236">
    <w:abstractNumId w:val="1"/>
  </w:num>
  <w:num w:numId="9" w16cid:durableId="711077664">
    <w:abstractNumId w:val="0"/>
  </w:num>
  <w:num w:numId="10" w16cid:durableId="1604993918">
    <w:abstractNumId w:val="12"/>
  </w:num>
  <w:num w:numId="11" w16cid:durableId="435447028">
    <w:abstractNumId w:val="11"/>
  </w:num>
  <w:num w:numId="12" w16cid:durableId="891042484">
    <w:abstractNumId w:val="12"/>
  </w:num>
  <w:num w:numId="13" w16cid:durableId="50661355">
    <w:abstractNumId w:val="3"/>
  </w:num>
  <w:num w:numId="14" w16cid:durableId="558327301">
    <w:abstractNumId w:val="14"/>
  </w:num>
  <w:num w:numId="15" w16cid:durableId="421416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5264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4356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68570">
    <w:abstractNumId w:val="8"/>
  </w:num>
  <w:num w:numId="19" w16cid:durableId="1384058720">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0" w16cid:durableId="304553249">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1" w16cid:durableId="762922757">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2" w16cid:durableId="5323507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449"/>
    <w:rsid w:val="00000B8E"/>
    <w:rsid w:val="00000EFE"/>
    <w:rsid w:val="000016D5"/>
    <w:rsid w:val="00002819"/>
    <w:rsid w:val="000032A5"/>
    <w:rsid w:val="00016B41"/>
    <w:rsid w:val="00017907"/>
    <w:rsid w:val="0002210B"/>
    <w:rsid w:val="00030E1E"/>
    <w:rsid w:val="000325F2"/>
    <w:rsid w:val="0003350C"/>
    <w:rsid w:val="00036DEB"/>
    <w:rsid w:val="00037BA8"/>
    <w:rsid w:val="00037BD2"/>
    <w:rsid w:val="00042B65"/>
    <w:rsid w:val="00043DA2"/>
    <w:rsid w:val="0004428A"/>
    <w:rsid w:val="00045A0A"/>
    <w:rsid w:val="0005181F"/>
    <w:rsid w:val="00055380"/>
    <w:rsid w:val="00055C27"/>
    <w:rsid w:val="00057FCE"/>
    <w:rsid w:val="00060052"/>
    <w:rsid w:val="000637D9"/>
    <w:rsid w:val="00066737"/>
    <w:rsid w:val="000735F1"/>
    <w:rsid w:val="00076B67"/>
    <w:rsid w:val="00080D4E"/>
    <w:rsid w:val="00082DAA"/>
    <w:rsid w:val="000833AF"/>
    <w:rsid w:val="000836F6"/>
    <w:rsid w:val="00084783"/>
    <w:rsid w:val="00084972"/>
    <w:rsid w:val="0008514C"/>
    <w:rsid w:val="000876CB"/>
    <w:rsid w:val="0009126F"/>
    <w:rsid w:val="0009203F"/>
    <w:rsid w:val="00092FC0"/>
    <w:rsid w:val="00095362"/>
    <w:rsid w:val="000A0438"/>
    <w:rsid w:val="000A4011"/>
    <w:rsid w:val="000A6DE7"/>
    <w:rsid w:val="000B0266"/>
    <w:rsid w:val="000B1A0D"/>
    <w:rsid w:val="000B309A"/>
    <w:rsid w:val="000B6176"/>
    <w:rsid w:val="000C2704"/>
    <w:rsid w:val="000C7B66"/>
    <w:rsid w:val="000D1414"/>
    <w:rsid w:val="000D2970"/>
    <w:rsid w:val="000D4B4F"/>
    <w:rsid w:val="000D6101"/>
    <w:rsid w:val="000D7CA1"/>
    <w:rsid w:val="000D7DB7"/>
    <w:rsid w:val="000E135E"/>
    <w:rsid w:val="000E1579"/>
    <w:rsid w:val="000E1CFC"/>
    <w:rsid w:val="000E2090"/>
    <w:rsid w:val="000E2B60"/>
    <w:rsid w:val="000E5AB1"/>
    <w:rsid w:val="000E5E49"/>
    <w:rsid w:val="000F24C7"/>
    <w:rsid w:val="000F32DD"/>
    <w:rsid w:val="000F4554"/>
    <w:rsid w:val="000F5529"/>
    <w:rsid w:val="000F70BB"/>
    <w:rsid w:val="000F7BB6"/>
    <w:rsid w:val="001012B6"/>
    <w:rsid w:val="001019CF"/>
    <w:rsid w:val="00102EAD"/>
    <w:rsid w:val="00102F62"/>
    <w:rsid w:val="00104C5A"/>
    <w:rsid w:val="00117913"/>
    <w:rsid w:val="00120892"/>
    <w:rsid w:val="0012193D"/>
    <w:rsid w:val="00122935"/>
    <w:rsid w:val="001229ED"/>
    <w:rsid w:val="0012424B"/>
    <w:rsid w:val="00124D1D"/>
    <w:rsid w:val="00126544"/>
    <w:rsid w:val="0013012F"/>
    <w:rsid w:val="00130935"/>
    <w:rsid w:val="00137015"/>
    <w:rsid w:val="00141746"/>
    <w:rsid w:val="00142694"/>
    <w:rsid w:val="00146DE5"/>
    <w:rsid w:val="00147719"/>
    <w:rsid w:val="00147A8B"/>
    <w:rsid w:val="001526A6"/>
    <w:rsid w:val="00152B79"/>
    <w:rsid w:val="001544FC"/>
    <w:rsid w:val="00155088"/>
    <w:rsid w:val="0015625B"/>
    <w:rsid w:val="00156D5F"/>
    <w:rsid w:val="00157E4C"/>
    <w:rsid w:val="00160B26"/>
    <w:rsid w:val="00162B03"/>
    <w:rsid w:val="0016446E"/>
    <w:rsid w:val="001659DD"/>
    <w:rsid w:val="00167308"/>
    <w:rsid w:val="00167477"/>
    <w:rsid w:val="001674E4"/>
    <w:rsid w:val="00171E62"/>
    <w:rsid w:val="00173383"/>
    <w:rsid w:val="00173A47"/>
    <w:rsid w:val="00175A76"/>
    <w:rsid w:val="00175BE1"/>
    <w:rsid w:val="0017637A"/>
    <w:rsid w:val="001768F1"/>
    <w:rsid w:val="00180E47"/>
    <w:rsid w:val="001839F2"/>
    <w:rsid w:val="00183F5C"/>
    <w:rsid w:val="001858EB"/>
    <w:rsid w:val="001864E9"/>
    <w:rsid w:val="0019007D"/>
    <w:rsid w:val="00194E09"/>
    <w:rsid w:val="00195C79"/>
    <w:rsid w:val="00197BAB"/>
    <w:rsid w:val="001A00F0"/>
    <w:rsid w:val="001A1058"/>
    <w:rsid w:val="001A3A9A"/>
    <w:rsid w:val="001A3E50"/>
    <w:rsid w:val="001A45E7"/>
    <w:rsid w:val="001B1134"/>
    <w:rsid w:val="001B2FCB"/>
    <w:rsid w:val="001B3FD8"/>
    <w:rsid w:val="001B42AB"/>
    <w:rsid w:val="001B54A7"/>
    <w:rsid w:val="001B551F"/>
    <w:rsid w:val="001B5A48"/>
    <w:rsid w:val="001B62CD"/>
    <w:rsid w:val="001B71F8"/>
    <w:rsid w:val="001C0CBF"/>
    <w:rsid w:val="001C1161"/>
    <w:rsid w:val="001C149F"/>
    <w:rsid w:val="001C60A4"/>
    <w:rsid w:val="001D1536"/>
    <w:rsid w:val="001D1B72"/>
    <w:rsid w:val="001D4D15"/>
    <w:rsid w:val="001D590D"/>
    <w:rsid w:val="001D5DF3"/>
    <w:rsid w:val="001D5ECA"/>
    <w:rsid w:val="001E0DD6"/>
    <w:rsid w:val="001E23F4"/>
    <w:rsid w:val="001E301D"/>
    <w:rsid w:val="001E4566"/>
    <w:rsid w:val="001E6539"/>
    <w:rsid w:val="001E7C87"/>
    <w:rsid w:val="001F1140"/>
    <w:rsid w:val="001F34E8"/>
    <w:rsid w:val="001F43A3"/>
    <w:rsid w:val="001F4F0C"/>
    <w:rsid w:val="001F55B8"/>
    <w:rsid w:val="0020126F"/>
    <w:rsid w:val="0020297B"/>
    <w:rsid w:val="002063AE"/>
    <w:rsid w:val="002064AF"/>
    <w:rsid w:val="00206817"/>
    <w:rsid w:val="002077FD"/>
    <w:rsid w:val="0021084B"/>
    <w:rsid w:val="0021141B"/>
    <w:rsid w:val="0021395E"/>
    <w:rsid w:val="002162D4"/>
    <w:rsid w:val="00220890"/>
    <w:rsid w:val="00220F85"/>
    <w:rsid w:val="0022209D"/>
    <w:rsid w:val="00224950"/>
    <w:rsid w:val="002253DA"/>
    <w:rsid w:val="00225D2C"/>
    <w:rsid w:val="00225EFD"/>
    <w:rsid w:val="002329DE"/>
    <w:rsid w:val="00232E37"/>
    <w:rsid w:val="0023334C"/>
    <w:rsid w:val="00240410"/>
    <w:rsid w:val="00240485"/>
    <w:rsid w:val="0024147D"/>
    <w:rsid w:val="002459ED"/>
    <w:rsid w:val="00251F00"/>
    <w:rsid w:val="0025242F"/>
    <w:rsid w:val="00254FCE"/>
    <w:rsid w:val="0025769A"/>
    <w:rsid w:val="00257BE5"/>
    <w:rsid w:val="00263602"/>
    <w:rsid w:val="002666F5"/>
    <w:rsid w:val="0026722F"/>
    <w:rsid w:val="00272200"/>
    <w:rsid w:val="00273CA8"/>
    <w:rsid w:val="00276C64"/>
    <w:rsid w:val="0028136A"/>
    <w:rsid w:val="00282136"/>
    <w:rsid w:val="0028433A"/>
    <w:rsid w:val="0028439C"/>
    <w:rsid w:val="00286CF2"/>
    <w:rsid w:val="0028735A"/>
    <w:rsid w:val="00291EA7"/>
    <w:rsid w:val="0029283C"/>
    <w:rsid w:val="00293D38"/>
    <w:rsid w:val="00296F23"/>
    <w:rsid w:val="00297104"/>
    <w:rsid w:val="002A13BE"/>
    <w:rsid w:val="002A3CCC"/>
    <w:rsid w:val="002A65C5"/>
    <w:rsid w:val="002B41C6"/>
    <w:rsid w:val="002B7995"/>
    <w:rsid w:val="002C2B7A"/>
    <w:rsid w:val="002C3FDA"/>
    <w:rsid w:val="002C5A50"/>
    <w:rsid w:val="002C6E70"/>
    <w:rsid w:val="002D0E5B"/>
    <w:rsid w:val="002D1C7D"/>
    <w:rsid w:val="002D2997"/>
    <w:rsid w:val="002D29B0"/>
    <w:rsid w:val="002D3609"/>
    <w:rsid w:val="002D3643"/>
    <w:rsid w:val="002D3C39"/>
    <w:rsid w:val="002D46DA"/>
    <w:rsid w:val="002D5D4F"/>
    <w:rsid w:val="002D647B"/>
    <w:rsid w:val="002E039B"/>
    <w:rsid w:val="002E1DCB"/>
    <w:rsid w:val="002E2286"/>
    <w:rsid w:val="002E2DAD"/>
    <w:rsid w:val="002E7122"/>
    <w:rsid w:val="002E7ECB"/>
    <w:rsid w:val="002F111F"/>
    <w:rsid w:val="002F2791"/>
    <w:rsid w:val="002F43EC"/>
    <w:rsid w:val="002F4D50"/>
    <w:rsid w:val="002F5466"/>
    <w:rsid w:val="002F56B7"/>
    <w:rsid w:val="0030237B"/>
    <w:rsid w:val="003027B1"/>
    <w:rsid w:val="0030421C"/>
    <w:rsid w:val="003067E7"/>
    <w:rsid w:val="00311FD5"/>
    <w:rsid w:val="00312FA3"/>
    <w:rsid w:val="003247A4"/>
    <w:rsid w:val="00327F77"/>
    <w:rsid w:val="00330A04"/>
    <w:rsid w:val="003316A0"/>
    <w:rsid w:val="00331F37"/>
    <w:rsid w:val="003349FB"/>
    <w:rsid w:val="00334D8D"/>
    <w:rsid w:val="003366E7"/>
    <w:rsid w:val="003419B2"/>
    <w:rsid w:val="0034288F"/>
    <w:rsid w:val="00343838"/>
    <w:rsid w:val="00347F87"/>
    <w:rsid w:val="00350594"/>
    <w:rsid w:val="003543C0"/>
    <w:rsid w:val="00354993"/>
    <w:rsid w:val="0035746E"/>
    <w:rsid w:val="0035753E"/>
    <w:rsid w:val="0036504A"/>
    <w:rsid w:val="00372316"/>
    <w:rsid w:val="00372ABD"/>
    <w:rsid w:val="00374BAE"/>
    <w:rsid w:val="003763C9"/>
    <w:rsid w:val="003764B8"/>
    <w:rsid w:val="003813C5"/>
    <w:rsid w:val="00384685"/>
    <w:rsid w:val="00384699"/>
    <w:rsid w:val="00385387"/>
    <w:rsid w:val="00385F6B"/>
    <w:rsid w:val="003868BF"/>
    <w:rsid w:val="00386AF7"/>
    <w:rsid w:val="00386E0A"/>
    <w:rsid w:val="003920CA"/>
    <w:rsid w:val="00393BB4"/>
    <w:rsid w:val="003A16E9"/>
    <w:rsid w:val="003A22F7"/>
    <w:rsid w:val="003A3D3E"/>
    <w:rsid w:val="003B008E"/>
    <w:rsid w:val="003B04AD"/>
    <w:rsid w:val="003B09D0"/>
    <w:rsid w:val="003B0AFF"/>
    <w:rsid w:val="003B1008"/>
    <w:rsid w:val="003B1A86"/>
    <w:rsid w:val="003B27DE"/>
    <w:rsid w:val="003B55B4"/>
    <w:rsid w:val="003C0773"/>
    <w:rsid w:val="003C0BDF"/>
    <w:rsid w:val="003C1973"/>
    <w:rsid w:val="003C247A"/>
    <w:rsid w:val="003C2CFC"/>
    <w:rsid w:val="003C3449"/>
    <w:rsid w:val="003C3BA6"/>
    <w:rsid w:val="003C462A"/>
    <w:rsid w:val="003C63A6"/>
    <w:rsid w:val="003C6C10"/>
    <w:rsid w:val="003D0868"/>
    <w:rsid w:val="003D1485"/>
    <w:rsid w:val="003D1B7D"/>
    <w:rsid w:val="003D1CC2"/>
    <w:rsid w:val="003D30C6"/>
    <w:rsid w:val="003D32A1"/>
    <w:rsid w:val="003D4F27"/>
    <w:rsid w:val="003D684E"/>
    <w:rsid w:val="003E0D20"/>
    <w:rsid w:val="003E1A78"/>
    <w:rsid w:val="003E2DAA"/>
    <w:rsid w:val="003E2FAF"/>
    <w:rsid w:val="003E3A87"/>
    <w:rsid w:val="003E3E52"/>
    <w:rsid w:val="003E40D9"/>
    <w:rsid w:val="003E497C"/>
    <w:rsid w:val="003E4C19"/>
    <w:rsid w:val="003E5612"/>
    <w:rsid w:val="003E58D9"/>
    <w:rsid w:val="003E5A51"/>
    <w:rsid w:val="003E6BE3"/>
    <w:rsid w:val="003F0955"/>
    <w:rsid w:val="003F161B"/>
    <w:rsid w:val="003F2DDF"/>
    <w:rsid w:val="003F3B6B"/>
    <w:rsid w:val="003F3CB0"/>
    <w:rsid w:val="003F49D7"/>
    <w:rsid w:val="003F6E9D"/>
    <w:rsid w:val="00400432"/>
    <w:rsid w:val="00401817"/>
    <w:rsid w:val="0040247D"/>
    <w:rsid w:val="00402A19"/>
    <w:rsid w:val="00403C5B"/>
    <w:rsid w:val="00407533"/>
    <w:rsid w:val="00410615"/>
    <w:rsid w:val="004121D9"/>
    <w:rsid w:val="00414896"/>
    <w:rsid w:val="00416BE6"/>
    <w:rsid w:val="00421991"/>
    <w:rsid w:val="004248F3"/>
    <w:rsid w:val="0042552D"/>
    <w:rsid w:val="00426E33"/>
    <w:rsid w:val="004276BA"/>
    <w:rsid w:val="004308C7"/>
    <w:rsid w:val="00430F60"/>
    <w:rsid w:val="00433557"/>
    <w:rsid w:val="00433D4D"/>
    <w:rsid w:val="004372B6"/>
    <w:rsid w:val="0043752D"/>
    <w:rsid w:val="00437772"/>
    <w:rsid w:val="0044450E"/>
    <w:rsid w:val="00444A30"/>
    <w:rsid w:val="004459C1"/>
    <w:rsid w:val="00445FBE"/>
    <w:rsid w:val="004462A6"/>
    <w:rsid w:val="00446747"/>
    <w:rsid w:val="004503B7"/>
    <w:rsid w:val="00450959"/>
    <w:rsid w:val="00451C67"/>
    <w:rsid w:val="00452F29"/>
    <w:rsid w:val="00453019"/>
    <w:rsid w:val="00453FD1"/>
    <w:rsid w:val="00454D76"/>
    <w:rsid w:val="00457312"/>
    <w:rsid w:val="00457556"/>
    <w:rsid w:val="004576D3"/>
    <w:rsid w:val="00463BB1"/>
    <w:rsid w:val="00465309"/>
    <w:rsid w:val="00465E6B"/>
    <w:rsid w:val="00472261"/>
    <w:rsid w:val="00472A7C"/>
    <w:rsid w:val="00476327"/>
    <w:rsid w:val="0048079E"/>
    <w:rsid w:val="00480FE0"/>
    <w:rsid w:val="0048300B"/>
    <w:rsid w:val="00483747"/>
    <w:rsid w:val="00484741"/>
    <w:rsid w:val="0048774B"/>
    <w:rsid w:val="00490915"/>
    <w:rsid w:val="00493BC6"/>
    <w:rsid w:val="004947E5"/>
    <w:rsid w:val="00494943"/>
    <w:rsid w:val="00495203"/>
    <w:rsid w:val="004964CA"/>
    <w:rsid w:val="004A0056"/>
    <w:rsid w:val="004A0C10"/>
    <w:rsid w:val="004A24AB"/>
    <w:rsid w:val="004A4BFA"/>
    <w:rsid w:val="004A743E"/>
    <w:rsid w:val="004B1BB5"/>
    <w:rsid w:val="004B2D5D"/>
    <w:rsid w:val="004B336F"/>
    <w:rsid w:val="004B3D0F"/>
    <w:rsid w:val="004B43A5"/>
    <w:rsid w:val="004B5695"/>
    <w:rsid w:val="004B7194"/>
    <w:rsid w:val="004C0FAF"/>
    <w:rsid w:val="004C1FDD"/>
    <w:rsid w:val="004C49F5"/>
    <w:rsid w:val="004C5148"/>
    <w:rsid w:val="004D15B3"/>
    <w:rsid w:val="004D1C50"/>
    <w:rsid w:val="004D30C1"/>
    <w:rsid w:val="004D36C1"/>
    <w:rsid w:val="004D5D65"/>
    <w:rsid w:val="004E57B7"/>
    <w:rsid w:val="004E5ACC"/>
    <w:rsid w:val="004E60C0"/>
    <w:rsid w:val="004E784E"/>
    <w:rsid w:val="004F2AE4"/>
    <w:rsid w:val="004F5EC1"/>
    <w:rsid w:val="004F6111"/>
    <w:rsid w:val="004F61DA"/>
    <w:rsid w:val="005012FE"/>
    <w:rsid w:val="00501DD1"/>
    <w:rsid w:val="00502BA2"/>
    <w:rsid w:val="005040D3"/>
    <w:rsid w:val="005066A9"/>
    <w:rsid w:val="005165AD"/>
    <w:rsid w:val="00526956"/>
    <w:rsid w:val="005278F0"/>
    <w:rsid w:val="00530221"/>
    <w:rsid w:val="005329F0"/>
    <w:rsid w:val="00532B91"/>
    <w:rsid w:val="00532E3E"/>
    <w:rsid w:val="00532F82"/>
    <w:rsid w:val="00534962"/>
    <w:rsid w:val="00536EB2"/>
    <w:rsid w:val="00543957"/>
    <w:rsid w:val="00544099"/>
    <w:rsid w:val="00545C22"/>
    <w:rsid w:val="00546AF7"/>
    <w:rsid w:val="00546D9B"/>
    <w:rsid w:val="005545A3"/>
    <w:rsid w:val="00555585"/>
    <w:rsid w:val="005612F3"/>
    <w:rsid w:val="00563473"/>
    <w:rsid w:val="005635FA"/>
    <w:rsid w:val="00563650"/>
    <w:rsid w:val="00563B17"/>
    <w:rsid w:val="005718CA"/>
    <w:rsid w:val="005723A7"/>
    <w:rsid w:val="00574B16"/>
    <w:rsid w:val="00575F95"/>
    <w:rsid w:val="00580A77"/>
    <w:rsid w:val="00585C1B"/>
    <w:rsid w:val="00585CEE"/>
    <w:rsid w:val="00587820"/>
    <w:rsid w:val="0059022E"/>
    <w:rsid w:val="00591161"/>
    <w:rsid w:val="00596F73"/>
    <w:rsid w:val="00597CBE"/>
    <w:rsid w:val="005A6A23"/>
    <w:rsid w:val="005B1D99"/>
    <w:rsid w:val="005B1E20"/>
    <w:rsid w:val="005B27FB"/>
    <w:rsid w:val="005B36F2"/>
    <w:rsid w:val="005B3ED1"/>
    <w:rsid w:val="005B621F"/>
    <w:rsid w:val="005B7791"/>
    <w:rsid w:val="005C0E21"/>
    <w:rsid w:val="005C29ED"/>
    <w:rsid w:val="005C4943"/>
    <w:rsid w:val="005C5BD8"/>
    <w:rsid w:val="005C6471"/>
    <w:rsid w:val="005C78C8"/>
    <w:rsid w:val="005D0524"/>
    <w:rsid w:val="005D1175"/>
    <w:rsid w:val="005D169D"/>
    <w:rsid w:val="005E181A"/>
    <w:rsid w:val="005E1DEA"/>
    <w:rsid w:val="005E1F2E"/>
    <w:rsid w:val="005E2832"/>
    <w:rsid w:val="005E2B20"/>
    <w:rsid w:val="005E2FF2"/>
    <w:rsid w:val="005E6448"/>
    <w:rsid w:val="005E76D5"/>
    <w:rsid w:val="005F12AF"/>
    <w:rsid w:val="005F217E"/>
    <w:rsid w:val="005F2187"/>
    <w:rsid w:val="005F2393"/>
    <w:rsid w:val="005F31A1"/>
    <w:rsid w:val="005F386D"/>
    <w:rsid w:val="005F4936"/>
    <w:rsid w:val="005F52F5"/>
    <w:rsid w:val="005F74FA"/>
    <w:rsid w:val="00600E38"/>
    <w:rsid w:val="006023B5"/>
    <w:rsid w:val="00602744"/>
    <w:rsid w:val="00603213"/>
    <w:rsid w:val="00603630"/>
    <w:rsid w:val="0060635E"/>
    <w:rsid w:val="00611791"/>
    <w:rsid w:val="00613440"/>
    <w:rsid w:val="006141B4"/>
    <w:rsid w:val="00615D12"/>
    <w:rsid w:val="00617B7F"/>
    <w:rsid w:val="00621979"/>
    <w:rsid w:val="006242F0"/>
    <w:rsid w:val="00625054"/>
    <w:rsid w:val="0062690F"/>
    <w:rsid w:val="006301CE"/>
    <w:rsid w:val="006316B1"/>
    <w:rsid w:val="00632A37"/>
    <w:rsid w:val="00636173"/>
    <w:rsid w:val="0063668B"/>
    <w:rsid w:val="00637198"/>
    <w:rsid w:val="006375BA"/>
    <w:rsid w:val="00640445"/>
    <w:rsid w:val="0064166E"/>
    <w:rsid w:val="00645EB9"/>
    <w:rsid w:val="00646543"/>
    <w:rsid w:val="006465D2"/>
    <w:rsid w:val="0065616A"/>
    <w:rsid w:val="006562DE"/>
    <w:rsid w:val="00657D8B"/>
    <w:rsid w:val="006615F0"/>
    <w:rsid w:val="0066567C"/>
    <w:rsid w:val="0066713D"/>
    <w:rsid w:val="006674E2"/>
    <w:rsid w:val="006676C8"/>
    <w:rsid w:val="006701F0"/>
    <w:rsid w:val="00673859"/>
    <w:rsid w:val="00673F42"/>
    <w:rsid w:val="006749CB"/>
    <w:rsid w:val="00677465"/>
    <w:rsid w:val="00680F51"/>
    <w:rsid w:val="00683A4B"/>
    <w:rsid w:val="00683F80"/>
    <w:rsid w:val="00691342"/>
    <w:rsid w:val="006952D1"/>
    <w:rsid w:val="00696275"/>
    <w:rsid w:val="006A063F"/>
    <w:rsid w:val="006A0DD3"/>
    <w:rsid w:val="006A2B60"/>
    <w:rsid w:val="006A4DA2"/>
    <w:rsid w:val="006A550C"/>
    <w:rsid w:val="006A6751"/>
    <w:rsid w:val="006A695C"/>
    <w:rsid w:val="006B08D9"/>
    <w:rsid w:val="006B10E9"/>
    <w:rsid w:val="006B198C"/>
    <w:rsid w:val="006B27E0"/>
    <w:rsid w:val="006C004C"/>
    <w:rsid w:val="006C02BD"/>
    <w:rsid w:val="006C15DB"/>
    <w:rsid w:val="006C39C5"/>
    <w:rsid w:val="006C6113"/>
    <w:rsid w:val="006C7602"/>
    <w:rsid w:val="006D145A"/>
    <w:rsid w:val="006D1DD8"/>
    <w:rsid w:val="006D4741"/>
    <w:rsid w:val="006D6465"/>
    <w:rsid w:val="006D68F6"/>
    <w:rsid w:val="006E0699"/>
    <w:rsid w:val="006E15BC"/>
    <w:rsid w:val="006E1B6F"/>
    <w:rsid w:val="006E214D"/>
    <w:rsid w:val="006E25F6"/>
    <w:rsid w:val="006E2FBC"/>
    <w:rsid w:val="006E31F3"/>
    <w:rsid w:val="006E4F60"/>
    <w:rsid w:val="006E55C1"/>
    <w:rsid w:val="006F6490"/>
    <w:rsid w:val="006F663A"/>
    <w:rsid w:val="006F6C87"/>
    <w:rsid w:val="007012D1"/>
    <w:rsid w:val="00703BE0"/>
    <w:rsid w:val="00705CF5"/>
    <w:rsid w:val="007061B3"/>
    <w:rsid w:val="007062A6"/>
    <w:rsid w:val="00713B94"/>
    <w:rsid w:val="00714EBA"/>
    <w:rsid w:val="0071513E"/>
    <w:rsid w:val="00716CEC"/>
    <w:rsid w:val="00717537"/>
    <w:rsid w:val="007200CC"/>
    <w:rsid w:val="00722B16"/>
    <w:rsid w:val="00723A7F"/>
    <w:rsid w:val="00724059"/>
    <w:rsid w:val="007246E1"/>
    <w:rsid w:val="00725DA6"/>
    <w:rsid w:val="0073097E"/>
    <w:rsid w:val="00731F42"/>
    <w:rsid w:val="00732439"/>
    <w:rsid w:val="00734AF8"/>
    <w:rsid w:val="00736788"/>
    <w:rsid w:val="007450C8"/>
    <w:rsid w:val="00745B89"/>
    <w:rsid w:val="00745F36"/>
    <w:rsid w:val="00746A8E"/>
    <w:rsid w:val="00752063"/>
    <w:rsid w:val="00752107"/>
    <w:rsid w:val="00755F22"/>
    <w:rsid w:val="0075633E"/>
    <w:rsid w:val="0075674E"/>
    <w:rsid w:val="00756E0D"/>
    <w:rsid w:val="00757472"/>
    <w:rsid w:val="00760514"/>
    <w:rsid w:val="00760533"/>
    <w:rsid w:val="00762C46"/>
    <w:rsid w:val="00764FF6"/>
    <w:rsid w:val="00765ABD"/>
    <w:rsid w:val="00765B68"/>
    <w:rsid w:val="007679D8"/>
    <w:rsid w:val="00773068"/>
    <w:rsid w:val="0077380E"/>
    <w:rsid w:val="00773C3F"/>
    <w:rsid w:val="007830BE"/>
    <w:rsid w:val="00785937"/>
    <w:rsid w:val="00787BC8"/>
    <w:rsid w:val="00790401"/>
    <w:rsid w:val="00790AD2"/>
    <w:rsid w:val="0079264A"/>
    <w:rsid w:val="007926B3"/>
    <w:rsid w:val="00793C0E"/>
    <w:rsid w:val="00796755"/>
    <w:rsid w:val="00796E71"/>
    <w:rsid w:val="007979A7"/>
    <w:rsid w:val="00797F75"/>
    <w:rsid w:val="007A1F12"/>
    <w:rsid w:val="007A3AB4"/>
    <w:rsid w:val="007A66B9"/>
    <w:rsid w:val="007A6F2C"/>
    <w:rsid w:val="007B1555"/>
    <w:rsid w:val="007B430D"/>
    <w:rsid w:val="007C43C1"/>
    <w:rsid w:val="007C58C4"/>
    <w:rsid w:val="007D1470"/>
    <w:rsid w:val="007D5014"/>
    <w:rsid w:val="007D5A25"/>
    <w:rsid w:val="007E246D"/>
    <w:rsid w:val="007E2744"/>
    <w:rsid w:val="007E2967"/>
    <w:rsid w:val="007E4EC4"/>
    <w:rsid w:val="007E5192"/>
    <w:rsid w:val="007E5B19"/>
    <w:rsid w:val="007E6E4B"/>
    <w:rsid w:val="007F3F24"/>
    <w:rsid w:val="007F4B75"/>
    <w:rsid w:val="007F6498"/>
    <w:rsid w:val="007F6B18"/>
    <w:rsid w:val="00803F17"/>
    <w:rsid w:val="00804350"/>
    <w:rsid w:val="00806042"/>
    <w:rsid w:val="008076CB"/>
    <w:rsid w:val="00810CDD"/>
    <w:rsid w:val="008122F2"/>
    <w:rsid w:val="00812746"/>
    <w:rsid w:val="008145A2"/>
    <w:rsid w:val="00814A2C"/>
    <w:rsid w:val="0081555F"/>
    <w:rsid w:val="0081639D"/>
    <w:rsid w:val="008174A6"/>
    <w:rsid w:val="00824D3C"/>
    <w:rsid w:val="00826F5D"/>
    <w:rsid w:val="008277B1"/>
    <w:rsid w:val="0083050A"/>
    <w:rsid w:val="00831D9F"/>
    <w:rsid w:val="00831EE0"/>
    <w:rsid w:val="00832ADA"/>
    <w:rsid w:val="00832C54"/>
    <w:rsid w:val="008342A5"/>
    <w:rsid w:val="0083619F"/>
    <w:rsid w:val="0083798F"/>
    <w:rsid w:val="00837ADE"/>
    <w:rsid w:val="00837D4F"/>
    <w:rsid w:val="00841B8C"/>
    <w:rsid w:val="008422F2"/>
    <w:rsid w:val="008428AB"/>
    <w:rsid w:val="008430FA"/>
    <w:rsid w:val="00845EDF"/>
    <w:rsid w:val="008475B8"/>
    <w:rsid w:val="00851E44"/>
    <w:rsid w:val="00852E5A"/>
    <w:rsid w:val="0085304A"/>
    <w:rsid w:val="008545C3"/>
    <w:rsid w:val="00855FA9"/>
    <w:rsid w:val="00856DAD"/>
    <w:rsid w:val="00860F51"/>
    <w:rsid w:val="00860F7E"/>
    <w:rsid w:val="008624E2"/>
    <w:rsid w:val="008640BB"/>
    <w:rsid w:val="0086590F"/>
    <w:rsid w:val="008667A9"/>
    <w:rsid w:val="008715ED"/>
    <w:rsid w:val="00873479"/>
    <w:rsid w:val="0087426B"/>
    <w:rsid w:val="00874900"/>
    <w:rsid w:val="00882245"/>
    <w:rsid w:val="00882BEF"/>
    <w:rsid w:val="00884568"/>
    <w:rsid w:val="00885126"/>
    <w:rsid w:val="00885AFD"/>
    <w:rsid w:val="00886DE9"/>
    <w:rsid w:val="008903EE"/>
    <w:rsid w:val="00890BB8"/>
    <w:rsid w:val="008911C0"/>
    <w:rsid w:val="00892CA9"/>
    <w:rsid w:val="00894644"/>
    <w:rsid w:val="008946A7"/>
    <w:rsid w:val="00894D7D"/>
    <w:rsid w:val="00895C7C"/>
    <w:rsid w:val="00897A5A"/>
    <w:rsid w:val="008A0014"/>
    <w:rsid w:val="008A1C58"/>
    <w:rsid w:val="008A1E4C"/>
    <w:rsid w:val="008A25C5"/>
    <w:rsid w:val="008A37F6"/>
    <w:rsid w:val="008A6224"/>
    <w:rsid w:val="008A7042"/>
    <w:rsid w:val="008B39F2"/>
    <w:rsid w:val="008B50A1"/>
    <w:rsid w:val="008B61D6"/>
    <w:rsid w:val="008B6DC1"/>
    <w:rsid w:val="008C091C"/>
    <w:rsid w:val="008C1870"/>
    <w:rsid w:val="008C30D2"/>
    <w:rsid w:val="008C6E20"/>
    <w:rsid w:val="008C7F72"/>
    <w:rsid w:val="008C7FC1"/>
    <w:rsid w:val="008D4781"/>
    <w:rsid w:val="008D5E69"/>
    <w:rsid w:val="008D60C8"/>
    <w:rsid w:val="008E3D37"/>
    <w:rsid w:val="008E3E7D"/>
    <w:rsid w:val="008E5039"/>
    <w:rsid w:val="008E5A93"/>
    <w:rsid w:val="008E61DF"/>
    <w:rsid w:val="008F04E0"/>
    <w:rsid w:val="008F0B87"/>
    <w:rsid w:val="008F0F4A"/>
    <w:rsid w:val="008F18B3"/>
    <w:rsid w:val="008F1A0A"/>
    <w:rsid w:val="008F2018"/>
    <w:rsid w:val="008F3C30"/>
    <w:rsid w:val="008F676D"/>
    <w:rsid w:val="008F6901"/>
    <w:rsid w:val="008F7441"/>
    <w:rsid w:val="00901C9A"/>
    <w:rsid w:val="0090243F"/>
    <w:rsid w:val="00903EB2"/>
    <w:rsid w:val="0090476E"/>
    <w:rsid w:val="00904857"/>
    <w:rsid w:val="00904B1E"/>
    <w:rsid w:val="0090622E"/>
    <w:rsid w:val="00907F32"/>
    <w:rsid w:val="009102F8"/>
    <w:rsid w:val="00910E4A"/>
    <w:rsid w:val="009111CF"/>
    <w:rsid w:val="009119F0"/>
    <w:rsid w:val="00912431"/>
    <w:rsid w:val="00913800"/>
    <w:rsid w:val="0091445C"/>
    <w:rsid w:val="00914861"/>
    <w:rsid w:val="00914D5C"/>
    <w:rsid w:val="00916C88"/>
    <w:rsid w:val="00917106"/>
    <w:rsid w:val="00920F55"/>
    <w:rsid w:val="00923690"/>
    <w:rsid w:val="00925827"/>
    <w:rsid w:val="009265DD"/>
    <w:rsid w:val="00926AD1"/>
    <w:rsid w:val="00927F10"/>
    <w:rsid w:val="009319AE"/>
    <w:rsid w:val="009375BF"/>
    <w:rsid w:val="0094130E"/>
    <w:rsid w:val="009462E2"/>
    <w:rsid w:val="00951811"/>
    <w:rsid w:val="00952107"/>
    <w:rsid w:val="00952558"/>
    <w:rsid w:val="00952E99"/>
    <w:rsid w:val="009617D1"/>
    <w:rsid w:val="00963E0B"/>
    <w:rsid w:val="009641CE"/>
    <w:rsid w:val="009644DE"/>
    <w:rsid w:val="009646F5"/>
    <w:rsid w:val="009724A0"/>
    <w:rsid w:val="00973637"/>
    <w:rsid w:val="00973BC6"/>
    <w:rsid w:val="00974DB7"/>
    <w:rsid w:val="00975693"/>
    <w:rsid w:val="009757DA"/>
    <w:rsid w:val="00981E60"/>
    <w:rsid w:val="009821CB"/>
    <w:rsid w:val="009822CC"/>
    <w:rsid w:val="00982820"/>
    <w:rsid w:val="00982ADC"/>
    <w:rsid w:val="009852F9"/>
    <w:rsid w:val="00985547"/>
    <w:rsid w:val="00992112"/>
    <w:rsid w:val="0099269F"/>
    <w:rsid w:val="00992B05"/>
    <w:rsid w:val="00994102"/>
    <w:rsid w:val="009942BE"/>
    <w:rsid w:val="00995D5A"/>
    <w:rsid w:val="009A34CB"/>
    <w:rsid w:val="009A5DA3"/>
    <w:rsid w:val="009A60B8"/>
    <w:rsid w:val="009B04F7"/>
    <w:rsid w:val="009B5565"/>
    <w:rsid w:val="009C085A"/>
    <w:rsid w:val="009C0B3F"/>
    <w:rsid w:val="009C3E78"/>
    <w:rsid w:val="009C7888"/>
    <w:rsid w:val="009D4BF5"/>
    <w:rsid w:val="009D6E35"/>
    <w:rsid w:val="009E0644"/>
    <w:rsid w:val="009E13FE"/>
    <w:rsid w:val="009E34CC"/>
    <w:rsid w:val="009E476E"/>
    <w:rsid w:val="009E5D09"/>
    <w:rsid w:val="009F4755"/>
    <w:rsid w:val="009F5929"/>
    <w:rsid w:val="009F642E"/>
    <w:rsid w:val="009F7321"/>
    <w:rsid w:val="00A00A07"/>
    <w:rsid w:val="00A02455"/>
    <w:rsid w:val="00A03E79"/>
    <w:rsid w:val="00A0432A"/>
    <w:rsid w:val="00A107B3"/>
    <w:rsid w:val="00A12B6D"/>
    <w:rsid w:val="00A14898"/>
    <w:rsid w:val="00A17292"/>
    <w:rsid w:val="00A17B11"/>
    <w:rsid w:val="00A2349A"/>
    <w:rsid w:val="00A25A91"/>
    <w:rsid w:val="00A2730A"/>
    <w:rsid w:val="00A27332"/>
    <w:rsid w:val="00A310F3"/>
    <w:rsid w:val="00A32472"/>
    <w:rsid w:val="00A32644"/>
    <w:rsid w:val="00A3650C"/>
    <w:rsid w:val="00A3724D"/>
    <w:rsid w:val="00A37A9B"/>
    <w:rsid w:val="00A4008F"/>
    <w:rsid w:val="00A404D5"/>
    <w:rsid w:val="00A409F9"/>
    <w:rsid w:val="00A429D6"/>
    <w:rsid w:val="00A42FBD"/>
    <w:rsid w:val="00A43DC2"/>
    <w:rsid w:val="00A45AEE"/>
    <w:rsid w:val="00A462A1"/>
    <w:rsid w:val="00A464A4"/>
    <w:rsid w:val="00A50CDD"/>
    <w:rsid w:val="00A5113C"/>
    <w:rsid w:val="00A51477"/>
    <w:rsid w:val="00A525B9"/>
    <w:rsid w:val="00A53AA4"/>
    <w:rsid w:val="00A575FC"/>
    <w:rsid w:val="00A624E2"/>
    <w:rsid w:val="00A625A6"/>
    <w:rsid w:val="00A62C17"/>
    <w:rsid w:val="00A64B14"/>
    <w:rsid w:val="00A66AC8"/>
    <w:rsid w:val="00A67863"/>
    <w:rsid w:val="00A70557"/>
    <w:rsid w:val="00A739EA"/>
    <w:rsid w:val="00A73FDA"/>
    <w:rsid w:val="00A7642D"/>
    <w:rsid w:val="00A77317"/>
    <w:rsid w:val="00A87FAC"/>
    <w:rsid w:val="00A90826"/>
    <w:rsid w:val="00A915D6"/>
    <w:rsid w:val="00A92720"/>
    <w:rsid w:val="00A92A4A"/>
    <w:rsid w:val="00A93476"/>
    <w:rsid w:val="00A94EDD"/>
    <w:rsid w:val="00A95FB0"/>
    <w:rsid w:val="00AA014D"/>
    <w:rsid w:val="00AA33B6"/>
    <w:rsid w:val="00AB3000"/>
    <w:rsid w:val="00AB4120"/>
    <w:rsid w:val="00AB6599"/>
    <w:rsid w:val="00AB7230"/>
    <w:rsid w:val="00AC3F17"/>
    <w:rsid w:val="00AD2D33"/>
    <w:rsid w:val="00AD4C3C"/>
    <w:rsid w:val="00AD6255"/>
    <w:rsid w:val="00AE0DEA"/>
    <w:rsid w:val="00AE1221"/>
    <w:rsid w:val="00AE46A9"/>
    <w:rsid w:val="00AE5D30"/>
    <w:rsid w:val="00AF205E"/>
    <w:rsid w:val="00AF41B0"/>
    <w:rsid w:val="00AF4725"/>
    <w:rsid w:val="00AF59D8"/>
    <w:rsid w:val="00AF5A70"/>
    <w:rsid w:val="00AF7AF9"/>
    <w:rsid w:val="00B017A5"/>
    <w:rsid w:val="00B04D1F"/>
    <w:rsid w:val="00B04FB8"/>
    <w:rsid w:val="00B0622B"/>
    <w:rsid w:val="00B111AB"/>
    <w:rsid w:val="00B20994"/>
    <w:rsid w:val="00B21AD9"/>
    <w:rsid w:val="00B26B7C"/>
    <w:rsid w:val="00B2713B"/>
    <w:rsid w:val="00B27525"/>
    <w:rsid w:val="00B2773F"/>
    <w:rsid w:val="00B30895"/>
    <w:rsid w:val="00B328C8"/>
    <w:rsid w:val="00B334A0"/>
    <w:rsid w:val="00B34AB1"/>
    <w:rsid w:val="00B34DB3"/>
    <w:rsid w:val="00B43A96"/>
    <w:rsid w:val="00B44AB9"/>
    <w:rsid w:val="00B50669"/>
    <w:rsid w:val="00B509AD"/>
    <w:rsid w:val="00B50C51"/>
    <w:rsid w:val="00B5283A"/>
    <w:rsid w:val="00B52F43"/>
    <w:rsid w:val="00B546CE"/>
    <w:rsid w:val="00B54C62"/>
    <w:rsid w:val="00B561A5"/>
    <w:rsid w:val="00B56A4E"/>
    <w:rsid w:val="00B56E30"/>
    <w:rsid w:val="00B5762E"/>
    <w:rsid w:val="00B607D5"/>
    <w:rsid w:val="00B6314E"/>
    <w:rsid w:val="00B7284B"/>
    <w:rsid w:val="00B73C52"/>
    <w:rsid w:val="00B7676E"/>
    <w:rsid w:val="00B80C9B"/>
    <w:rsid w:val="00B81745"/>
    <w:rsid w:val="00B81AB7"/>
    <w:rsid w:val="00B829E2"/>
    <w:rsid w:val="00B8365D"/>
    <w:rsid w:val="00B83AAA"/>
    <w:rsid w:val="00B906DF"/>
    <w:rsid w:val="00B91F92"/>
    <w:rsid w:val="00B922B8"/>
    <w:rsid w:val="00B92F4F"/>
    <w:rsid w:val="00B946A3"/>
    <w:rsid w:val="00B9577A"/>
    <w:rsid w:val="00BA010D"/>
    <w:rsid w:val="00BA3E54"/>
    <w:rsid w:val="00BA5147"/>
    <w:rsid w:val="00BA75AF"/>
    <w:rsid w:val="00BB3195"/>
    <w:rsid w:val="00BC03DF"/>
    <w:rsid w:val="00BC2D5E"/>
    <w:rsid w:val="00BC2F0D"/>
    <w:rsid w:val="00BC5512"/>
    <w:rsid w:val="00BC6FE3"/>
    <w:rsid w:val="00BD1EDB"/>
    <w:rsid w:val="00BD7860"/>
    <w:rsid w:val="00BE0245"/>
    <w:rsid w:val="00BE1FE1"/>
    <w:rsid w:val="00BE2981"/>
    <w:rsid w:val="00BF056F"/>
    <w:rsid w:val="00BF2BC5"/>
    <w:rsid w:val="00BF321E"/>
    <w:rsid w:val="00BF3BAC"/>
    <w:rsid w:val="00BF50D6"/>
    <w:rsid w:val="00C00032"/>
    <w:rsid w:val="00C038C1"/>
    <w:rsid w:val="00C07F6A"/>
    <w:rsid w:val="00C10EC5"/>
    <w:rsid w:val="00C129B9"/>
    <w:rsid w:val="00C12DE6"/>
    <w:rsid w:val="00C1369F"/>
    <w:rsid w:val="00C13A4A"/>
    <w:rsid w:val="00C15B7B"/>
    <w:rsid w:val="00C23E57"/>
    <w:rsid w:val="00C254CE"/>
    <w:rsid w:val="00C260C9"/>
    <w:rsid w:val="00C26E3E"/>
    <w:rsid w:val="00C27B93"/>
    <w:rsid w:val="00C300C1"/>
    <w:rsid w:val="00C32699"/>
    <w:rsid w:val="00C352FD"/>
    <w:rsid w:val="00C35494"/>
    <w:rsid w:val="00C37018"/>
    <w:rsid w:val="00C42B54"/>
    <w:rsid w:val="00C43F22"/>
    <w:rsid w:val="00C4471E"/>
    <w:rsid w:val="00C44B4E"/>
    <w:rsid w:val="00C4540E"/>
    <w:rsid w:val="00C4595C"/>
    <w:rsid w:val="00C45AD8"/>
    <w:rsid w:val="00C50737"/>
    <w:rsid w:val="00C50F62"/>
    <w:rsid w:val="00C53247"/>
    <w:rsid w:val="00C53DE0"/>
    <w:rsid w:val="00C54CD1"/>
    <w:rsid w:val="00C57A84"/>
    <w:rsid w:val="00C61625"/>
    <w:rsid w:val="00C6176E"/>
    <w:rsid w:val="00C61F00"/>
    <w:rsid w:val="00C63912"/>
    <w:rsid w:val="00C66824"/>
    <w:rsid w:val="00C6719E"/>
    <w:rsid w:val="00C70F21"/>
    <w:rsid w:val="00C7169D"/>
    <w:rsid w:val="00C7490C"/>
    <w:rsid w:val="00C76E4E"/>
    <w:rsid w:val="00C8418E"/>
    <w:rsid w:val="00C84CC1"/>
    <w:rsid w:val="00C90856"/>
    <w:rsid w:val="00C91699"/>
    <w:rsid w:val="00C91CC1"/>
    <w:rsid w:val="00C92AB6"/>
    <w:rsid w:val="00C93AD0"/>
    <w:rsid w:val="00C950C5"/>
    <w:rsid w:val="00C97CC2"/>
    <w:rsid w:val="00C97F2B"/>
    <w:rsid w:val="00CA080B"/>
    <w:rsid w:val="00CA25B2"/>
    <w:rsid w:val="00CA2A88"/>
    <w:rsid w:val="00CA2EC0"/>
    <w:rsid w:val="00CA6805"/>
    <w:rsid w:val="00CA68EA"/>
    <w:rsid w:val="00CB036A"/>
    <w:rsid w:val="00CB31F5"/>
    <w:rsid w:val="00CB359C"/>
    <w:rsid w:val="00CB6E55"/>
    <w:rsid w:val="00CC0085"/>
    <w:rsid w:val="00CC0A32"/>
    <w:rsid w:val="00CC1EA9"/>
    <w:rsid w:val="00CC21C9"/>
    <w:rsid w:val="00CC298D"/>
    <w:rsid w:val="00CC51FF"/>
    <w:rsid w:val="00CD040B"/>
    <w:rsid w:val="00CD111A"/>
    <w:rsid w:val="00CD3215"/>
    <w:rsid w:val="00CD376B"/>
    <w:rsid w:val="00CD62FF"/>
    <w:rsid w:val="00CE2434"/>
    <w:rsid w:val="00CE4C99"/>
    <w:rsid w:val="00CE53B2"/>
    <w:rsid w:val="00CE5EE2"/>
    <w:rsid w:val="00CE6D6E"/>
    <w:rsid w:val="00CE7358"/>
    <w:rsid w:val="00CF2585"/>
    <w:rsid w:val="00CF6F6E"/>
    <w:rsid w:val="00D00048"/>
    <w:rsid w:val="00D0044E"/>
    <w:rsid w:val="00D01FE3"/>
    <w:rsid w:val="00D0684A"/>
    <w:rsid w:val="00D07E76"/>
    <w:rsid w:val="00D10D3A"/>
    <w:rsid w:val="00D13740"/>
    <w:rsid w:val="00D2010B"/>
    <w:rsid w:val="00D20E23"/>
    <w:rsid w:val="00D21C2C"/>
    <w:rsid w:val="00D22A59"/>
    <w:rsid w:val="00D23718"/>
    <w:rsid w:val="00D2517B"/>
    <w:rsid w:val="00D25F7E"/>
    <w:rsid w:val="00D26FBE"/>
    <w:rsid w:val="00D270A9"/>
    <w:rsid w:val="00D27573"/>
    <w:rsid w:val="00D3030F"/>
    <w:rsid w:val="00D3087F"/>
    <w:rsid w:val="00D31800"/>
    <w:rsid w:val="00D3273A"/>
    <w:rsid w:val="00D34924"/>
    <w:rsid w:val="00D35799"/>
    <w:rsid w:val="00D377C4"/>
    <w:rsid w:val="00D4017B"/>
    <w:rsid w:val="00D401C8"/>
    <w:rsid w:val="00D40E5E"/>
    <w:rsid w:val="00D416AD"/>
    <w:rsid w:val="00D42F12"/>
    <w:rsid w:val="00D435F4"/>
    <w:rsid w:val="00D437F8"/>
    <w:rsid w:val="00D477C4"/>
    <w:rsid w:val="00D55AD3"/>
    <w:rsid w:val="00D55BB5"/>
    <w:rsid w:val="00D6141A"/>
    <w:rsid w:val="00D6160E"/>
    <w:rsid w:val="00D61976"/>
    <w:rsid w:val="00D643F1"/>
    <w:rsid w:val="00D665C8"/>
    <w:rsid w:val="00D7043B"/>
    <w:rsid w:val="00D7062B"/>
    <w:rsid w:val="00D70ECD"/>
    <w:rsid w:val="00D735B7"/>
    <w:rsid w:val="00D75BD7"/>
    <w:rsid w:val="00D776B6"/>
    <w:rsid w:val="00D81284"/>
    <w:rsid w:val="00D822AB"/>
    <w:rsid w:val="00D82508"/>
    <w:rsid w:val="00D84075"/>
    <w:rsid w:val="00D8563F"/>
    <w:rsid w:val="00D8593F"/>
    <w:rsid w:val="00D86EF4"/>
    <w:rsid w:val="00D86FC6"/>
    <w:rsid w:val="00D900B2"/>
    <w:rsid w:val="00D92143"/>
    <w:rsid w:val="00D94C4D"/>
    <w:rsid w:val="00D965EC"/>
    <w:rsid w:val="00D973E5"/>
    <w:rsid w:val="00D974EB"/>
    <w:rsid w:val="00D97BF7"/>
    <w:rsid w:val="00DA0028"/>
    <w:rsid w:val="00DA02F0"/>
    <w:rsid w:val="00DA0DA7"/>
    <w:rsid w:val="00DA1456"/>
    <w:rsid w:val="00DA19CC"/>
    <w:rsid w:val="00DA39EF"/>
    <w:rsid w:val="00DA5AE6"/>
    <w:rsid w:val="00DA5D0E"/>
    <w:rsid w:val="00DA651B"/>
    <w:rsid w:val="00DB0136"/>
    <w:rsid w:val="00DB02EF"/>
    <w:rsid w:val="00DB2EE0"/>
    <w:rsid w:val="00DB43FC"/>
    <w:rsid w:val="00DB5354"/>
    <w:rsid w:val="00DB54FF"/>
    <w:rsid w:val="00DB732C"/>
    <w:rsid w:val="00DB7BCE"/>
    <w:rsid w:val="00DC022D"/>
    <w:rsid w:val="00DC0F9E"/>
    <w:rsid w:val="00DC14DA"/>
    <w:rsid w:val="00DC345C"/>
    <w:rsid w:val="00DC5915"/>
    <w:rsid w:val="00DC6AE7"/>
    <w:rsid w:val="00DC77D0"/>
    <w:rsid w:val="00DD1BE1"/>
    <w:rsid w:val="00DD1F06"/>
    <w:rsid w:val="00DD276E"/>
    <w:rsid w:val="00DD2873"/>
    <w:rsid w:val="00DD35AB"/>
    <w:rsid w:val="00DD40DB"/>
    <w:rsid w:val="00DD4C3D"/>
    <w:rsid w:val="00DD58E4"/>
    <w:rsid w:val="00DD6763"/>
    <w:rsid w:val="00DD6844"/>
    <w:rsid w:val="00DE0799"/>
    <w:rsid w:val="00DE07E4"/>
    <w:rsid w:val="00DE21C3"/>
    <w:rsid w:val="00DE4792"/>
    <w:rsid w:val="00DE5974"/>
    <w:rsid w:val="00DF189F"/>
    <w:rsid w:val="00DF2553"/>
    <w:rsid w:val="00DF4FDC"/>
    <w:rsid w:val="00DF6946"/>
    <w:rsid w:val="00DF712C"/>
    <w:rsid w:val="00DF7149"/>
    <w:rsid w:val="00E0329F"/>
    <w:rsid w:val="00E03CCC"/>
    <w:rsid w:val="00E05848"/>
    <w:rsid w:val="00E061E1"/>
    <w:rsid w:val="00E07C76"/>
    <w:rsid w:val="00E10006"/>
    <w:rsid w:val="00E104D1"/>
    <w:rsid w:val="00E11F8B"/>
    <w:rsid w:val="00E1392F"/>
    <w:rsid w:val="00E1699D"/>
    <w:rsid w:val="00E17007"/>
    <w:rsid w:val="00E25CD6"/>
    <w:rsid w:val="00E25F9C"/>
    <w:rsid w:val="00E27807"/>
    <w:rsid w:val="00E30C16"/>
    <w:rsid w:val="00E31153"/>
    <w:rsid w:val="00E3140A"/>
    <w:rsid w:val="00E31719"/>
    <w:rsid w:val="00E31DD9"/>
    <w:rsid w:val="00E332D5"/>
    <w:rsid w:val="00E360E5"/>
    <w:rsid w:val="00E3647D"/>
    <w:rsid w:val="00E36F56"/>
    <w:rsid w:val="00E42072"/>
    <w:rsid w:val="00E450CC"/>
    <w:rsid w:val="00E455F3"/>
    <w:rsid w:val="00E46F05"/>
    <w:rsid w:val="00E46F5F"/>
    <w:rsid w:val="00E46FDA"/>
    <w:rsid w:val="00E500A8"/>
    <w:rsid w:val="00E507FC"/>
    <w:rsid w:val="00E54EEF"/>
    <w:rsid w:val="00E5669C"/>
    <w:rsid w:val="00E61A8D"/>
    <w:rsid w:val="00E63058"/>
    <w:rsid w:val="00E638CC"/>
    <w:rsid w:val="00E63CEB"/>
    <w:rsid w:val="00E679D5"/>
    <w:rsid w:val="00E7266B"/>
    <w:rsid w:val="00E73450"/>
    <w:rsid w:val="00E73568"/>
    <w:rsid w:val="00E73C91"/>
    <w:rsid w:val="00E751C4"/>
    <w:rsid w:val="00E7620D"/>
    <w:rsid w:val="00E771FE"/>
    <w:rsid w:val="00E775EE"/>
    <w:rsid w:val="00E81AAE"/>
    <w:rsid w:val="00E8348A"/>
    <w:rsid w:val="00E843DD"/>
    <w:rsid w:val="00E871F3"/>
    <w:rsid w:val="00E90359"/>
    <w:rsid w:val="00E90510"/>
    <w:rsid w:val="00E90AF7"/>
    <w:rsid w:val="00E9216A"/>
    <w:rsid w:val="00E9244B"/>
    <w:rsid w:val="00E94B75"/>
    <w:rsid w:val="00E94F29"/>
    <w:rsid w:val="00E955B8"/>
    <w:rsid w:val="00E957BA"/>
    <w:rsid w:val="00E96219"/>
    <w:rsid w:val="00EA0BB9"/>
    <w:rsid w:val="00EA449D"/>
    <w:rsid w:val="00EA6405"/>
    <w:rsid w:val="00EA6F25"/>
    <w:rsid w:val="00EB0DC4"/>
    <w:rsid w:val="00EB0EDA"/>
    <w:rsid w:val="00EB19C0"/>
    <w:rsid w:val="00EB1DDB"/>
    <w:rsid w:val="00EB2169"/>
    <w:rsid w:val="00EB4D22"/>
    <w:rsid w:val="00EB64CF"/>
    <w:rsid w:val="00EB6E48"/>
    <w:rsid w:val="00EB72F2"/>
    <w:rsid w:val="00EC2A84"/>
    <w:rsid w:val="00EC3758"/>
    <w:rsid w:val="00EC4B09"/>
    <w:rsid w:val="00EC50FA"/>
    <w:rsid w:val="00EC5142"/>
    <w:rsid w:val="00EC5F77"/>
    <w:rsid w:val="00EC6B13"/>
    <w:rsid w:val="00ED0A15"/>
    <w:rsid w:val="00ED1018"/>
    <w:rsid w:val="00ED13B1"/>
    <w:rsid w:val="00ED21DD"/>
    <w:rsid w:val="00ED2CD6"/>
    <w:rsid w:val="00ED3BA5"/>
    <w:rsid w:val="00ED4D75"/>
    <w:rsid w:val="00ED6FD1"/>
    <w:rsid w:val="00EE0513"/>
    <w:rsid w:val="00EE202B"/>
    <w:rsid w:val="00EE278D"/>
    <w:rsid w:val="00EE4507"/>
    <w:rsid w:val="00EE45F8"/>
    <w:rsid w:val="00EE54C9"/>
    <w:rsid w:val="00EE5809"/>
    <w:rsid w:val="00EE5FED"/>
    <w:rsid w:val="00EE6495"/>
    <w:rsid w:val="00EF09B1"/>
    <w:rsid w:val="00EF33AC"/>
    <w:rsid w:val="00EF3FD3"/>
    <w:rsid w:val="00EF62CE"/>
    <w:rsid w:val="00F01773"/>
    <w:rsid w:val="00F052B9"/>
    <w:rsid w:val="00F056ED"/>
    <w:rsid w:val="00F1040F"/>
    <w:rsid w:val="00F1129E"/>
    <w:rsid w:val="00F165F6"/>
    <w:rsid w:val="00F16C55"/>
    <w:rsid w:val="00F17A2C"/>
    <w:rsid w:val="00F20E70"/>
    <w:rsid w:val="00F2241A"/>
    <w:rsid w:val="00F23344"/>
    <w:rsid w:val="00F24468"/>
    <w:rsid w:val="00F24BF5"/>
    <w:rsid w:val="00F266B7"/>
    <w:rsid w:val="00F27257"/>
    <w:rsid w:val="00F309D3"/>
    <w:rsid w:val="00F33BA6"/>
    <w:rsid w:val="00F345E3"/>
    <w:rsid w:val="00F3535F"/>
    <w:rsid w:val="00F35764"/>
    <w:rsid w:val="00F35E91"/>
    <w:rsid w:val="00F373D0"/>
    <w:rsid w:val="00F4453E"/>
    <w:rsid w:val="00F5015C"/>
    <w:rsid w:val="00F521D3"/>
    <w:rsid w:val="00F52217"/>
    <w:rsid w:val="00F538FD"/>
    <w:rsid w:val="00F57347"/>
    <w:rsid w:val="00F60419"/>
    <w:rsid w:val="00F60938"/>
    <w:rsid w:val="00F64C55"/>
    <w:rsid w:val="00F670B0"/>
    <w:rsid w:val="00F673A2"/>
    <w:rsid w:val="00F679B4"/>
    <w:rsid w:val="00F72038"/>
    <w:rsid w:val="00F73370"/>
    <w:rsid w:val="00F75C72"/>
    <w:rsid w:val="00F76054"/>
    <w:rsid w:val="00F76E31"/>
    <w:rsid w:val="00F77487"/>
    <w:rsid w:val="00F776ED"/>
    <w:rsid w:val="00F77726"/>
    <w:rsid w:val="00F77DF3"/>
    <w:rsid w:val="00F83493"/>
    <w:rsid w:val="00F85D04"/>
    <w:rsid w:val="00F860CE"/>
    <w:rsid w:val="00F90A82"/>
    <w:rsid w:val="00F93A27"/>
    <w:rsid w:val="00F93B87"/>
    <w:rsid w:val="00F94A27"/>
    <w:rsid w:val="00F95CDD"/>
    <w:rsid w:val="00F97820"/>
    <w:rsid w:val="00FA03A2"/>
    <w:rsid w:val="00FA07A9"/>
    <w:rsid w:val="00FA767B"/>
    <w:rsid w:val="00FB16E2"/>
    <w:rsid w:val="00FB1D27"/>
    <w:rsid w:val="00FB1FC7"/>
    <w:rsid w:val="00FB2EB2"/>
    <w:rsid w:val="00FB4478"/>
    <w:rsid w:val="00FB6DF4"/>
    <w:rsid w:val="00FB7A17"/>
    <w:rsid w:val="00FC01BD"/>
    <w:rsid w:val="00FC0DF6"/>
    <w:rsid w:val="00FC2B73"/>
    <w:rsid w:val="00FC2C76"/>
    <w:rsid w:val="00FC3E97"/>
    <w:rsid w:val="00FC5F22"/>
    <w:rsid w:val="00FC6860"/>
    <w:rsid w:val="00FC6AE4"/>
    <w:rsid w:val="00FC6D69"/>
    <w:rsid w:val="00FC7462"/>
    <w:rsid w:val="00FC762A"/>
    <w:rsid w:val="00FD258F"/>
    <w:rsid w:val="00FD2D13"/>
    <w:rsid w:val="00FD4279"/>
    <w:rsid w:val="00FD65E9"/>
    <w:rsid w:val="00FD6DCF"/>
    <w:rsid w:val="00FE033A"/>
    <w:rsid w:val="00FE2992"/>
    <w:rsid w:val="00FE29B1"/>
    <w:rsid w:val="00FE40B6"/>
    <w:rsid w:val="00FE6734"/>
    <w:rsid w:val="00FE7AE2"/>
    <w:rsid w:val="00FF09BF"/>
    <w:rsid w:val="00FF2534"/>
    <w:rsid w:val="00FF638B"/>
    <w:rsid w:val="010D012F"/>
    <w:rsid w:val="017EA16E"/>
    <w:rsid w:val="05C4E335"/>
    <w:rsid w:val="06CE1AD9"/>
    <w:rsid w:val="0776C240"/>
    <w:rsid w:val="0D42C668"/>
    <w:rsid w:val="0ED16083"/>
    <w:rsid w:val="10548F0B"/>
    <w:rsid w:val="10BBDCE2"/>
    <w:rsid w:val="119CDF76"/>
    <w:rsid w:val="11E31430"/>
    <w:rsid w:val="13765160"/>
    <w:rsid w:val="163D3A97"/>
    <w:rsid w:val="17B71FEF"/>
    <w:rsid w:val="182C2EE7"/>
    <w:rsid w:val="1831B0D3"/>
    <w:rsid w:val="186632B2"/>
    <w:rsid w:val="1992C158"/>
    <w:rsid w:val="19C2306D"/>
    <w:rsid w:val="1CC04985"/>
    <w:rsid w:val="1CD0A1E8"/>
    <w:rsid w:val="1D2197C5"/>
    <w:rsid w:val="1E1A1024"/>
    <w:rsid w:val="1EAB10AA"/>
    <w:rsid w:val="1EC53CE2"/>
    <w:rsid w:val="208319D7"/>
    <w:rsid w:val="22A89246"/>
    <w:rsid w:val="23596C28"/>
    <w:rsid w:val="24137067"/>
    <w:rsid w:val="24B2EF82"/>
    <w:rsid w:val="287AB487"/>
    <w:rsid w:val="2A710B16"/>
    <w:rsid w:val="2CCAB0E5"/>
    <w:rsid w:val="2D5F9543"/>
    <w:rsid w:val="2DA84643"/>
    <w:rsid w:val="2F03BC32"/>
    <w:rsid w:val="2F6A2320"/>
    <w:rsid w:val="320C48CE"/>
    <w:rsid w:val="32335BFC"/>
    <w:rsid w:val="32E38764"/>
    <w:rsid w:val="33611A11"/>
    <w:rsid w:val="339E854D"/>
    <w:rsid w:val="36224BEA"/>
    <w:rsid w:val="364748C6"/>
    <w:rsid w:val="36F5D196"/>
    <w:rsid w:val="3814867E"/>
    <w:rsid w:val="384838DC"/>
    <w:rsid w:val="3A8A2682"/>
    <w:rsid w:val="3B2EAC1D"/>
    <w:rsid w:val="3BDF0851"/>
    <w:rsid w:val="3D1DD61F"/>
    <w:rsid w:val="3D617859"/>
    <w:rsid w:val="3E452429"/>
    <w:rsid w:val="413504D2"/>
    <w:rsid w:val="41D334B9"/>
    <w:rsid w:val="436A1356"/>
    <w:rsid w:val="45DEF15F"/>
    <w:rsid w:val="46E87F58"/>
    <w:rsid w:val="49F518E0"/>
    <w:rsid w:val="4B156B50"/>
    <w:rsid w:val="4B1D6410"/>
    <w:rsid w:val="4CC7374A"/>
    <w:rsid w:val="4E03BA8E"/>
    <w:rsid w:val="5166DF05"/>
    <w:rsid w:val="523C9BA3"/>
    <w:rsid w:val="529CCBBA"/>
    <w:rsid w:val="53E48AE1"/>
    <w:rsid w:val="54D062A7"/>
    <w:rsid w:val="567EF6F8"/>
    <w:rsid w:val="585483FF"/>
    <w:rsid w:val="590A338A"/>
    <w:rsid w:val="5977A194"/>
    <w:rsid w:val="5A6538EC"/>
    <w:rsid w:val="5B2814BF"/>
    <w:rsid w:val="62070998"/>
    <w:rsid w:val="6431838B"/>
    <w:rsid w:val="667F9286"/>
    <w:rsid w:val="67859DFB"/>
    <w:rsid w:val="68B6E499"/>
    <w:rsid w:val="6AFC563A"/>
    <w:rsid w:val="6B34C635"/>
    <w:rsid w:val="6D370E43"/>
    <w:rsid w:val="6E0CA6E2"/>
    <w:rsid w:val="6F209C80"/>
    <w:rsid w:val="6F591CA8"/>
    <w:rsid w:val="6FD8ADEC"/>
    <w:rsid w:val="70F4E369"/>
    <w:rsid w:val="710A49E3"/>
    <w:rsid w:val="7221A7AF"/>
    <w:rsid w:val="74B3C0C4"/>
    <w:rsid w:val="76D24610"/>
    <w:rsid w:val="775D78A5"/>
    <w:rsid w:val="77A3F6D2"/>
    <w:rsid w:val="791DB393"/>
    <w:rsid w:val="79340FDD"/>
    <w:rsid w:val="79DF5443"/>
    <w:rsid w:val="7BB387C2"/>
    <w:rsid w:val="7F03D3C8"/>
    <w:rsid w:val="7F5BD607"/>
    <w:rsid w:val="7FC262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F7D72"/>
  <w15:chartTrackingRefBased/>
  <w15:docId w15:val="{868F6785-368E-4814-8D79-CDD7AD1D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8"/>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6"/>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8"/>
      </w:numPr>
    </w:pPr>
  </w:style>
  <w:style w:type="paragraph" w:customStyle="1" w:styleId="Bulletround">
    <w:name w:val="Bullet (round)"/>
    <w:aliases w:val="Bullet (square)"/>
    <w:basedOn w:val="Normal"/>
    <w:uiPriority w:val="10"/>
    <w:qFormat/>
    <w:rsid w:val="00534962"/>
    <w:pPr>
      <w:numPr>
        <w:ilvl w:val="5"/>
        <w:numId w:val="8"/>
      </w:numPr>
    </w:pPr>
  </w:style>
  <w:style w:type="paragraph" w:customStyle="1" w:styleId="Bullet-">
    <w:name w:val="Bullet (-)"/>
    <w:basedOn w:val="Normal"/>
    <w:uiPriority w:val="11"/>
    <w:qFormat/>
    <w:rsid w:val="00534962"/>
    <w:pPr>
      <w:numPr>
        <w:ilvl w:val="6"/>
        <w:numId w:val="8"/>
      </w:numPr>
    </w:pPr>
  </w:style>
  <w:style w:type="paragraph" w:customStyle="1" w:styleId="Bulletalpha">
    <w:name w:val="Bullet (alpha)"/>
    <w:basedOn w:val="Normal"/>
    <w:uiPriority w:val="11"/>
    <w:qFormat/>
    <w:rsid w:val="00534962"/>
    <w:pPr>
      <w:numPr>
        <w:ilvl w:val="2"/>
        <w:numId w:val="8"/>
      </w:numPr>
    </w:pPr>
  </w:style>
  <w:style w:type="paragraph" w:customStyle="1" w:styleId="Bulletroman">
    <w:name w:val="Bullet (roman)"/>
    <w:basedOn w:val="Normal"/>
    <w:uiPriority w:val="11"/>
    <w:qFormat/>
    <w:rsid w:val="00534962"/>
    <w:pPr>
      <w:numPr>
        <w:ilvl w:val="3"/>
        <w:numId w:val="8"/>
      </w:numPr>
    </w:pPr>
  </w:style>
  <w:style w:type="paragraph" w:customStyle="1" w:styleId="NormalBulletround">
    <w:name w:val="Normal Bullet (round)"/>
    <w:aliases w:val="Normal Bullet (square)"/>
    <w:basedOn w:val="Normal"/>
    <w:uiPriority w:val="4"/>
    <w:qFormat/>
    <w:rsid w:val="0021141B"/>
    <w:pPr>
      <w:numPr>
        <w:ilvl w:val="4"/>
        <w:numId w:val="13"/>
      </w:numPr>
    </w:pPr>
  </w:style>
  <w:style w:type="paragraph" w:customStyle="1" w:styleId="NormalBullet-">
    <w:name w:val="Normal Bullet (-)"/>
    <w:basedOn w:val="Normal"/>
    <w:uiPriority w:val="5"/>
    <w:qFormat/>
    <w:rsid w:val="0021141B"/>
    <w:pPr>
      <w:numPr>
        <w:ilvl w:val="5"/>
        <w:numId w:val="13"/>
      </w:numPr>
    </w:pPr>
  </w:style>
  <w:style w:type="paragraph" w:customStyle="1" w:styleId="NormalBulletalpha">
    <w:name w:val="Normal Bullet (alpha)"/>
    <w:basedOn w:val="Normal"/>
    <w:uiPriority w:val="5"/>
    <w:qFormat/>
    <w:rsid w:val="0021141B"/>
    <w:pPr>
      <w:numPr>
        <w:ilvl w:val="1"/>
        <w:numId w:val="13"/>
      </w:numPr>
    </w:pPr>
  </w:style>
  <w:style w:type="paragraph" w:customStyle="1" w:styleId="NormalBulletroman">
    <w:name w:val="Normal Bullet (roman)"/>
    <w:basedOn w:val="Normal"/>
    <w:uiPriority w:val="5"/>
    <w:qFormat/>
    <w:rsid w:val="0021141B"/>
    <w:pPr>
      <w:numPr>
        <w:ilvl w:val="2"/>
        <w:numId w:val="13"/>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7"/>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8"/>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8"/>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3"/>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8"/>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0"/>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9"/>
      </w:numPr>
    </w:pPr>
  </w:style>
  <w:style w:type="paragraph" w:customStyle="1" w:styleId="HighlightPurpleWide">
    <w:name w:val="HighlightPurpleWide"/>
    <w:basedOn w:val="Normal"/>
    <w:uiPriority w:val="15"/>
    <w:qFormat/>
    <w:rsid w:val="00894D7D"/>
    <w:pPr>
      <w:numPr>
        <w:ilvl w:val="1"/>
        <w:numId w:val="12"/>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2"/>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14"/>
      </w:numPr>
    </w:pPr>
  </w:style>
  <w:style w:type="paragraph" w:customStyle="1" w:styleId="AnnexParagraph">
    <w:name w:val="Annex Paragraph"/>
    <w:basedOn w:val="Normal"/>
    <w:uiPriority w:val="22"/>
    <w:qFormat/>
    <w:rsid w:val="008A25C5"/>
    <w:pPr>
      <w:numPr>
        <w:ilvl w:val="1"/>
        <w:numId w:val="14"/>
      </w:numPr>
    </w:pPr>
  </w:style>
  <w:style w:type="numbering" w:customStyle="1" w:styleId="ORRAnnex">
    <w:name w:val="ORRAnnex"/>
    <w:uiPriority w:val="99"/>
    <w:rsid w:val="008A25C5"/>
    <w:pPr>
      <w:numPr>
        <w:numId w:val="11"/>
      </w:numPr>
    </w:pPr>
  </w:style>
  <w:style w:type="paragraph" w:customStyle="1" w:styleId="AnnexBulletAlpha">
    <w:name w:val="Annex Bullet (Alpha)"/>
    <w:basedOn w:val="Normal"/>
    <w:uiPriority w:val="24"/>
    <w:qFormat/>
    <w:rsid w:val="008A25C5"/>
    <w:pPr>
      <w:numPr>
        <w:ilvl w:val="2"/>
        <w:numId w:val="14"/>
      </w:numPr>
    </w:pPr>
  </w:style>
  <w:style w:type="paragraph" w:customStyle="1" w:styleId="AnnexBulletroman">
    <w:name w:val="Annex Bullet (roman)"/>
    <w:basedOn w:val="Normal"/>
    <w:uiPriority w:val="24"/>
    <w:qFormat/>
    <w:rsid w:val="008A25C5"/>
    <w:pPr>
      <w:numPr>
        <w:ilvl w:val="3"/>
        <w:numId w:val="14"/>
      </w:numPr>
    </w:pPr>
  </w:style>
  <w:style w:type="paragraph" w:customStyle="1" w:styleId="AnnexBulletnumber">
    <w:name w:val="Annex Bullet (number)"/>
    <w:basedOn w:val="Normal"/>
    <w:uiPriority w:val="25"/>
    <w:qFormat/>
    <w:rsid w:val="008A25C5"/>
    <w:pPr>
      <w:numPr>
        <w:ilvl w:val="4"/>
        <w:numId w:val="14"/>
      </w:numPr>
    </w:pPr>
  </w:style>
  <w:style w:type="paragraph" w:customStyle="1" w:styleId="AnnexBulletround">
    <w:name w:val="Annex Bullet (round)"/>
    <w:basedOn w:val="Normal"/>
    <w:uiPriority w:val="23"/>
    <w:qFormat/>
    <w:rsid w:val="008A25C5"/>
    <w:pPr>
      <w:numPr>
        <w:ilvl w:val="5"/>
        <w:numId w:val="14"/>
      </w:numPr>
    </w:pPr>
  </w:style>
  <w:style w:type="paragraph" w:customStyle="1" w:styleId="AnnexBullet-">
    <w:name w:val="Annex Bullet (-)"/>
    <w:basedOn w:val="Normal"/>
    <w:uiPriority w:val="24"/>
    <w:qFormat/>
    <w:rsid w:val="008A25C5"/>
    <w:pPr>
      <w:numPr>
        <w:ilvl w:val="6"/>
        <w:numId w:val="14"/>
      </w:numPr>
    </w:pPr>
  </w:style>
  <w:style w:type="paragraph" w:customStyle="1" w:styleId="AnnexTableTitle">
    <w:name w:val="Annex TableTitle"/>
    <w:basedOn w:val="Normal"/>
    <w:next w:val="AnnexParagraph"/>
    <w:uiPriority w:val="18"/>
    <w:qFormat/>
    <w:rsid w:val="008A25C5"/>
    <w:pPr>
      <w:numPr>
        <w:ilvl w:val="7"/>
        <w:numId w:val="14"/>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3"/>
      </w:numPr>
    </w:pPr>
    <w:rPr>
      <w:b/>
    </w:rPr>
  </w:style>
  <w:style w:type="paragraph" w:customStyle="1" w:styleId="NormalFigureTitle">
    <w:name w:val="Normal FigureTitle"/>
    <w:basedOn w:val="Normal"/>
    <w:next w:val="Normal"/>
    <w:uiPriority w:val="26"/>
    <w:qFormat/>
    <w:rsid w:val="0021141B"/>
    <w:pPr>
      <w:keepNext/>
      <w:keepLines/>
      <w:numPr>
        <w:ilvl w:val="7"/>
        <w:numId w:val="13"/>
      </w:numPr>
    </w:pPr>
    <w:rPr>
      <w:b/>
    </w:rPr>
  </w:style>
  <w:style w:type="paragraph" w:customStyle="1" w:styleId="AnnexFigureTitle">
    <w:name w:val="Annex FigureTitle"/>
    <w:basedOn w:val="Normal"/>
    <w:next w:val="Normal"/>
    <w:uiPriority w:val="26"/>
    <w:rsid w:val="008A25C5"/>
    <w:pPr>
      <w:keepNext/>
      <w:keepLines/>
      <w:numPr>
        <w:ilvl w:val="8"/>
        <w:numId w:val="14"/>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18"/>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18"/>
      </w:numPr>
      <w:suppressAutoHyphens/>
      <w:spacing w:before="120" w:after="120" w:line="240" w:lineRule="auto"/>
    </w:pPr>
    <w:rPr>
      <w:rFonts w:eastAsia="Times New Roman" w:cs="Times New Roman"/>
      <w:bCs/>
      <w:szCs w:val="20"/>
    </w:rPr>
  </w:style>
  <w:style w:type="paragraph" w:styleId="ListNumber">
    <w:name w:val="List Number"/>
    <w:rsid w:val="00400432"/>
    <w:pPr>
      <w:numPr>
        <w:numId w:val="18"/>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customStyle="1" w:styleId="paragraph">
    <w:name w:val="paragraph"/>
    <w:basedOn w:val="Normal"/>
    <w:rsid w:val="004B569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5695"/>
  </w:style>
  <w:style w:type="character" w:customStyle="1" w:styleId="eop">
    <w:name w:val="eop"/>
    <w:basedOn w:val="DefaultParagraphFont"/>
    <w:rsid w:val="004B5695"/>
  </w:style>
  <w:style w:type="character" w:styleId="Mention">
    <w:name w:val="Mention"/>
    <w:basedOn w:val="DefaultParagraphFont"/>
    <w:uiPriority w:val="99"/>
    <w:unhideWhenUsed/>
    <w:rsid w:val="00C53DE0"/>
    <w:rPr>
      <w:color w:val="2B579A"/>
      <w:shd w:val="clear" w:color="auto" w:fill="E1DFDD"/>
    </w:rPr>
  </w:style>
  <w:style w:type="numbering" w:customStyle="1" w:styleId="ORRNormalList1">
    <w:name w:val="ORRNormalList1"/>
    <w:uiPriority w:val="99"/>
    <w:rsid w:val="00C53DE0"/>
  </w:style>
  <w:style w:type="paragraph" w:styleId="NormalWeb">
    <w:name w:val="Normal (Web)"/>
    <w:basedOn w:val="Normal"/>
    <w:uiPriority w:val="99"/>
    <w:semiHidden/>
    <w:unhideWhenUsed/>
    <w:rsid w:val="008C7FC1"/>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41378">
      <w:bodyDiv w:val="1"/>
      <w:marLeft w:val="0"/>
      <w:marRight w:val="0"/>
      <w:marTop w:val="0"/>
      <w:marBottom w:val="0"/>
      <w:divBdr>
        <w:top w:val="none" w:sz="0" w:space="0" w:color="auto"/>
        <w:left w:val="none" w:sz="0" w:space="0" w:color="auto"/>
        <w:bottom w:val="none" w:sz="0" w:space="0" w:color="auto"/>
        <w:right w:val="none" w:sz="0" w:space="0" w:color="auto"/>
      </w:divBdr>
      <w:divsChild>
        <w:div w:id="546797161">
          <w:marLeft w:val="0"/>
          <w:marRight w:val="0"/>
          <w:marTop w:val="0"/>
          <w:marBottom w:val="0"/>
          <w:divBdr>
            <w:top w:val="none" w:sz="0" w:space="0" w:color="auto"/>
            <w:left w:val="none" w:sz="0" w:space="0" w:color="auto"/>
            <w:bottom w:val="none" w:sz="0" w:space="0" w:color="auto"/>
            <w:right w:val="none" w:sz="0" w:space="0" w:color="auto"/>
          </w:divBdr>
        </w:div>
        <w:div w:id="1045063268">
          <w:marLeft w:val="0"/>
          <w:marRight w:val="0"/>
          <w:marTop w:val="0"/>
          <w:marBottom w:val="0"/>
          <w:divBdr>
            <w:top w:val="none" w:sz="0" w:space="0" w:color="auto"/>
            <w:left w:val="none" w:sz="0" w:space="0" w:color="auto"/>
            <w:bottom w:val="none" w:sz="0" w:space="0" w:color="auto"/>
            <w:right w:val="none" w:sz="0" w:space="0" w:color="auto"/>
          </w:divBdr>
        </w:div>
        <w:div w:id="1369067283">
          <w:marLeft w:val="0"/>
          <w:marRight w:val="0"/>
          <w:marTop w:val="0"/>
          <w:marBottom w:val="0"/>
          <w:divBdr>
            <w:top w:val="none" w:sz="0" w:space="0" w:color="auto"/>
            <w:left w:val="none" w:sz="0" w:space="0" w:color="auto"/>
            <w:bottom w:val="none" w:sz="0" w:space="0" w:color="auto"/>
            <w:right w:val="none" w:sz="0" w:space="0" w:color="auto"/>
          </w:divBdr>
        </w:div>
        <w:div w:id="2001233158">
          <w:marLeft w:val="0"/>
          <w:marRight w:val="0"/>
          <w:marTop w:val="0"/>
          <w:marBottom w:val="0"/>
          <w:divBdr>
            <w:top w:val="none" w:sz="0" w:space="0" w:color="auto"/>
            <w:left w:val="none" w:sz="0" w:space="0" w:color="auto"/>
            <w:bottom w:val="none" w:sz="0" w:space="0" w:color="auto"/>
            <w:right w:val="none" w:sz="0" w:space="0" w:color="auto"/>
          </w:divBdr>
        </w:div>
      </w:divsChild>
    </w:div>
    <w:div w:id="1189293683">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631983144">
      <w:bodyDiv w:val="1"/>
      <w:marLeft w:val="0"/>
      <w:marRight w:val="0"/>
      <w:marTop w:val="0"/>
      <w:marBottom w:val="0"/>
      <w:divBdr>
        <w:top w:val="none" w:sz="0" w:space="0" w:color="auto"/>
        <w:left w:val="none" w:sz="0" w:space="0" w:color="auto"/>
        <w:bottom w:val="none" w:sz="0" w:space="0" w:color="auto"/>
        <w:right w:val="none" w:sz="0" w:space="0" w:color="auto"/>
      </w:divBdr>
      <w:divsChild>
        <w:div w:id="241721513">
          <w:marLeft w:val="0"/>
          <w:marRight w:val="0"/>
          <w:marTop w:val="0"/>
          <w:marBottom w:val="0"/>
          <w:divBdr>
            <w:top w:val="none" w:sz="0" w:space="0" w:color="auto"/>
            <w:left w:val="none" w:sz="0" w:space="0" w:color="auto"/>
            <w:bottom w:val="none" w:sz="0" w:space="0" w:color="auto"/>
            <w:right w:val="none" w:sz="0" w:space="0" w:color="auto"/>
          </w:divBdr>
        </w:div>
        <w:div w:id="356925845">
          <w:marLeft w:val="0"/>
          <w:marRight w:val="0"/>
          <w:marTop w:val="0"/>
          <w:marBottom w:val="0"/>
          <w:divBdr>
            <w:top w:val="none" w:sz="0" w:space="0" w:color="auto"/>
            <w:left w:val="none" w:sz="0" w:space="0" w:color="auto"/>
            <w:bottom w:val="none" w:sz="0" w:space="0" w:color="auto"/>
            <w:right w:val="none" w:sz="0" w:space="0" w:color="auto"/>
          </w:divBdr>
        </w:div>
        <w:div w:id="1139155833">
          <w:marLeft w:val="0"/>
          <w:marRight w:val="0"/>
          <w:marTop w:val="0"/>
          <w:marBottom w:val="0"/>
          <w:divBdr>
            <w:top w:val="none" w:sz="0" w:space="0" w:color="auto"/>
            <w:left w:val="none" w:sz="0" w:space="0" w:color="auto"/>
            <w:bottom w:val="none" w:sz="0" w:space="0" w:color="auto"/>
            <w:right w:val="none" w:sz="0" w:space="0" w:color="auto"/>
          </w:divBdr>
        </w:div>
        <w:div w:id="1723745076">
          <w:marLeft w:val="0"/>
          <w:marRight w:val="0"/>
          <w:marTop w:val="0"/>
          <w:marBottom w:val="0"/>
          <w:divBdr>
            <w:top w:val="none" w:sz="0" w:space="0" w:color="auto"/>
            <w:left w:val="none" w:sz="0" w:space="0" w:color="auto"/>
            <w:bottom w:val="none" w:sz="0" w:space="0" w:color="auto"/>
            <w:right w:val="none" w:sz="0" w:space="0" w:color="auto"/>
          </w:divBdr>
        </w:div>
      </w:divsChild>
    </w:div>
    <w:div w:id="1716268361">
      <w:bodyDiv w:val="1"/>
      <w:marLeft w:val="0"/>
      <w:marRight w:val="0"/>
      <w:marTop w:val="0"/>
      <w:marBottom w:val="0"/>
      <w:divBdr>
        <w:top w:val="none" w:sz="0" w:space="0" w:color="auto"/>
        <w:left w:val="none" w:sz="0" w:space="0" w:color="auto"/>
        <w:bottom w:val="none" w:sz="0" w:space="0" w:color="auto"/>
        <w:right w:val="none" w:sz="0" w:space="0" w:color="auto"/>
      </w:divBdr>
    </w:div>
    <w:div w:id="19849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find-tender.service.gov.uk/Searc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orr.gov.uk/media/23638" TargetMode="External"/><Relationship Id="rId32" Type="http://schemas.openxmlformats.org/officeDocument/2006/relationships/header" Target="header9.xml"/><Relationship Id="rId37" Type="http://schemas.openxmlformats.org/officeDocument/2006/relationships/fontTable" Target="fontTable.xml"/><Relationship Id="rId40"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orr.gov.uk/" TargetMode="External"/><Relationship Id="rId28" Type="http://schemas.openxmlformats.org/officeDocument/2006/relationships/hyperlink" Target="http:\\www.nationalarchives.gov.uk/doc/open-government-licence/version/3" TargetMode="Externa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5.png"/><Relationship Id="rId30" Type="http://schemas.openxmlformats.org/officeDocument/2006/relationships/hyperlink" Target="mailto:procurementteam@orr.gov.uk" TargetMode="External"/><Relationship Id="rId35" Type="http://schemas.openxmlformats.org/officeDocument/2006/relationships/header" Target="header10.xml"/><Relationship Id="rId8" Type="http://schemas.openxmlformats.org/officeDocument/2006/relationships/styles" Target="styl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documenttasks/documenttasks1.xml><?xml version="1.0" encoding="utf-8"?>
<t:Tasks xmlns:t="http://schemas.microsoft.com/office/tasks/2019/documenttasks" xmlns:oel="http://schemas.microsoft.com/office/2019/extlst">
  <t:Task id="{92F1BF85-4F8F-4E78-8B4E-920D70148B4A}">
    <t:Anchor>
      <t:Comment id="1967223158"/>
    </t:Anchor>
    <t:History>
      <t:Event id="{AA218741-D054-4E28-A4BC-D4ECA065F877}" time="2025-11-04T07:30:38.976Z">
        <t:Attribution userId="S::Barnaby.Webb@orr.gov.uk::cbcaf644-3d6f-4086-a2ee-97d9c66e9bd7" userProvider="AD" userName="Webb, Barnaby"/>
        <t:Anchor>
          <t:Comment id="1967223158"/>
        </t:Anchor>
        <t:Create/>
      </t:Event>
      <t:Event id="{94CC17E3-7072-4E7D-B7A2-353F3ECCEE0D}" time="2025-11-04T07:30:38.976Z">
        <t:Attribution userId="S::Barnaby.Webb@orr.gov.uk::cbcaf644-3d6f-4086-a2ee-97d9c66e9bd7" userProvider="AD" userName="Webb, Barnaby"/>
        <t:Anchor>
          <t:Comment id="1967223158"/>
        </t:Anchor>
        <t:Assign userId="S::Russell.Niven@orr.gov.uk::93adf797-8c4f-4000-8803-3fc5e16fa998" userProvider="AD" userName="Niven, Russell"/>
      </t:Event>
      <t:Event id="{E6A4FD2E-1EFC-43B8-9D1B-EB5BEC211CEA}" time="2025-11-04T07:30:38.976Z">
        <t:Attribution userId="S::Barnaby.Webb@orr.gov.uk::cbcaf644-3d6f-4086-a2ee-97d9c66e9bd7" userProvider="AD" userName="Webb, Barnaby"/>
        <t:Anchor>
          <t:Comment id="1967223158"/>
        </t:Anchor>
        <t:SetTitle title="@Niven, Russell Propose this is deleted as it is duplicated in the next section and it makes more sense to be expanded on in the next section. I think the bullets above this bit are sufficient for this sectio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
      <w:docPartPr>
        <w:name w:val="F7B2C56D54132045A178D4CFD36D06DB"/>
        <w:category>
          <w:name w:val="General"/>
          <w:gallery w:val="placeholder"/>
        </w:category>
        <w:types>
          <w:type w:val="bbPlcHdr"/>
        </w:types>
        <w:behaviors>
          <w:behavior w:val="content"/>
        </w:behaviors>
        <w:guid w:val="{A145A9E6-B6CA-9748-82C6-48A8C98B1739}"/>
      </w:docPartPr>
      <w:docPartBody>
        <w:p w:rsidR="00D4060D" w:rsidRDefault="009E0644">
          <w:pPr>
            <w:pStyle w:val="F7B2C56D54132045A178D4CFD36D06DB"/>
          </w:pPr>
          <w:r w:rsidRPr="00F84A8A">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0D1414"/>
    <w:rsid w:val="00147E03"/>
    <w:rsid w:val="00157E4C"/>
    <w:rsid w:val="001C1161"/>
    <w:rsid w:val="001D34EA"/>
    <w:rsid w:val="00202534"/>
    <w:rsid w:val="00220890"/>
    <w:rsid w:val="00282136"/>
    <w:rsid w:val="003763C9"/>
    <w:rsid w:val="003C545A"/>
    <w:rsid w:val="003D684E"/>
    <w:rsid w:val="003F0955"/>
    <w:rsid w:val="003F49D7"/>
    <w:rsid w:val="0040247D"/>
    <w:rsid w:val="00465309"/>
    <w:rsid w:val="00484741"/>
    <w:rsid w:val="005550B7"/>
    <w:rsid w:val="005722FE"/>
    <w:rsid w:val="00585C1B"/>
    <w:rsid w:val="005A4CEF"/>
    <w:rsid w:val="005A6A23"/>
    <w:rsid w:val="005F52F5"/>
    <w:rsid w:val="00611170"/>
    <w:rsid w:val="00621DE2"/>
    <w:rsid w:val="00651044"/>
    <w:rsid w:val="00696275"/>
    <w:rsid w:val="007450C8"/>
    <w:rsid w:val="007479A0"/>
    <w:rsid w:val="007C3F77"/>
    <w:rsid w:val="00803F17"/>
    <w:rsid w:val="00814A2C"/>
    <w:rsid w:val="008342A5"/>
    <w:rsid w:val="00843948"/>
    <w:rsid w:val="0084777F"/>
    <w:rsid w:val="00874965"/>
    <w:rsid w:val="00912431"/>
    <w:rsid w:val="00974DB7"/>
    <w:rsid w:val="009E0644"/>
    <w:rsid w:val="00A06B96"/>
    <w:rsid w:val="00A2349A"/>
    <w:rsid w:val="00A235F4"/>
    <w:rsid w:val="00A257DF"/>
    <w:rsid w:val="00A34318"/>
    <w:rsid w:val="00A624E2"/>
    <w:rsid w:val="00A72823"/>
    <w:rsid w:val="00A84754"/>
    <w:rsid w:val="00BB3195"/>
    <w:rsid w:val="00BF5479"/>
    <w:rsid w:val="00C016C2"/>
    <w:rsid w:val="00C1369F"/>
    <w:rsid w:val="00C37018"/>
    <w:rsid w:val="00D4060D"/>
    <w:rsid w:val="00D750C2"/>
    <w:rsid w:val="00DD58E4"/>
    <w:rsid w:val="00DE0FCF"/>
    <w:rsid w:val="00E27807"/>
    <w:rsid w:val="00E30C16"/>
    <w:rsid w:val="00E63CEB"/>
    <w:rsid w:val="00E81AAE"/>
    <w:rsid w:val="00E94B75"/>
    <w:rsid w:val="00EA719A"/>
    <w:rsid w:val="00F06A05"/>
    <w:rsid w:val="00F1040F"/>
    <w:rsid w:val="00F52B05"/>
    <w:rsid w:val="00FB1F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EA3E86B26B5E4D1AAE60369A94EF69E0">
    <w:name w:val="EA3E86B26B5E4D1AAE60369A94EF69E0"/>
    <w:rsid w:val="009E0644"/>
  </w:style>
  <w:style w:type="paragraph" w:customStyle="1" w:styleId="F7B2C56D54132045A178D4CFD36D06DB">
    <w:name w:val="F7B2C56D54132045A178D4CFD36D06D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2025-11-12T00:00:00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795B6AA8FEE438D5D9EE8FA4F5CC4" ma:contentTypeVersion="11" ma:contentTypeDescription="Create a new document." ma:contentTypeScope="" ma:versionID="e9f62989847043093c9f3321f21f1a9b">
  <xsd:schema xmlns:xsd="http://www.w3.org/2001/XMLSchema" xmlns:xs="http://www.w3.org/2001/XMLSchema" xmlns:p="http://schemas.microsoft.com/office/2006/metadata/properties" xmlns:ns2="24d6d8e0-7f01-4a4d-a00c-b7e1c8b583a3" xmlns:ns3="671dc83a-4d2b-4074-96cb-94c54810c83c" targetNamespace="http://schemas.microsoft.com/office/2006/metadata/properties" ma:root="true" ma:fieldsID="d248b33277fb0b5e257ed7258cc2fa94" ns2:_="" ns3:_="">
    <xsd:import namespace="24d6d8e0-7f01-4a4d-a00c-b7e1c8b583a3"/>
    <xsd:import namespace="671dc83a-4d2b-4074-96cb-94c54810c8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Addedtointranet" minOccurs="0"/>
                <xsd:element ref="ns3:_dlc_DocId" minOccurs="0"/>
                <xsd:element ref="ns3:_dlc_DocIdUrl" minOccurs="0"/>
                <xsd:element ref="ns3:_dlc_DocIdPersistId"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6d8e0-7f01-4a4d-a00c-b7e1c8b5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Addedtointranet" ma:index="13" nillable="true" ma:displayName="Added to intranet" ma:default="1" ma:format="Dropdown" ma:internalName="Addedtointranet">
      <xsd:simpleType>
        <xsd:restriction base="dms:Boolea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dc83a-4d2b-4074-96cb-94c54810c83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ddedtointranet xmlns="24d6d8e0-7f01-4a4d-a00c-b7e1c8b583a3">true</Addedtointran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244F3E-FE78-4AFC-B18E-FC4798E5E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6d8e0-7f01-4a4d-a00c-b7e1c8b583a3"/>
    <ds:schemaRef ds:uri="671dc83a-4d2b-4074-96cb-94c54810c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0225F-2AA3-4125-A8EB-AC650E0E834E}">
  <ds:schemaRefs>
    <ds:schemaRef ds:uri="http://schemas.microsoft.com/sharepoint/events"/>
  </ds:schemaRefs>
</ds:datastoreItem>
</file>

<file path=customXml/itemProps4.xml><?xml version="1.0" encoding="utf-8"?>
<ds:datastoreItem xmlns:ds="http://schemas.openxmlformats.org/officeDocument/2006/customXml" ds:itemID="{8369F098-06E9-45AD-BA8E-B54AD9FD2F94}">
  <ds:schemaRefs>
    <ds:schemaRef ds:uri="24d6d8e0-7f01-4a4d-a00c-b7e1c8b583a3"/>
    <ds:schemaRef ds:uri="http://schemas.microsoft.com/office/infopath/2007/PartnerControls"/>
    <ds:schemaRef ds:uri="671dc83a-4d2b-4074-96cb-94c54810c83c"/>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6.xml><?xml version="1.0" encoding="utf-8"?>
<ds:datastoreItem xmlns:ds="http://schemas.openxmlformats.org/officeDocument/2006/customXml" ds:itemID="{88DA9525-2FC6-48F2-8C14-DD69A8E1B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Long Report</Template>
  <TotalTime>128</TotalTime>
  <Pages>24</Pages>
  <Words>4886</Words>
  <Characters>27220</Characters>
  <Application>Microsoft Office Word</Application>
  <DocSecurity>0</DocSecurity>
  <Lines>716</Lines>
  <Paragraphs>422</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Provision of Consultancy Services to Support ORR’s Competition Team</dc:subject>
  <dc:creator>Angeriz-Santos, Paula</dc:creator>
  <cp:keywords/>
  <dc:description/>
  <cp:lastModifiedBy>Augusto, Barbara</cp:lastModifiedBy>
  <cp:revision>29</cp:revision>
  <cp:lastPrinted>2021-02-24T23:29:00Z</cp:lastPrinted>
  <dcterms:created xsi:type="dcterms:W3CDTF">2025-11-03T17:32:00Z</dcterms:created>
  <dcterms:modified xsi:type="dcterms:W3CDTF">2025-11-12T16:16:00Z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0x010100F82795B6AA8FEE438D5D9EE8FA4F5CC4</vt:lpwstr>
  </property>
</Properties>
</file>