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38771110" w14:textId="48EA74E5" w:rsidR="008E53C7" w:rsidRDefault="007F7E37" w:rsidP="00B042F6">
      <w:pPr>
        <w:pStyle w:val="ReporttitlePurple"/>
      </w:pPr>
      <w:r>
        <w:t>Specification of Requirements</w:t>
      </w:r>
    </w:p>
    <w:p w14:paraId="1CF57711" w14:textId="539F3EC9" w:rsidR="1B6B725B" w:rsidRDefault="00B27654" w:rsidP="0A8FE267">
      <w:pPr>
        <w:pStyle w:val="Reportsubtitle"/>
        <w:spacing w:line="259" w:lineRule="auto"/>
      </w:pPr>
      <w:r>
        <w:t>SRP</w:t>
      </w:r>
      <w:r w:rsidR="005602F8">
        <w:t xml:space="preserve"> 114 -</w:t>
      </w:r>
      <w:r>
        <w:t xml:space="preserve"> Where </w:t>
      </w:r>
      <w:r w:rsidR="00822905">
        <w:t>Have All the Eiders Gone</w:t>
      </w:r>
      <w:r>
        <w:t>? - Food Resource Availability Assessment</w:t>
      </w:r>
    </w:p>
    <w:p w14:paraId="38771112" w14:textId="41FB3472" w:rsidR="00261CCA" w:rsidRDefault="00261CCA" w:rsidP="00646B20">
      <w:pPr>
        <w:pStyle w:val="Dateandversion"/>
      </w:pPr>
      <w:r>
        <w:t xml:space="preserve">Date: </w:t>
      </w:r>
      <w:r w:rsidR="00B27654">
        <w:t>October</w:t>
      </w:r>
      <w:r w:rsidR="007F7E37">
        <w:t xml:space="preserve"> 202</w:t>
      </w:r>
      <w:r w:rsidR="000148EE">
        <w:t>5</w:t>
      </w:r>
    </w:p>
    <w:p w14:paraId="38771113" w14:textId="697B7F1C" w:rsidR="00261CCA" w:rsidRDefault="00261CCA" w:rsidP="00646B20">
      <w:pPr>
        <w:pStyle w:val="Dateandversion"/>
      </w:pPr>
      <w:r>
        <w:t>V</w:t>
      </w:r>
      <w:r w:rsidR="008E53C7">
        <w:t>ersion</w:t>
      </w:r>
      <w:r w:rsidR="00EE32ED">
        <w:t xml:space="preserve">: </w:t>
      </w:r>
      <w:r w:rsidR="320677A0">
        <w:t>1</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6C1334D3" w14:textId="2F937540" w:rsidR="00E762F7" w:rsidRPr="00C23D6C" w:rsidRDefault="00E762F7" w:rsidP="00E762F7">
      <w:pPr>
        <w:pStyle w:val="Blockheading"/>
      </w:pPr>
      <w:r w:rsidRPr="00C23D6C">
        <w:lastRenderedPageBreak/>
        <w:t xml:space="preserve">Background to </w:t>
      </w:r>
      <w:r>
        <w:t xml:space="preserve">Natural England </w:t>
      </w:r>
      <w:r w:rsidRPr="00C23D6C">
        <w:t xml:space="preserve"> </w:t>
      </w:r>
    </w:p>
    <w:p w14:paraId="7F8F4B39" w14:textId="77777777" w:rsidR="00035E5B" w:rsidRPr="002470D1" w:rsidRDefault="00035E5B" w:rsidP="00035E5B">
      <w:pPr>
        <w:rPr>
          <w:rFonts w:cs="Arial"/>
          <w:szCs w:val="24"/>
        </w:rPr>
      </w:pPr>
      <w:r w:rsidRPr="002470D1">
        <w:rPr>
          <w:rFonts w:cs="Arial"/>
          <w:szCs w:val="24"/>
        </w:rPr>
        <w:t xml:space="preserve">We are the government’s adviser for the natural environment in England, helping to protect England’s nature and landscapes for people to enjoy and for the services they provide. </w:t>
      </w:r>
    </w:p>
    <w:p w14:paraId="3745C33E" w14:textId="77777777" w:rsidR="00035E5B" w:rsidRPr="002470D1" w:rsidRDefault="00035E5B" w:rsidP="00035E5B">
      <w:pPr>
        <w:rPr>
          <w:rFonts w:cs="Arial"/>
          <w:szCs w:val="24"/>
        </w:rPr>
      </w:pPr>
      <w:r w:rsidRPr="002470D1">
        <w:rPr>
          <w:rFonts w:cs="Arial"/>
          <w:szCs w:val="24"/>
        </w:rPr>
        <w:t xml:space="preserve">Natural England is an executive non-departmental public body, sponsored by the Department for Environment, Food &amp; Rural Affairs. Further information can be found at </w:t>
      </w:r>
      <w:hyperlink r:id="rId13" w:history="1">
        <w:r w:rsidRPr="002470D1">
          <w:rPr>
            <w:rStyle w:val="Hyperlink"/>
            <w:rFonts w:cs="Arial"/>
            <w:szCs w:val="24"/>
          </w:rPr>
          <w:t>www.gov.uk/natural-england</w:t>
        </w:r>
      </w:hyperlink>
      <w:r w:rsidRPr="002470D1">
        <w:rPr>
          <w:rFonts w:cs="Arial"/>
          <w:szCs w:val="24"/>
        </w:rPr>
        <w:t xml:space="preserve"> </w:t>
      </w:r>
    </w:p>
    <w:p w14:paraId="0A5FECFB" w14:textId="77777777" w:rsidR="00035E5B" w:rsidRPr="002470D1" w:rsidRDefault="00035E5B" w:rsidP="00035E5B">
      <w:pPr>
        <w:rPr>
          <w:rFonts w:cs="Arial"/>
          <w:szCs w:val="24"/>
        </w:rPr>
      </w:pPr>
      <w:r w:rsidRPr="002470D1">
        <w:rPr>
          <w:rFonts w:cs="Arial"/>
          <w:szCs w:val="24"/>
        </w:rPr>
        <w:t xml:space="preserve">We provide practical advice, grounded in science, on how best to safeguard England’s natural wealth for the benefit of everyone. </w:t>
      </w:r>
    </w:p>
    <w:p w14:paraId="1D13094A" w14:textId="77777777" w:rsidR="00035E5B" w:rsidRPr="002470D1" w:rsidRDefault="00035E5B" w:rsidP="00035E5B">
      <w:pPr>
        <w:rPr>
          <w:rFonts w:cs="Arial"/>
          <w:szCs w:val="24"/>
        </w:rPr>
      </w:pPr>
      <w:r w:rsidRPr="002470D1">
        <w:rPr>
          <w:rFonts w:cs="Arial"/>
          <w:szCs w:val="24"/>
        </w:rPr>
        <w:t>Our remit is to ensure sustainable stewardship of the land and sea so that people and nature can thrive. It is our responsibility to see that England’s rich natural environment can adapt and survive intact for future generations to enjoy.</w:t>
      </w:r>
    </w:p>
    <w:p w14:paraId="23BE85F1" w14:textId="77777777" w:rsidR="00E762F7" w:rsidRPr="00C23D6C" w:rsidRDefault="00E762F7" w:rsidP="00E762F7">
      <w:pPr>
        <w:pStyle w:val="Blockheading"/>
      </w:pPr>
      <w:r w:rsidRPr="00C23D6C">
        <w:t xml:space="preserve">Background to the specific work area relevant to this purchase </w:t>
      </w:r>
    </w:p>
    <w:p w14:paraId="178CDC1D" w14:textId="5CA098CF" w:rsidR="00160739" w:rsidRPr="00160739" w:rsidRDefault="00160739" w:rsidP="00160739">
      <w:pPr>
        <w:rPr>
          <w:szCs w:val="24"/>
        </w:rPr>
      </w:pPr>
      <w:r w:rsidRPr="00160739">
        <w:rPr>
          <w:szCs w:val="24"/>
        </w:rPr>
        <w:t xml:space="preserve">At the GB scale, eider numbers have declined by c60% over the last 25 years. At an England scale, numbers have declined by c75% over 30+ years. Action to understand the causes of these declines and, if possible, to implement measures to halt or reverse the declines is urgent. </w:t>
      </w:r>
    </w:p>
    <w:p w14:paraId="40E0D153" w14:textId="59400FE8" w:rsidR="00EC2DBE" w:rsidRPr="00160739" w:rsidRDefault="00160739" w:rsidP="00160739">
      <w:pPr>
        <w:rPr>
          <w:szCs w:val="24"/>
        </w:rPr>
      </w:pPr>
      <w:r w:rsidRPr="00160739">
        <w:rPr>
          <w:szCs w:val="24"/>
        </w:rPr>
        <w:t xml:space="preserve">The decline in the eider population in Northumberland is almost certainly driven by a combination of poor breeding success and/or poor survival or emigration of mature birds. However, the relative importance of these various demographic parameters in driving the observed decline is unclear. Food availability may influence productivity and is likely to influence adult survival rate and propensity to emigrate.  Adult eiders preferentially feed on mussel, a resource which since 2012 has declined critically in Northumberland. This suggests that environmental changes leading to loss of </w:t>
      </w:r>
      <w:proofErr w:type="spellStart"/>
      <w:r w:rsidRPr="00160739">
        <w:rPr>
          <w:szCs w:val="24"/>
        </w:rPr>
        <w:t>mussel</w:t>
      </w:r>
      <w:proofErr w:type="spellEnd"/>
      <w:r w:rsidRPr="00160739">
        <w:rPr>
          <w:szCs w:val="24"/>
        </w:rPr>
        <w:t xml:space="preserve"> resources on this coast may have played some part in the eiders’ decline.</w:t>
      </w:r>
    </w:p>
    <w:p w14:paraId="18A695C8" w14:textId="77777777" w:rsidR="00160739" w:rsidRPr="00890B3D" w:rsidRDefault="00160739" w:rsidP="00160739">
      <w:pPr>
        <w:rPr>
          <w:szCs w:val="24"/>
        </w:rPr>
      </w:pPr>
      <w:r w:rsidRPr="00890B3D">
        <w:rPr>
          <w:szCs w:val="24"/>
        </w:rPr>
        <w:t xml:space="preserve">For several decades, individuals-based simulation modelling has been used as a tool to explore the consequences of environmental changes in the coastal zone on the survival of individual wintering waders and population-scale over-winter mortality rates (Brown &amp; Stillman 2021). Many such studies have focused on the role of changing shellfish resource abundance on the overwinter mortality of wading birds (Goss-Custard et al 2004) and have informed the management of commercial shellfisheries in many SPAs around the UK (e.g. Stillman </w:t>
      </w:r>
      <w:r w:rsidRPr="00890B3D">
        <w:rPr>
          <w:i/>
          <w:iCs/>
          <w:szCs w:val="24"/>
        </w:rPr>
        <w:t>et al.</w:t>
      </w:r>
      <w:r w:rsidRPr="00890B3D">
        <w:rPr>
          <w:szCs w:val="24"/>
        </w:rPr>
        <w:t xml:space="preserve"> 2003)). Kaiser </w:t>
      </w:r>
      <w:r w:rsidRPr="00890B3D">
        <w:rPr>
          <w:i/>
          <w:iCs/>
          <w:szCs w:val="24"/>
        </w:rPr>
        <w:t>et al</w:t>
      </w:r>
      <w:r w:rsidRPr="00890B3D">
        <w:rPr>
          <w:szCs w:val="24"/>
        </w:rPr>
        <w:t xml:space="preserve">. (2002) conducted an extensive review of the published literature regarding the foraging ecology, energetics, diet etc of diving ducks and developed the first version of this model (MORPH) to explore the consequences of environmental change on sea ducks feeding on submerged prey resources. Caldow </w:t>
      </w:r>
      <w:r w:rsidRPr="00890B3D">
        <w:rPr>
          <w:i/>
          <w:iCs/>
          <w:szCs w:val="24"/>
        </w:rPr>
        <w:t>et al.</w:t>
      </w:r>
      <w:r w:rsidRPr="00890B3D">
        <w:rPr>
          <w:szCs w:val="24"/>
        </w:rPr>
        <w:t xml:space="preserve"> (2007) adapted that model to explore the role of changes to the abundance of shellfish resources in influencing the number of eider ducks (and oystercatchers) that could be supported within The Wash SPA. </w:t>
      </w:r>
      <w:proofErr w:type="spellStart"/>
      <w:r w:rsidRPr="00890B3D">
        <w:rPr>
          <w:szCs w:val="24"/>
        </w:rPr>
        <w:t>Oldeland</w:t>
      </w:r>
      <w:proofErr w:type="spellEnd"/>
      <w:r w:rsidRPr="00890B3D">
        <w:rPr>
          <w:szCs w:val="24"/>
        </w:rPr>
        <w:t xml:space="preserve"> </w:t>
      </w:r>
      <w:r w:rsidRPr="00890B3D">
        <w:rPr>
          <w:i/>
          <w:iCs/>
          <w:szCs w:val="24"/>
        </w:rPr>
        <w:t>et al</w:t>
      </w:r>
      <w:r w:rsidRPr="00890B3D">
        <w:rPr>
          <w:szCs w:val="24"/>
        </w:rPr>
        <w:t>. (2023) applied the same model code to develop another version of the model to predict the impact on sea ducks (including eider ducks) of infrastructure development in the Baltic Sea.</w:t>
      </w:r>
    </w:p>
    <w:p w14:paraId="49CCD453" w14:textId="77777777" w:rsidR="00160739" w:rsidRDefault="00160739" w:rsidP="00160739">
      <w:pPr>
        <w:rPr>
          <w:szCs w:val="24"/>
        </w:rPr>
      </w:pPr>
      <w:r w:rsidRPr="00890B3D">
        <w:rPr>
          <w:szCs w:val="24"/>
        </w:rPr>
        <w:lastRenderedPageBreak/>
        <w:t>There is now a need to apply this same modelling approach, using updated literature and a revised model code, if needed, to investigate the potential role of changed shellfish food resources in Northumberland in causing elevated eider duck mortality and population decline, and the potential for altered approaches to shellfish management to halt or reverse the decline in Northumberland’s eider duck population.</w:t>
      </w:r>
    </w:p>
    <w:p w14:paraId="74D8F033" w14:textId="69E716D1" w:rsidR="00826E91" w:rsidRPr="007E3EBD" w:rsidRDefault="00890B3D" w:rsidP="003010D7">
      <w:pPr>
        <w:rPr>
          <w:szCs w:val="24"/>
        </w:rPr>
      </w:pPr>
      <w:r w:rsidRPr="007E3EBD">
        <w:rPr>
          <w:szCs w:val="24"/>
        </w:rPr>
        <w:t xml:space="preserve">To </w:t>
      </w:r>
      <w:r w:rsidR="00E41193" w:rsidRPr="007E3EBD">
        <w:rPr>
          <w:szCs w:val="24"/>
        </w:rPr>
        <w:t>parameterise</w:t>
      </w:r>
      <w:r w:rsidRPr="007E3EBD">
        <w:rPr>
          <w:szCs w:val="24"/>
        </w:rPr>
        <w:t xml:space="preserve"> this </w:t>
      </w:r>
      <w:r w:rsidR="00E41193" w:rsidRPr="007E3EBD">
        <w:rPr>
          <w:szCs w:val="24"/>
        </w:rPr>
        <w:t>model with the best available evidence for the region</w:t>
      </w:r>
      <w:r w:rsidRPr="007E3EBD">
        <w:rPr>
          <w:szCs w:val="24"/>
        </w:rPr>
        <w:t>, the present study is being commissioned</w:t>
      </w:r>
      <w:r w:rsidR="002F5612" w:rsidRPr="007E3EBD">
        <w:rPr>
          <w:szCs w:val="24"/>
        </w:rPr>
        <w:t xml:space="preserve"> </w:t>
      </w:r>
      <w:r w:rsidR="00264741" w:rsidRPr="007E3EBD">
        <w:rPr>
          <w:szCs w:val="24"/>
        </w:rPr>
        <w:t>to provide</w:t>
      </w:r>
      <w:r w:rsidR="00E41193" w:rsidRPr="007E3EBD">
        <w:rPr>
          <w:szCs w:val="24"/>
        </w:rPr>
        <w:t xml:space="preserve"> a rapid assessment of food availability for eiders over the winter period. </w:t>
      </w:r>
      <w:r w:rsidR="00D23B42" w:rsidRPr="007E3EBD">
        <w:t xml:space="preserve">Eiders preferentially feed on mussels, a resource which since 2012 has declined critically in Northumberland. However, mussel beds persist in the </w:t>
      </w:r>
      <w:proofErr w:type="spellStart"/>
      <w:r w:rsidR="00D23B42" w:rsidRPr="007E3EBD">
        <w:t>Teesmouth</w:t>
      </w:r>
      <w:proofErr w:type="spellEnd"/>
      <w:r w:rsidR="00D23B42" w:rsidRPr="007E3EBD">
        <w:t xml:space="preserve"> and Cleveland Coast SPA, where wintering eiders occur. </w:t>
      </w:r>
      <w:r w:rsidR="005676C7" w:rsidRPr="007E3EBD">
        <w:t>The st</w:t>
      </w:r>
      <w:r w:rsidR="00D23B42" w:rsidRPr="007E3EBD">
        <w:t xml:space="preserve">udy will determine the availability of </w:t>
      </w:r>
      <w:r w:rsidR="00D52775" w:rsidRPr="007E3EBD">
        <w:t xml:space="preserve">mussels and </w:t>
      </w:r>
      <w:r w:rsidR="00D23B42" w:rsidRPr="007E3EBD">
        <w:t xml:space="preserve">alternate food sources </w:t>
      </w:r>
      <w:r w:rsidR="00D52775" w:rsidRPr="007E3EBD">
        <w:t xml:space="preserve">at five sites </w:t>
      </w:r>
      <w:r w:rsidR="005676C7" w:rsidRPr="007E3EBD">
        <w:t>in the region</w:t>
      </w:r>
      <w:r w:rsidR="00D23B42" w:rsidRPr="007E3EBD">
        <w:t xml:space="preserve"> used by eiders. </w:t>
      </w:r>
    </w:p>
    <w:p w14:paraId="7F78E3D6" w14:textId="77777777" w:rsidR="00D61EFE" w:rsidRDefault="00E762F7" w:rsidP="00D61EFE">
      <w:pPr>
        <w:pStyle w:val="Blockheading"/>
      </w:pPr>
      <w:r w:rsidRPr="00C23D6C">
        <w:t>Requirement</w:t>
      </w:r>
    </w:p>
    <w:p w14:paraId="1718B711" w14:textId="6F0C6B4A" w:rsidR="00723A7A" w:rsidRDefault="008B059B" w:rsidP="00D61EFE">
      <w:r>
        <w:t xml:space="preserve">The </w:t>
      </w:r>
      <w:r w:rsidR="00D05AEB">
        <w:t xml:space="preserve">parameters needed </w:t>
      </w:r>
      <w:r w:rsidR="00CD04E0">
        <w:t xml:space="preserve">for the </w:t>
      </w:r>
      <w:r w:rsidR="00510DE5">
        <w:t>MORPH model</w:t>
      </w:r>
      <w:r w:rsidR="00CD04E0">
        <w:t xml:space="preserve"> that this study will </w:t>
      </w:r>
      <w:r w:rsidR="00AC5234">
        <w:t xml:space="preserve">address </w:t>
      </w:r>
      <w:r w:rsidR="00510DE5">
        <w:t xml:space="preserve">are: </w:t>
      </w:r>
    </w:p>
    <w:p w14:paraId="2174EF89" w14:textId="48165555" w:rsidR="003074F2" w:rsidRDefault="00723A7A" w:rsidP="003D0D90">
      <w:pPr>
        <w:pStyle w:val="ListParagraph"/>
        <w:numPr>
          <w:ilvl w:val="0"/>
          <w:numId w:val="12"/>
        </w:numPr>
      </w:pPr>
      <w:r w:rsidRPr="00AC5234">
        <w:rPr>
          <w:u w:val="single"/>
        </w:rPr>
        <w:t>A</w:t>
      </w:r>
      <w:r w:rsidR="009B602F" w:rsidRPr="00AC5234">
        <w:rPr>
          <w:u w:val="single"/>
        </w:rPr>
        <w:t>bundance of food</w:t>
      </w:r>
      <w:r>
        <w:t xml:space="preserve">: Numerical density of size classes of </w:t>
      </w:r>
      <w:r w:rsidR="003074F2">
        <w:t>different prey species within alternative feeding locations</w:t>
      </w:r>
      <w:r w:rsidR="00AC5234">
        <w:t>.</w:t>
      </w:r>
    </w:p>
    <w:p w14:paraId="0B833E4A" w14:textId="43F62631" w:rsidR="00E70555" w:rsidRDefault="003074F2" w:rsidP="003D0D90">
      <w:pPr>
        <w:pStyle w:val="ListParagraph"/>
        <w:numPr>
          <w:ilvl w:val="0"/>
          <w:numId w:val="12"/>
        </w:numPr>
      </w:pPr>
      <w:r w:rsidRPr="00AC5234">
        <w:rPr>
          <w:u w:val="single"/>
        </w:rPr>
        <w:t xml:space="preserve">Tidal availability of </w:t>
      </w:r>
      <w:r w:rsidR="00CD04E0" w:rsidRPr="00AC5234">
        <w:rPr>
          <w:u w:val="single"/>
        </w:rPr>
        <w:t>food patches</w:t>
      </w:r>
      <w:r w:rsidR="00CD04E0">
        <w:t xml:space="preserve">: Depth of food patches and proportion of time for which these are available through spring/neap cycle. </w:t>
      </w:r>
      <w:r w:rsidR="009B602F">
        <w:t xml:space="preserve"> </w:t>
      </w:r>
    </w:p>
    <w:p w14:paraId="76DF1641" w14:textId="7F0D9B93" w:rsidR="006631CE" w:rsidRDefault="006631CE" w:rsidP="00D61EFE">
      <w:r>
        <w:t xml:space="preserve">The study </w:t>
      </w:r>
      <w:r w:rsidR="00AC5234">
        <w:t>therefore has three aims:</w:t>
      </w:r>
      <w:r>
        <w:t xml:space="preserve"> </w:t>
      </w:r>
    </w:p>
    <w:p w14:paraId="0E4DAADB" w14:textId="2950AC34" w:rsidR="006631CE" w:rsidRDefault="00B4598F" w:rsidP="003D0D90">
      <w:pPr>
        <w:pStyle w:val="ListParagraph"/>
        <w:numPr>
          <w:ilvl w:val="0"/>
          <w:numId w:val="11"/>
        </w:numPr>
      </w:pPr>
      <w:r>
        <w:t>Semi-q</w:t>
      </w:r>
      <w:r w:rsidR="006631CE" w:rsidRPr="00DF3968">
        <w:t>uantitative assessment of</w:t>
      </w:r>
      <w:r w:rsidR="002F5612">
        <w:t xml:space="preserve"> eider</w:t>
      </w:r>
      <w:r w:rsidR="006631CE" w:rsidRPr="00DF3968">
        <w:t xml:space="preserve"> prey abundance</w:t>
      </w:r>
      <w:r w:rsidR="002F5612">
        <w:t>.</w:t>
      </w:r>
    </w:p>
    <w:p w14:paraId="2C6D3635" w14:textId="310A85DF" w:rsidR="006631CE" w:rsidRDefault="006631CE" w:rsidP="003D0D90">
      <w:pPr>
        <w:pStyle w:val="ListParagraph"/>
        <w:numPr>
          <w:ilvl w:val="0"/>
          <w:numId w:val="11"/>
        </w:numPr>
      </w:pPr>
      <w:r>
        <w:t>N</w:t>
      </w:r>
      <w:r w:rsidRPr="00DF3968">
        <w:t xml:space="preserve">umerical density of size classes of </w:t>
      </w:r>
      <w:r>
        <w:t>dominant</w:t>
      </w:r>
      <w:r w:rsidRPr="00DF3968">
        <w:t xml:space="preserve"> </w:t>
      </w:r>
      <w:r w:rsidR="00B4598F">
        <w:t>eider</w:t>
      </w:r>
      <w:r w:rsidR="00B4598F" w:rsidRPr="00DF3968">
        <w:t xml:space="preserve"> </w:t>
      </w:r>
      <w:r w:rsidRPr="00DF3968">
        <w:t>prey species</w:t>
      </w:r>
      <w:r w:rsidR="002F5612">
        <w:t>.</w:t>
      </w:r>
    </w:p>
    <w:p w14:paraId="14DDB3DA" w14:textId="48CC8892" w:rsidR="006631CE" w:rsidRDefault="006631CE" w:rsidP="003D0D90">
      <w:pPr>
        <w:pStyle w:val="ListParagraph"/>
        <w:numPr>
          <w:ilvl w:val="0"/>
          <w:numId w:val="11"/>
        </w:numPr>
      </w:pPr>
      <w:r>
        <w:t>The t</w:t>
      </w:r>
      <w:r w:rsidRPr="000B50DD">
        <w:t xml:space="preserve">idal availability of food </w:t>
      </w:r>
      <w:r>
        <w:t>resource to eider at the sites</w:t>
      </w:r>
      <w:r w:rsidR="00A9433C">
        <w:t>.</w:t>
      </w:r>
    </w:p>
    <w:p w14:paraId="4803EC40" w14:textId="41ECD871" w:rsidR="002A62E4" w:rsidRDefault="00CD5EB5" w:rsidP="00D61EFE">
      <w:r>
        <w:t xml:space="preserve">Five locations will be investigated for </w:t>
      </w:r>
      <w:r w:rsidR="008148F3">
        <w:t xml:space="preserve">eider food resource availability, </w:t>
      </w:r>
      <w:proofErr w:type="spellStart"/>
      <w:r w:rsidR="00475E9E">
        <w:t>Castlehead</w:t>
      </w:r>
      <w:proofErr w:type="spellEnd"/>
      <w:r w:rsidR="00475E9E">
        <w:t xml:space="preserve"> </w:t>
      </w:r>
      <w:r w:rsidR="009F26A0">
        <w:t>R</w:t>
      </w:r>
      <w:r w:rsidR="00475E9E">
        <w:t xml:space="preserve">ocks, </w:t>
      </w:r>
      <w:r w:rsidR="009F26A0">
        <w:t>Newton Point</w:t>
      </w:r>
      <w:r w:rsidR="008A4554">
        <w:t xml:space="preserve">, </w:t>
      </w:r>
      <w:r w:rsidR="00E40010">
        <w:t>Pan Rocks</w:t>
      </w:r>
      <w:r w:rsidR="008A4554">
        <w:t xml:space="preserve">, </w:t>
      </w:r>
      <w:r w:rsidR="009F4C13">
        <w:t xml:space="preserve">Hartlepool Headland </w:t>
      </w:r>
      <w:r w:rsidR="00153AFA">
        <w:t xml:space="preserve">North </w:t>
      </w:r>
      <w:r w:rsidR="009F4C13">
        <w:t>and</w:t>
      </w:r>
      <w:r w:rsidR="00D67763">
        <w:t xml:space="preserve"> </w:t>
      </w:r>
      <w:proofErr w:type="spellStart"/>
      <w:r w:rsidR="008A4554">
        <w:t>Coatham</w:t>
      </w:r>
      <w:proofErr w:type="spellEnd"/>
      <w:r w:rsidR="009F4C13">
        <w:t xml:space="preserve"> </w:t>
      </w:r>
      <w:r w:rsidR="009F26A0">
        <w:t>R</w:t>
      </w:r>
      <w:r w:rsidR="009F4C13">
        <w:t>ocks</w:t>
      </w:r>
      <w:r w:rsidR="0012301F">
        <w:t xml:space="preserve"> (Figure 1)</w:t>
      </w:r>
      <w:r w:rsidR="00EF1C4E">
        <w:t>. The survey at each site will consist of one transect on the rocky shore</w:t>
      </w:r>
      <w:r w:rsidR="00B37B4E">
        <w:t xml:space="preserve">. </w:t>
      </w:r>
    </w:p>
    <w:p w14:paraId="45331D14" w14:textId="6FB5CC9C" w:rsidR="00CC1D78" w:rsidRDefault="000357D0" w:rsidP="00CC1D78">
      <w:pPr>
        <w:keepNext/>
      </w:pPr>
      <w:r>
        <w:lastRenderedPageBreak/>
        <w:t xml:space="preserve"> </w:t>
      </w:r>
      <w:r w:rsidR="00FA7927">
        <w:rPr>
          <w:noProof/>
        </w:rPr>
        <w:drawing>
          <wp:inline distT="0" distB="0" distL="0" distR="0" wp14:anchorId="2C776307" wp14:editId="3E97F228">
            <wp:extent cx="6115685" cy="4324350"/>
            <wp:effectExtent l="0" t="0" r="0" b="0"/>
            <wp:docPr id="1250631050" name="Picture 1" descr="A map of the eider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31050" name="Picture 1" descr="A map of the eider food&#10;&#10;AI-generated content may be incorrect."/>
                    <pic:cNvPicPr/>
                  </pic:nvPicPr>
                  <pic:blipFill>
                    <a:blip r:embed="rId14"/>
                    <a:stretch>
                      <a:fillRect/>
                    </a:stretch>
                  </pic:blipFill>
                  <pic:spPr>
                    <a:xfrm>
                      <a:off x="0" y="0"/>
                      <a:ext cx="6115685" cy="4324350"/>
                    </a:xfrm>
                    <a:prstGeom prst="rect">
                      <a:avLst/>
                    </a:prstGeom>
                  </pic:spPr>
                </pic:pic>
              </a:graphicData>
            </a:graphic>
          </wp:inline>
        </w:drawing>
      </w:r>
    </w:p>
    <w:p w14:paraId="3A5793F4" w14:textId="727D3206" w:rsidR="00826E91" w:rsidRPr="00CC1D78" w:rsidRDefault="00CC1D78" w:rsidP="00CC1D78">
      <w:pPr>
        <w:pStyle w:val="Caption"/>
        <w:jc w:val="center"/>
        <w:rPr>
          <w:rFonts w:asciiTheme="minorHAnsi" w:eastAsia="MS Mincho" w:hAnsiTheme="minorHAnsi" w:cstheme="minorHAnsi"/>
          <w:b w:val="0"/>
          <w:i/>
          <w:sz w:val="18"/>
          <w:lang w:val="en-US"/>
        </w:rPr>
      </w:pPr>
      <w:r w:rsidRPr="00CC1D78">
        <w:rPr>
          <w:rFonts w:asciiTheme="minorHAnsi" w:eastAsia="MS Mincho" w:hAnsiTheme="minorHAnsi" w:cstheme="minorHAnsi"/>
          <w:b w:val="0"/>
          <w:i/>
          <w:sz w:val="18"/>
          <w:lang w:val="en-US"/>
        </w:rPr>
        <w:t xml:space="preserve">Figure </w:t>
      </w:r>
      <w:r w:rsidRPr="00CC1D78">
        <w:rPr>
          <w:rFonts w:asciiTheme="minorHAnsi" w:eastAsia="MS Mincho" w:hAnsiTheme="minorHAnsi" w:cstheme="minorHAnsi"/>
          <w:b w:val="0"/>
          <w:i/>
          <w:sz w:val="18"/>
          <w:lang w:val="en-US"/>
        </w:rPr>
        <w:fldChar w:fldCharType="begin"/>
      </w:r>
      <w:r w:rsidRPr="00CC1D78">
        <w:rPr>
          <w:rFonts w:asciiTheme="minorHAnsi" w:eastAsia="MS Mincho" w:hAnsiTheme="minorHAnsi" w:cstheme="minorHAnsi"/>
          <w:b w:val="0"/>
          <w:i/>
          <w:sz w:val="18"/>
          <w:lang w:val="en-US"/>
        </w:rPr>
        <w:instrText xml:space="preserve"> SEQ Figure \* ARABIC </w:instrText>
      </w:r>
      <w:r w:rsidRPr="00CC1D78">
        <w:rPr>
          <w:rFonts w:asciiTheme="minorHAnsi" w:eastAsia="MS Mincho" w:hAnsiTheme="minorHAnsi" w:cstheme="minorHAnsi"/>
          <w:b w:val="0"/>
          <w:i/>
          <w:sz w:val="18"/>
          <w:lang w:val="en-US"/>
        </w:rPr>
        <w:fldChar w:fldCharType="separate"/>
      </w:r>
      <w:r w:rsidRPr="00CC1D78">
        <w:rPr>
          <w:rFonts w:asciiTheme="minorHAnsi" w:eastAsia="MS Mincho" w:hAnsiTheme="minorHAnsi" w:cstheme="minorHAnsi"/>
          <w:b w:val="0"/>
          <w:i/>
          <w:sz w:val="18"/>
          <w:lang w:val="en-US"/>
        </w:rPr>
        <w:t>1</w:t>
      </w:r>
      <w:r w:rsidRPr="00CC1D78">
        <w:rPr>
          <w:rFonts w:asciiTheme="minorHAnsi" w:eastAsia="MS Mincho" w:hAnsiTheme="minorHAnsi" w:cstheme="minorHAnsi"/>
          <w:b w:val="0"/>
          <w:i/>
          <w:sz w:val="18"/>
          <w:lang w:val="en-US"/>
        </w:rPr>
        <w:fldChar w:fldCharType="end"/>
      </w:r>
      <w:r w:rsidRPr="00CC1D78">
        <w:rPr>
          <w:rFonts w:asciiTheme="minorHAnsi" w:eastAsia="MS Mincho" w:hAnsiTheme="minorHAnsi" w:cstheme="minorHAnsi"/>
          <w:b w:val="0"/>
          <w:i/>
          <w:sz w:val="18"/>
          <w:lang w:val="en-US"/>
        </w:rPr>
        <w:t>: Site locations for study.</w:t>
      </w:r>
    </w:p>
    <w:p w14:paraId="68F98C5A" w14:textId="02180915" w:rsidR="00822905" w:rsidRPr="00822905" w:rsidRDefault="00822905" w:rsidP="00D61EFE">
      <w:pPr>
        <w:rPr>
          <w:b/>
          <w:bCs/>
        </w:rPr>
      </w:pPr>
      <w:r w:rsidRPr="00822905">
        <w:rPr>
          <w:b/>
          <w:bCs/>
        </w:rPr>
        <w:t>Methodology</w:t>
      </w:r>
    </w:p>
    <w:p w14:paraId="703322A7" w14:textId="07921DFF" w:rsidR="0076286A" w:rsidRDefault="004F286F" w:rsidP="00D61EFE">
      <w:r w:rsidRPr="004F286F">
        <w:t xml:space="preserve">Transect surveys </w:t>
      </w:r>
      <w:r>
        <w:t xml:space="preserve">will be conducted </w:t>
      </w:r>
      <w:r w:rsidRPr="004F286F">
        <w:t>during the period of lowest possible tides</w:t>
      </w:r>
      <w:r>
        <w:t xml:space="preserve"> in November or December</w:t>
      </w:r>
      <w:r w:rsidR="00213A4F">
        <w:t xml:space="preserve"> (contingency)</w:t>
      </w:r>
      <w:r>
        <w:t xml:space="preserve"> 202</w:t>
      </w:r>
      <w:r w:rsidR="0012301F">
        <w:t>5</w:t>
      </w:r>
      <w:r w:rsidRPr="004F286F">
        <w:t xml:space="preserve">. The period is chosen to assess the food availability </w:t>
      </w:r>
      <w:r w:rsidR="00B910BD">
        <w:t>to the overwintering eiders in the region</w:t>
      </w:r>
      <w:r w:rsidR="008E3344">
        <w:t>.</w:t>
      </w:r>
      <w:r w:rsidRPr="004F286F">
        <w:t xml:space="preserve"> </w:t>
      </w:r>
      <w:r w:rsidR="000D6B0F">
        <w:t>T</w:t>
      </w:r>
      <w:r w:rsidR="00415A80">
        <w:t xml:space="preserve">he five transect locations will utilise transects developed for other </w:t>
      </w:r>
      <w:r w:rsidR="006631CE">
        <w:t>condition</w:t>
      </w:r>
      <w:r w:rsidR="00415A80">
        <w:t xml:space="preserve"> monitoring studies</w:t>
      </w:r>
      <w:r w:rsidR="0076286A">
        <w:t xml:space="preserve"> (</w:t>
      </w:r>
      <w:r w:rsidR="0076286A">
        <w:fldChar w:fldCharType="begin"/>
      </w:r>
      <w:r w:rsidR="0076286A">
        <w:instrText xml:space="preserve"> REF _Ref211329204 \h  \* MERGEFORMAT </w:instrText>
      </w:r>
      <w:r w:rsidR="0076286A">
        <w:fldChar w:fldCharType="separate"/>
      </w:r>
      <w:r w:rsidR="0076286A" w:rsidRPr="0076286A">
        <w:t>Table 1</w:t>
      </w:r>
      <w:r w:rsidR="0076286A">
        <w:fldChar w:fldCharType="end"/>
      </w:r>
      <w:r w:rsidR="0076286A">
        <w:t>)</w:t>
      </w:r>
      <w:r w:rsidR="00415A80">
        <w:t xml:space="preserve">. </w:t>
      </w:r>
      <w:r w:rsidRPr="004F286F">
        <w:t>Details of the start location and end locations of each of the existing transects</w:t>
      </w:r>
      <w:r w:rsidR="008E3344">
        <w:t xml:space="preserve"> will be provided b</w:t>
      </w:r>
      <w:r w:rsidRPr="004F286F">
        <w:t>y Natural England</w:t>
      </w:r>
      <w:r w:rsidR="008E3344">
        <w:t>. This</w:t>
      </w:r>
      <w:r w:rsidRPr="004F286F">
        <w:t xml:space="preserve"> information </w:t>
      </w:r>
      <w:r w:rsidR="008E3344">
        <w:t xml:space="preserve">will </w:t>
      </w:r>
      <w:r w:rsidR="00EB52C4">
        <w:t xml:space="preserve">also </w:t>
      </w:r>
      <w:r w:rsidR="008E3344">
        <w:t>be</w:t>
      </w:r>
      <w:r w:rsidRPr="004F286F">
        <w:t xml:space="preserve"> captured for </w:t>
      </w:r>
      <w:r w:rsidR="00DB4584">
        <w:t xml:space="preserve">the </w:t>
      </w:r>
      <w:r w:rsidRPr="004F286F">
        <w:t>transects during this survey.</w:t>
      </w:r>
    </w:p>
    <w:p w14:paraId="4B8B2D9A" w14:textId="3A2F2B1F" w:rsidR="0076286A" w:rsidRDefault="001E4AF7">
      <w:pPr>
        <w:spacing w:before="0" w:after="0" w:line="240" w:lineRule="auto"/>
      </w:pPr>
      <w:r w:rsidRPr="001E4AF7">
        <w:t>The contractor should allow for the inclusion of Natural England staff on surveys wherever feasible. The Nominated Officer will liaise with the contractor regarding the availability of Natural England staff to join the survey, where available.</w:t>
      </w:r>
      <w:r w:rsidR="0076286A">
        <w:br w:type="page"/>
      </w:r>
    </w:p>
    <w:p w14:paraId="3566DF0C" w14:textId="588AD954" w:rsidR="00BC732A" w:rsidRPr="0076286A" w:rsidRDefault="0076286A" w:rsidP="0076286A">
      <w:pPr>
        <w:pStyle w:val="Caption"/>
        <w:rPr>
          <w:rFonts w:asciiTheme="minorHAnsi" w:eastAsia="MS Mincho" w:hAnsiTheme="minorHAnsi" w:cstheme="minorHAnsi"/>
          <w:b w:val="0"/>
          <w:i/>
          <w:sz w:val="18"/>
          <w:lang w:val="en-US"/>
        </w:rPr>
      </w:pPr>
      <w:bookmarkStart w:id="0" w:name="_Ref211329204"/>
      <w:r w:rsidRPr="0076286A">
        <w:rPr>
          <w:rFonts w:asciiTheme="minorHAnsi" w:eastAsia="MS Mincho" w:hAnsiTheme="minorHAnsi" w:cstheme="minorHAnsi"/>
          <w:b w:val="0"/>
          <w:i/>
          <w:sz w:val="18"/>
          <w:lang w:val="en-US"/>
        </w:rPr>
        <w:lastRenderedPageBreak/>
        <w:t xml:space="preserve">Table </w:t>
      </w:r>
      <w:r w:rsidRPr="0076286A">
        <w:rPr>
          <w:rFonts w:asciiTheme="minorHAnsi" w:eastAsia="MS Mincho" w:hAnsiTheme="minorHAnsi" w:cstheme="minorHAnsi"/>
          <w:b w:val="0"/>
          <w:i/>
          <w:sz w:val="18"/>
          <w:lang w:val="en-US"/>
        </w:rPr>
        <w:fldChar w:fldCharType="begin"/>
      </w:r>
      <w:r w:rsidRPr="0076286A">
        <w:rPr>
          <w:rFonts w:asciiTheme="minorHAnsi" w:eastAsia="MS Mincho" w:hAnsiTheme="minorHAnsi" w:cstheme="minorHAnsi"/>
          <w:b w:val="0"/>
          <w:i/>
          <w:sz w:val="18"/>
          <w:lang w:val="en-US"/>
        </w:rPr>
        <w:instrText xml:space="preserve"> SEQ Table \* ARABIC </w:instrText>
      </w:r>
      <w:r w:rsidRPr="0076286A">
        <w:rPr>
          <w:rFonts w:asciiTheme="minorHAnsi" w:eastAsia="MS Mincho" w:hAnsiTheme="minorHAnsi" w:cstheme="minorHAnsi"/>
          <w:b w:val="0"/>
          <w:i/>
          <w:sz w:val="18"/>
          <w:lang w:val="en-US"/>
        </w:rPr>
        <w:fldChar w:fldCharType="separate"/>
      </w:r>
      <w:r w:rsidRPr="0076286A">
        <w:rPr>
          <w:rFonts w:asciiTheme="minorHAnsi" w:eastAsia="MS Mincho" w:hAnsiTheme="minorHAnsi" w:cstheme="minorHAnsi"/>
          <w:b w:val="0"/>
          <w:i/>
          <w:sz w:val="18"/>
          <w:lang w:val="en-US"/>
        </w:rPr>
        <w:t>1</w:t>
      </w:r>
      <w:r w:rsidRPr="0076286A">
        <w:rPr>
          <w:rFonts w:asciiTheme="minorHAnsi" w:eastAsia="MS Mincho" w:hAnsiTheme="minorHAnsi" w:cstheme="minorHAnsi"/>
          <w:b w:val="0"/>
          <w:i/>
          <w:sz w:val="18"/>
          <w:lang w:val="en-US"/>
        </w:rPr>
        <w:fldChar w:fldCharType="end"/>
      </w:r>
      <w:bookmarkEnd w:id="0"/>
      <w:r w:rsidRPr="0076286A">
        <w:rPr>
          <w:rFonts w:asciiTheme="minorHAnsi" w:eastAsia="MS Mincho" w:hAnsiTheme="minorHAnsi" w:cstheme="minorHAnsi"/>
          <w:b w:val="0"/>
          <w:i/>
          <w:sz w:val="18"/>
          <w:lang w:val="en-US"/>
        </w:rPr>
        <w:t>: Start and end coordinates of transects (WGS 1984).</w:t>
      </w:r>
    </w:p>
    <w:tbl>
      <w:tblPr>
        <w:tblStyle w:val="TableStyle3"/>
        <w:tblW w:w="0" w:type="auto"/>
        <w:tblLook w:val="04A0" w:firstRow="1" w:lastRow="0" w:firstColumn="1" w:lastColumn="0" w:noHBand="0" w:noVBand="1"/>
      </w:tblPr>
      <w:tblGrid>
        <w:gridCol w:w="2601"/>
        <w:gridCol w:w="1754"/>
        <w:gridCol w:w="1754"/>
        <w:gridCol w:w="1754"/>
        <w:gridCol w:w="1748"/>
      </w:tblGrid>
      <w:tr w:rsidR="000D6B0F" w:rsidRPr="000D6B0F" w14:paraId="1C7A2749" w14:textId="77777777" w:rsidTr="00E2411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0" w:type="dxa"/>
            <w:noWrap/>
            <w:hideMark/>
          </w:tcPr>
          <w:p w14:paraId="34C14FF6" w14:textId="77777777" w:rsidR="000D6B0F" w:rsidRPr="000D6B0F" w:rsidRDefault="000D6B0F" w:rsidP="000D6B0F"/>
        </w:tc>
        <w:tc>
          <w:tcPr>
            <w:tcW w:w="1960" w:type="dxa"/>
            <w:noWrap/>
            <w:hideMark/>
          </w:tcPr>
          <w:p w14:paraId="77256E66" w14:textId="6949EBE5" w:rsidR="000D6B0F" w:rsidRPr="000D6B0F" w:rsidRDefault="00BC732A" w:rsidP="00E2411D">
            <w:pPr>
              <w:jc w:val="left"/>
              <w:cnfStyle w:val="100000000000" w:firstRow="1" w:lastRow="0" w:firstColumn="0" w:lastColumn="0" w:oddVBand="0" w:evenVBand="0" w:oddHBand="0" w:evenHBand="0" w:firstRowFirstColumn="0" w:firstRowLastColumn="0" w:lastRowFirstColumn="0" w:lastRowLastColumn="0"/>
            </w:pPr>
            <w:r>
              <w:t>S</w:t>
            </w:r>
            <w:r w:rsidR="000D6B0F" w:rsidRPr="000D6B0F">
              <w:t xml:space="preserve">tart </w:t>
            </w:r>
            <w:r>
              <w:t>L</w:t>
            </w:r>
            <w:r w:rsidR="000D6B0F" w:rsidRPr="000D6B0F">
              <w:t>at</w:t>
            </w:r>
          </w:p>
        </w:tc>
        <w:tc>
          <w:tcPr>
            <w:tcW w:w="1960" w:type="dxa"/>
            <w:noWrap/>
            <w:hideMark/>
          </w:tcPr>
          <w:p w14:paraId="72093DAE" w14:textId="131A4D08" w:rsidR="000D6B0F" w:rsidRPr="000D6B0F" w:rsidRDefault="00BC732A" w:rsidP="00E2411D">
            <w:pPr>
              <w:jc w:val="left"/>
              <w:cnfStyle w:val="100000000000" w:firstRow="1" w:lastRow="0" w:firstColumn="0" w:lastColumn="0" w:oddVBand="0" w:evenVBand="0" w:oddHBand="0" w:evenHBand="0" w:firstRowFirstColumn="0" w:firstRowLastColumn="0" w:lastRowFirstColumn="0" w:lastRowLastColumn="0"/>
            </w:pPr>
            <w:r>
              <w:t>S</w:t>
            </w:r>
            <w:r w:rsidR="000D6B0F" w:rsidRPr="000D6B0F">
              <w:t xml:space="preserve">tart </w:t>
            </w:r>
            <w:r>
              <w:t>L</w:t>
            </w:r>
            <w:r w:rsidR="000D6B0F" w:rsidRPr="000D6B0F">
              <w:t>ong</w:t>
            </w:r>
          </w:p>
        </w:tc>
        <w:tc>
          <w:tcPr>
            <w:tcW w:w="1960" w:type="dxa"/>
            <w:noWrap/>
            <w:hideMark/>
          </w:tcPr>
          <w:p w14:paraId="67903B83" w14:textId="5DDC97FC" w:rsidR="000D6B0F" w:rsidRPr="000D6B0F" w:rsidRDefault="00BC732A" w:rsidP="00E2411D">
            <w:pPr>
              <w:jc w:val="left"/>
              <w:cnfStyle w:val="100000000000" w:firstRow="1" w:lastRow="0" w:firstColumn="0" w:lastColumn="0" w:oddVBand="0" w:evenVBand="0" w:oddHBand="0" w:evenHBand="0" w:firstRowFirstColumn="0" w:firstRowLastColumn="0" w:lastRowFirstColumn="0" w:lastRowLastColumn="0"/>
            </w:pPr>
            <w:r>
              <w:t>E</w:t>
            </w:r>
            <w:r w:rsidR="000D6B0F" w:rsidRPr="000D6B0F">
              <w:t xml:space="preserve">nd </w:t>
            </w:r>
            <w:r>
              <w:t>L</w:t>
            </w:r>
            <w:r w:rsidR="000D6B0F" w:rsidRPr="000D6B0F">
              <w:t>at</w:t>
            </w:r>
          </w:p>
        </w:tc>
        <w:tc>
          <w:tcPr>
            <w:tcW w:w="1960" w:type="dxa"/>
            <w:noWrap/>
            <w:hideMark/>
          </w:tcPr>
          <w:p w14:paraId="234801CF" w14:textId="3AFDCBA6" w:rsidR="000D6B0F" w:rsidRPr="000D6B0F" w:rsidRDefault="00BC732A" w:rsidP="00E2411D">
            <w:pPr>
              <w:jc w:val="left"/>
              <w:cnfStyle w:val="100000000000" w:firstRow="1" w:lastRow="0" w:firstColumn="0" w:lastColumn="0" w:oddVBand="0" w:evenVBand="0" w:oddHBand="0" w:evenHBand="0" w:firstRowFirstColumn="0" w:firstRowLastColumn="0" w:lastRowFirstColumn="0" w:lastRowLastColumn="0"/>
            </w:pPr>
            <w:r>
              <w:t>E</w:t>
            </w:r>
            <w:r w:rsidR="000D6B0F" w:rsidRPr="000D6B0F">
              <w:t xml:space="preserve">nd </w:t>
            </w:r>
            <w:r>
              <w:t>L</w:t>
            </w:r>
            <w:r w:rsidR="000D6B0F" w:rsidRPr="000D6B0F">
              <w:t>ong</w:t>
            </w:r>
          </w:p>
        </w:tc>
      </w:tr>
      <w:tr w:rsidR="000D6B0F" w:rsidRPr="000D6B0F" w14:paraId="40491A70" w14:textId="77777777" w:rsidTr="00E2411D">
        <w:trPr>
          <w:trHeight w:val="300"/>
        </w:trPr>
        <w:tc>
          <w:tcPr>
            <w:cnfStyle w:val="001000000000" w:firstRow="0" w:lastRow="0" w:firstColumn="1" w:lastColumn="0" w:oddVBand="0" w:evenVBand="0" w:oddHBand="0" w:evenHBand="0" w:firstRowFirstColumn="0" w:firstRowLastColumn="0" w:lastRowFirstColumn="0" w:lastRowLastColumn="0"/>
            <w:tcW w:w="2920" w:type="dxa"/>
            <w:noWrap/>
            <w:hideMark/>
          </w:tcPr>
          <w:p w14:paraId="1541E121" w14:textId="648DAE8F" w:rsidR="000D6B0F" w:rsidRPr="000D6B0F" w:rsidRDefault="000D6B0F">
            <w:proofErr w:type="spellStart"/>
            <w:r w:rsidRPr="000D6B0F">
              <w:t>Castlehead</w:t>
            </w:r>
            <w:proofErr w:type="spellEnd"/>
            <w:r w:rsidRPr="000D6B0F">
              <w:t xml:space="preserve"> Rocks</w:t>
            </w:r>
            <w:r w:rsidR="00E2411D">
              <w:t>, Lindisfarne</w:t>
            </w:r>
            <w:r w:rsidRPr="000D6B0F">
              <w:t xml:space="preserve"> </w:t>
            </w:r>
          </w:p>
        </w:tc>
        <w:tc>
          <w:tcPr>
            <w:tcW w:w="1960" w:type="dxa"/>
            <w:noWrap/>
            <w:hideMark/>
          </w:tcPr>
          <w:p w14:paraId="1B667F04"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55.688794</w:t>
            </w:r>
          </w:p>
        </w:tc>
        <w:tc>
          <w:tcPr>
            <w:tcW w:w="1960" w:type="dxa"/>
            <w:noWrap/>
            <w:hideMark/>
          </w:tcPr>
          <w:p w14:paraId="46236FA1"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-1.7924021</w:t>
            </w:r>
          </w:p>
        </w:tc>
        <w:tc>
          <w:tcPr>
            <w:tcW w:w="1960" w:type="dxa"/>
            <w:noWrap/>
            <w:hideMark/>
          </w:tcPr>
          <w:p w14:paraId="587E4FA6"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55.688404</w:t>
            </w:r>
          </w:p>
        </w:tc>
        <w:tc>
          <w:tcPr>
            <w:tcW w:w="1960" w:type="dxa"/>
            <w:noWrap/>
            <w:hideMark/>
          </w:tcPr>
          <w:p w14:paraId="00C27D2F"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-1.7904796</w:t>
            </w:r>
          </w:p>
        </w:tc>
      </w:tr>
      <w:tr w:rsidR="000D6B0F" w:rsidRPr="000D6B0F" w14:paraId="1E4CD172" w14:textId="77777777" w:rsidTr="00E2411D">
        <w:trPr>
          <w:trHeight w:val="300"/>
        </w:trPr>
        <w:tc>
          <w:tcPr>
            <w:cnfStyle w:val="001000000000" w:firstRow="0" w:lastRow="0" w:firstColumn="1" w:lastColumn="0" w:oddVBand="0" w:evenVBand="0" w:oddHBand="0" w:evenHBand="0" w:firstRowFirstColumn="0" w:firstRowLastColumn="0" w:lastRowFirstColumn="0" w:lastRowLastColumn="0"/>
            <w:tcW w:w="2920" w:type="dxa"/>
            <w:noWrap/>
            <w:hideMark/>
          </w:tcPr>
          <w:p w14:paraId="4F881487" w14:textId="72EEF168" w:rsidR="000D6B0F" w:rsidRPr="000D6B0F" w:rsidRDefault="000D6B0F">
            <w:r w:rsidRPr="000D6B0F">
              <w:t>Newton Point</w:t>
            </w:r>
            <w:r w:rsidR="00E2411D">
              <w:t>, Low Newton by the Sea</w:t>
            </w:r>
          </w:p>
        </w:tc>
        <w:tc>
          <w:tcPr>
            <w:tcW w:w="1960" w:type="dxa"/>
            <w:noWrap/>
            <w:hideMark/>
          </w:tcPr>
          <w:p w14:paraId="32885C2E"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55.522435</w:t>
            </w:r>
          </w:p>
        </w:tc>
        <w:tc>
          <w:tcPr>
            <w:tcW w:w="1960" w:type="dxa"/>
            <w:noWrap/>
            <w:hideMark/>
          </w:tcPr>
          <w:p w14:paraId="34452216"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-1.6094215</w:t>
            </w:r>
          </w:p>
        </w:tc>
        <w:tc>
          <w:tcPr>
            <w:tcW w:w="1960" w:type="dxa"/>
            <w:noWrap/>
            <w:hideMark/>
          </w:tcPr>
          <w:p w14:paraId="5B396382"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55.52193</w:t>
            </w:r>
          </w:p>
        </w:tc>
        <w:tc>
          <w:tcPr>
            <w:tcW w:w="1960" w:type="dxa"/>
            <w:noWrap/>
            <w:hideMark/>
          </w:tcPr>
          <w:p w14:paraId="43AB50F0"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-1.6090622</w:t>
            </w:r>
          </w:p>
        </w:tc>
      </w:tr>
      <w:tr w:rsidR="000D6B0F" w:rsidRPr="000D6B0F" w14:paraId="13F191CE" w14:textId="77777777" w:rsidTr="00E2411D">
        <w:trPr>
          <w:trHeight w:val="300"/>
        </w:trPr>
        <w:tc>
          <w:tcPr>
            <w:cnfStyle w:val="001000000000" w:firstRow="0" w:lastRow="0" w:firstColumn="1" w:lastColumn="0" w:oddVBand="0" w:evenVBand="0" w:oddHBand="0" w:evenHBand="0" w:firstRowFirstColumn="0" w:firstRowLastColumn="0" w:lastRowFirstColumn="0" w:lastRowLastColumn="0"/>
            <w:tcW w:w="2920" w:type="dxa"/>
            <w:noWrap/>
            <w:hideMark/>
          </w:tcPr>
          <w:p w14:paraId="040BB61E" w14:textId="419C1C28" w:rsidR="000D6B0F" w:rsidRPr="000D6B0F" w:rsidRDefault="00E2411D">
            <w:r>
              <w:t xml:space="preserve">Pan Rocks, </w:t>
            </w:r>
            <w:r w:rsidR="000D6B0F" w:rsidRPr="000D6B0F">
              <w:t xml:space="preserve">Amble </w:t>
            </w:r>
          </w:p>
        </w:tc>
        <w:tc>
          <w:tcPr>
            <w:tcW w:w="1960" w:type="dxa"/>
            <w:noWrap/>
            <w:hideMark/>
          </w:tcPr>
          <w:p w14:paraId="50565D1C"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55.337</w:t>
            </w:r>
          </w:p>
        </w:tc>
        <w:tc>
          <w:tcPr>
            <w:tcW w:w="1960" w:type="dxa"/>
            <w:noWrap/>
            <w:hideMark/>
          </w:tcPr>
          <w:p w14:paraId="1C3EEE90"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-1.57037</w:t>
            </w:r>
          </w:p>
        </w:tc>
        <w:tc>
          <w:tcPr>
            <w:tcW w:w="1960" w:type="dxa"/>
            <w:noWrap/>
            <w:hideMark/>
          </w:tcPr>
          <w:p w14:paraId="3552D9AA"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55.33821</w:t>
            </w:r>
          </w:p>
        </w:tc>
        <w:tc>
          <w:tcPr>
            <w:tcW w:w="1960" w:type="dxa"/>
            <w:noWrap/>
            <w:hideMark/>
          </w:tcPr>
          <w:p w14:paraId="46750FF2"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-1.56915</w:t>
            </w:r>
          </w:p>
        </w:tc>
      </w:tr>
      <w:tr w:rsidR="000D6B0F" w:rsidRPr="000D6B0F" w14:paraId="1F715D21" w14:textId="77777777" w:rsidTr="00E2411D">
        <w:trPr>
          <w:trHeight w:val="300"/>
        </w:trPr>
        <w:tc>
          <w:tcPr>
            <w:cnfStyle w:val="001000000000" w:firstRow="0" w:lastRow="0" w:firstColumn="1" w:lastColumn="0" w:oddVBand="0" w:evenVBand="0" w:oddHBand="0" w:evenHBand="0" w:firstRowFirstColumn="0" w:firstRowLastColumn="0" w:lastRowFirstColumn="0" w:lastRowLastColumn="0"/>
            <w:tcW w:w="2920" w:type="dxa"/>
            <w:noWrap/>
            <w:hideMark/>
          </w:tcPr>
          <w:p w14:paraId="35734BFA" w14:textId="2BD462A1" w:rsidR="000D6B0F" w:rsidRPr="000D6B0F" w:rsidRDefault="000D6B0F">
            <w:r w:rsidRPr="000D6B0F">
              <w:t>Hartlepool Head North</w:t>
            </w:r>
            <w:r w:rsidR="00E2411D">
              <w:t>, Hartlepool</w:t>
            </w:r>
            <w:r w:rsidRPr="000D6B0F">
              <w:t xml:space="preserve"> </w:t>
            </w:r>
          </w:p>
        </w:tc>
        <w:tc>
          <w:tcPr>
            <w:tcW w:w="1960" w:type="dxa"/>
            <w:noWrap/>
            <w:hideMark/>
          </w:tcPr>
          <w:p w14:paraId="23367BE1"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54.7004</w:t>
            </w:r>
          </w:p>
        </w:tc>
        <w:tc>
          <w:tcPr>
            <w:tcW w:w="1960" w:type="dxa"/>
            <w:noWrap/>
            <w:hideMark/>
          </w:tcPr>
          <w:p w14:paraId="7C3B3A34"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-1.1814</w:t>
            </w:r>
          </w:p>
        </w:tc>
        <w:tc>
          <w:tcPr>
            <w:tcW w:w="1960" w:type="dxa"/>
            <w:noWrap/>
            <w:hideMark/>
          </w:tcPr>
          <w:p w14:paraId="0734EA6F"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54.7019</w:t>
            </w:r>
          </w:p>
        </w:tc>
        <w:tc>
          <w:tcPr>
            <w:tcW w:w="1960" w:type="dxa"/>
            <w:noWrap/>
            <w:hideMark/>
          </w:tcPr>
          <w:p w14:paraId="14125C73"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-1.1797</w:t>
            </w:r>
          </w:p>
        </w:tc>
      </w:tr>
      <w:tr w:rsidR="000D6B0F" w:rsidRPr="000D6B0F" w14:paraId="11D58575" w14:textId="77777777" w:rsidTr="00E2411D">
        <w:trPr>
          <w:trHeight w:val="300"/>
        </w:trPr>
        <w:tc>
          <w:tcPr>
            <w:cnfStyle w:val="001000000000" w:firstRow="0" w:lastRow="0" w:firstColumn="1" w:lastColumn="0" w:oddVBand="0" w:evenVBand="0" w:oddHBand="0" w:evenHBand="0" w:firstRowFirstColumn="0" w:firstRowLastColumn="0" w:lastRowFirstColumn="0" w:lastRowLastColumn="0"/>
            <w:tcW w:w="2920" w:type="dxa"/>
            <w:noWrap/>
            <w:hideMark/>
          </w:tcPr>
          <w:p w14:paraId="5B0E7B0D" w14:textId="5815F285" w:rsidR="000D6B0F" w:rsidRPr="000D6B0F" w:rsidRDefault="000D6B0F">
            <w:proofErr w:type="spellStart"/>
            <w:r w:rsidRPr="000D6B0F">
              <w:t>Coatham</w:t>
            </w:r>
            <w:proofErr w:type="spellEnd"/>
            <w:r w:rsidRPr="000D6B0F">
              <w:t xml:space="preserve"> Rocks A</w:t>
            </w:r>
            <w:r w:rsidR="00E2411D">
              <w:t xml:space="preserve">, </w:t>
            </w:r>
            <w:r w:rsidR="0016245F">
              <w:t>Redcar</w:t>
            </w:r>
            <w:r w:rsidRPr="000D6B0F">
              <w:t xml:space="preserve"> </w:t>
            </w:r>
          </w:p>
        </w:tc>
        <w:tc>
          <w:tcPr>
            <w:tcW w:w="1960" w:type="dxa"/>
            <w:noWrap/>
            <w:hideMark/>
          </w:tcPr>
          <w:p w14:paraId="5593872D"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54.6221</w:t>
            </w:r>
          </w:p>
        </w:tc>
        <w:tc>
          <w:tcPr>
            <w:tcW w:w="1960" w:type="dxa"/>
            <w:noWrap/>
            <w:hideMark/>
          </w:tcPr>
          <w:p w14:paraId="17B5A0F1"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-1.0692</w:t>
            </w:r>
          </w:p>
        </w:tc>
        <w:tc>
          <w:tcPr>
            <w:tcW w:w="1960" w:type="dxa"/>
            <w:noWrap/>
            <w:hideMark/>
          </w:tcPr>
          <w:p w14:paraId="2DEBFDFE"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54.6239</w:t>
            </w:r>
          </w:p>
        </w:tc>
        <w:tc>
          <w:tcPr>
            <w:tcW w:w="1960" w:type="dxa"/>
            <w:noWrap/>
            <w:hideMark/>
          </w:tcPr>
          <w:p w14:paraId="517BB4D7" w14:textId="77777777" w:rsidR="000D6B0F" w:rsidRPr="000D6B0F" w:rsidRDefault="000D6B0F" w:rsidP="000D6B0F">
            <w:pPr>
              <w:jc w:val="left"/>
              <w:cnfStyle w:val="000000000000" w:firstRow="0" w:lastRow="0" w:firstColumn="0" w:lastColumn="0" w:oddVBand="0" w:evenVBand="0" w:oddHBand="0" w:evenHBand="0" w:firstRowFirstColumn="0" w:firstRowLastColumn="0" w:lastRowFirstColumn="0" w:lastRowLastColumn="0"/>
            </w:pPr>
            <w:r w:rsidRPr="000D6B0F">
              <w:t>-1.0684</w:t>
            </w:r>
          </w:p>
        </w:tc>
      </w:tr>
    </w:tbl>
    <w:p w14:paraId="581AB61A" w14:textId="62FF7301" w:rsidR="002E5333" w:rsidRPr="00BF6448" w:rsidRDefault="006631CE" w:rsidP="00D61EFE">
      <w:r w:rsidRPr="00BF6448">
        <w:t>To address</w:t>
      </w:r>
      <w:r w:rsidR="003D0057">
        <w:t xml:space="preserve"> each of</w:t>
      </w:r>
      <w:r w:rsidRPr="00BF6448">
        <w:t xml:space="preserve"> the aims</w:t>
      </w:r>
      <w:r w:rsidR="00BF6448" w:rsidRPr="00BF6448">
        <w:t xml:space="preserve"> of the study</w:t>
      </w:r>
      <w:r w:rsidR="003D0057">
        <w:t xml:space="preserve"> the below </w:t>
      </w:r>
      <w:r w:rsidR="00006F06">
        <w:t>specifications</w:t>
      </w:r>
      <w:r w:rsidR="00822905">
        <w:t xml:space="preserve"> are required (numbers refer to numbered aims)</w:t>
      </w:r>
      <w:r w:rsidR="00BF6448" w:rsidRPr="00BF6448">
        <w:t>:</w:t>
      </w:r>
      <w:r w:rsidR="00DF3968" w:rsidRPr="00BF6448">
        <w:t xml:space="preserve"> </w:t>
      </w:r>
    </w:p>
    <w:p w14:paraId="18FC1200" w14:textId="2160CDDC" w:rsidR="00C94ADF" w:rsidRPr="00BF6448" w:rsidRDefault="00FB6CE2" w:rsidP="003D0D90">
      <w:pPr>
        <w:pStyle w:val="ListParagraph"/>
        <w:numPr>
          <w:ilvl w:val="0"/>
          <w:numId w:val="10"/>
        </w:numPr>
      </w:pPr>
      <w:r>
        <w:t>Semi-q</w:t>
      </w:r>
      <w:r w:rsidR="00DF3968" w:rsidRPr="00BF6448">
        <w:t xml:space="preserve">uantitative assessment of </w:t>
      </w:r>
      <w:r w:rsidR="0096393A">
        <w:t xml:space="preserve">named </w:t>
      </w:r>
      <w:r w:rsidR="00DF3968" w:rsidRPr="00BF6448">
        <w:t>prey abundance</w:t>
      </w:r>
      <w:r w:rsidR="0096393A">
        <w:t xml:space="preserve"> (Table </w:t>
      </w:r>
      <w:r w:rsidR="00E0560F">
        <w:t>2</w:t>
      </w:r>
      <w:r w:rsidR="0096393A">
        <w:t>)</w:t>
      </w:r>
      <w:r w:rsidR="00DF3968" w:rsidRPr="00BF6448">
        <w:t xml:space="preserve"> at each of the </w:t>
      </w:r>
      <w:r w:rsidR="00357B7C" w:rsidRPr="00BF6448">
        <w:t>sites.</w:t>
      </w:r>
    </w:p>
    <w:p w14:paraId="51E64395" w14:textId="740B0F63" w:rsidR="00C758E5" w:rsidRDefault="000C6664" w:rsidP="003D0D90">
      <w:pPr>
        <w:pStyle w:val="ListParagraph"/>
        <w:numPr>
          <w:ilvl w:val="1"/>
          <w:numId w:val="10"/>
        </w:numPr>
      </w:pPr>
      <w:r>
        <w:t xml:space="preserve">On arriving at the </w:t>
      </w:r>
      <w:r w:rsidR="00111717">
        <w:t>location, a</w:t>
      </w:r>
      <w:r w:rsidR="00C758E5">
        <w:t xml:space="preserve"> r</w:t>
      </w:r>
      <w:r w:rsidR="00C758E5" w:rsidRPr="00C758E5">
        <w:t xml:space="preserve">apid phase </w:t>
      </w:r>
      <w:r>
        <w:t>I</w:t>
      </w:r>
      <w:r w:rsidR="00C758E5" w:rsidRPr="00C758E5">
        <w:t xml:space="preserve"> assessment of biotopes</w:t>
      </w:r>
      <w:r w:rsidR="00C758E5">
        <w:t xml:space="preserve"> to gain a</w:t>
      </w:r>
      <w:r w:rsidR="00C758E5" w:rsidRPr="00C758E5">
        <w:t xml:space="preserve"> broad understanding of </w:t>
      </w:r>
      <w:r w:rsidR="00C758E5">
        <w:t xml:space="preserve">the biotopes </w:t>
      </w:r>
      <w:r>
        <w:t>at the site</w:t>
      </w:r>
      <w:r w:rsidR="00111717">
        <w:t>.</w:t>
      </w:r>
    </w:p>
    <w:p w14:paraId="0AFE27AB" w14:textId="3A17827A" w:rsidR="00111717" w:rsidRDefault="00111717" w:rsidP="003D0D90">
      <w:pPr>
        <w:pStyle w:val="ListParagraph"/>
        <w:numPr>
          <w:ilvl w:val="1"/>
          <w:numId w:val="10"/>
        </w:numPr>
      </w:pPr>
      <w:r>
        <w:t>S</w:t>
      </w:r>
      <w:r w:rsidRPr="001C5585">
        <w:t xml:space="preserve">urvey effort </w:t>
      </w:r>
      <w:r>
        <w:t>will</w:t>
      </w:r>
      <w:r w:rsidRPr="001C5585">
        <w:t xml:space="preserve"> focus on mid</w:t>
      </w:r>
      <w:r>
        <w:t>-low</w:t>
      </w:r>
      <w:r w:rsidRPr="001C5585">
        <w:t xml:space="preserve"> to low shore</w:t>
      </w:r>
      <w:r>
        <w:t xml:space="preserve"> section of the transect lines provided. This is where extensive algal and kelp beds are present and is the eider preferred intertidal foraging habitat (</w:t>
      </w:r>
      <w:r w:rsidRPr="00627172">
        <w:t>Goudie</w:t>
      </w:r>
      <w:r>
        <w:t xml:space="preserve"> et al. 2020). The phase I assessment should continue while walking down the transect to determine where the </w:t>
      </w:r>
      <w:r w:rsidR="005E3540">
        <w:t>surveying should begin for this survey. Once the mid-low shore is reached</w:t>
      </w:r>
      <w:r w:rsidR="00C123FE">
        <w:t>, a</w:t>
      </w:r>
      <w:r>
        <w:t xml:space="preserve"> GPS location</w:t>
      </w:r>
      <w:r w:rsidR="00C123FE">
        <w:t xml:space="preserve"> should be taken, and the quadrat survey should begin</w:t>
      </w:r>
      <w:r>
        <w:t>.</w:t>
      </w:r>
    </w:p>
    <w:p w14:paraId="2ECA713C" w14:textId="611DDE4E" w:rsidR="00C94ADF" w:rsidRDefault="00C94ADF" w:rsidP="003D0D90">
      <w:pPr>
        <w:pStyle w:val="ListParagraph"/>
        <w:numPr>
          <w:ilvl w:val="1"/>
          <w:numId w:val="10"/>
        </w:numPr>
      </w:pPr>
      <w:r w:rsidRPr="00BF6448">
        <w:t>Sampling will be carried out randomly (in a haphazard manner) in a 3m wide belt of each transect(s). A total of forty random/haphazard quadrats will be sampled per transect area so that samples are less likely to be spatially correlated (reducing the likelihood of pseudo-replication).</w:t>
      </w:r>
    </w:p>
    <w:p w14:paraId="4D274EDA" w14:textId="2766DBF2" w:rsidR="00C94ADF" w:rsidRDefault="00C94ADF" w:rsidP="003D0D90">
      <w:pPr>
        <w:pStyle w:val="ListParagraph"/>
        <w:numPr>
          <w:ilvl w:val="1"/>
          <w:numId w:val="10"/>
        </w:numPr>
      </w:pPr>
      <w:r w:rsidRPr="00BF6448">
        <w:t>The size of quadrat used will be 50 x 50 cm which enables the effective sampling of larger organisms.</w:t>
      </w:r>
    </w:p>
    <w:p w14:paraId="288A816E" w14:textId="5393FE0B" w:rsidR="007D13C2" w:rsidRDefault="002F5612" w:rsidP="003D0D90">
      <w:pPr>
        <w:pStyle w:val="ListParagraph"/>
        <w:numPr>
          <w:ilvl w:val="1"/>
          <w:numId w:val="10"/>
        </w:numPr>
      </w:pPr>
      <w:r>
        <w:t xml:space="preserve">The </w:t>
      </w:r>
      <w:r w:rsidR="009C7899">
        <w:t>count abundance</w:t>
      </w:r>
      <w:r w:rsidR="00A71126">
        <w:t xml:space="preserve"> within the quadrat</w:t>
      </w:r>
      <w:r w:rsidR="009C7899">
        <w:t xml:space="preserve"> of the species outlined in </w:t>
      </w:r>
      <w:r w:rsidR="002036FA">
        <w:t>T</w:t>
      </w:r>
      <w:r w:rsidR="009C7899">
        <w:t xml:space="preserve">able </w:t>
      </w:r>
      <w:r w:rsidR="00075DE6">
        <w:t>2</w:t>
      </w:r>
      <w:r w:rsidR="00683CE7">
        <w:t xml:space="preserve"> will be recorded.</w:t>
      </w:r>
    </w:p>
    <w:p w14:paraId="088FB5C1" w14:textId="2196A17A" w:rsidR="00A71126" w:rsidRDefault="00E37293" w:rsidP="003D0D90">
      <w:pPr>
        <w:pStyle w:val="ListParagraph"/>
        <w:numPr>
          <w:ilvl w:val="1"/>
          <w:numId w:val="10"/>
        </w:numPr>
      </w:pPr>
      <w:r>
        <w:t>Other data to be recorded at each quadrat should be t</w:t>
      </w:r>
      <w:r w:rsidR="00A71126">
        <w:t>he</w:t>
      </w:r>
      <w:r w:rsidR="0062651A">
        <w:t xml:space="preserve"> GPS </w:t>
      </w:r>
      <w:r w:rsidR="00A71126">
        <w:t>coordinates of each quadrat to best available accuracy</w:t>
      </w:r>
      <w:r>
        <w:t xml:space="preserve">, </w:t>
      </w:r>
      <w:r w:rsidR="00691D28">
        <w:t>notes on the biotope</w:t>
      </w:r>
      <w:r w:rsidR="00C123FE">
        <w:t xml:space="preserve"> from the rapid phase I assessment</w:t>
      </w:r>
      <w:r w:rsidR="00946F28">
        <w:t>, distance along transect and distance from transect</w:t>
      </w:r>
    </w:p>
    <w:p w14:paraId="22C26291" w14:textId="77D4CD95" w:rsidR="00446FC6" w:rsidRPr="00BF6448" w:rsidRDefault="00C94ADF" w:rsidP="003D0D90">
      <w:pPr>
        <w:pStyle w:val="ListParagraph"/>
        <w:numPr>
          <w:ilvl w:val="0"/>
          <w:numId w:val="10"/>
        </w:numPr>
      </w:pPr>
      <w:r w:rsidRPr="00BF6448">
        <w:t>N</w:t>
      </w:r>
      <w:r w:rsidR="00DF3968" w:rsidRPr="00BF6448">
        <w:t xml:space="preserve">umerical density of size classes of </w:t>
      </w:r>
      <w:r w:rsidRPr="00BF6448">
        <w:t>dominant</w:t>
      </w:r>
      <w:r w:rsidR="00DF3968" w:rsidRPr="00BF6448">
        <w:t xml:space="preserve"> prey species </w:t>
      </w:r>
      <w:r w:rsidR="00357B7C" w:rsidRPr="00BF6448">
        <w:t>utilised</w:t>
      </w:r>
      <w:r w:rsidR="00DF3968" w:rsidRPr="00BF6448">
        <w:t xml:space="preserve"> by </w:t>
      </w:r>
      <w:r w:rsidR="00357B7C" w:rsidRPr="00BF6448">
        <w:t>eider</w:t>
      </w:r>
      <w:r w:rsidRPr="00BF6448">
        <w:t>.</w:t>
      </w:r>
      <w:r w:rsidR="000B50DD" w:rsidRPr="00BF6448">
        <w:t xml:space="preserve"> </w:t>
      </w:r>
    </w:p>
    <w:p w14:paraId="526DB256" w14:textId="38A85126" w:rsidR="00C94ADF" w:rsidRDefault="00C94ADF" w:rsidP="003D0D90">
      <w:pPr>
        <w:pStyle w:val="ListParagraph"/>
        <w:numPr>
          <w:ilvl w:val="1"/>
          <w:numId w:val="10"/>
        </w:numPr>
      </w:pPr>
      <w:r w:rsidRPr="00BF6448">
        <w:lastRenderedPageBreak/>
        <w:t xml:space="preserve">The size distribution of </w:t>
      </w:r>
      <w:r w:rsidR="00980672">
        <w:t xml:space="preserve">the three most </w:t>
      </w:r>
      <w:r w:rsidRPr="00BF6448">
        <w:t xml:space="preserve">important prey species </w:t>
      </w:r>
      <w:r w:rsidRPr="00D8680B">
        <w:rPr>
          <w:i/>
          <w:iCs/>
        </w:rPr>
        <w:t>Mytilus edulis</w:t>
      </w:r>
      <w:r w:rsidRPr="00BF6448">
        <w:t xml:space="preserve">, </w:t>
      </w:r>
      <w:r w:rsidRPr="00D8680B">
        <w:rPr>
          <w:i/>
          <w:iCs/>
        </w:rPr>
        <w:t xml:space="preserve">Littorina </w:t>
      </w:r>
      <w:r w:rsidR="00112C39">
        <w:rPr>
          <w:i/>
          <w:iCs/>
        </w:rPr>
        <w:t>spp.</w:t>
      </w:r>
      <w:r w:rsidR="00112C39">
        <w:t xml:space="preserve">, </w:t>
      </w:r>
      <w:proofErr w:type="spellStart"/>
      <w:r w:rsidR="00683CE7" w:rsidRPr="00D8680B">
        <w:rPr>
          <w:i/>
          <w:iCs/>
        </w:rPr>
        <w:t>Carcinus</w:t>
      </w:r>
      <w:proofErr w:type="spellEnd"/>
      <w:r w:rsidR="00683CE7" w:rsidRPr="00D8680B">
        <w:rPr>
          <w:i/>
          <w:iCs/>
        </w:rPr>
        <w:t xml:space="preserve"> </w:t>
      </w:r>
      <w:proofErr w:type="spellStart"/>
      <w:r w:rsidR="00683CE7" w:rsidRPr="00D8680B">
        <w:rPr>
          <w:i/>
          <w:iCs/>
        </w:rPr>
        <w:t>maenas</w:t>
      </w:r>
      <w:proofErr w:type="spellEnd"/>
      <w:r w:rsidR="00112C39">
        <w:rPr>
          <w:i/>
          <w:iCs/>
        </w:rPr>
        <w:t>,</w:t>
      </w:r>
      <w:r w:rsidR="00112C39" w:rsidRPr="00112C39">
        <w:rPr>
          <w:rFonts w:ascii="Calibri" w:hAnsi="Calibri" w:cs="Calibri"/>
          <w:i/>
          <w:iCs/>
          <w:sz w:val="22"/>
        </w:rPr>
        <w:t xml:space="preserve"> </w:t>
      </w:r>
      <w:r w:rsidR="00112C39" w:rsidRPr="00112C39">
        <w:rPr>
          <w:i/>
          <w:iCs/>
        </w:rPr>
        <w:t>Buccinum spp</w:t>
      </w:r>
      <w:r w:rsidR="00112C39" w:rsidRPr="00991AB7">
        <w:rPr>
          <w:i/>
          <w:iCs/>
        </w:rPr>
        <w:t xml:space="preserve">. </w:t>
      </w:r>
      <w:r w:rsidR="00112C39" w:rsidRPr="00991AB7">
        <w:t>and</w:t>
      </w:r>
      <w:r w:rsidR="00112C39" w:rsidRPr="00991AB7">
        <w:rPr>
          <w:i/>
          <w:iCs/>
        </w:rPr>
        <w:t xml:space="preserve"> </w:t>
      </w:r>
      <w:proofErr w:type="spellStart"/>
      <w:r w:rsidR="00112C39" w:rsidRPr="00991AB7">
        <w:rPr>
          <w:i/>
          <w:iCs/>
        </w:rPr>
        <w:t>Nucella</w:t>
      </w:r>
      <w:proofErr w:type="spellEnd"/>
      <w:r w:rsidR="00112C39" w:rsidRPr="00991AB7">
        <w:rPr>
          <w:i/>
          <w:iCs/>
        </w:rPr>
        <w:t xml:space="preserve"> spp</w:t>
      </w:r>
      <w:r w:rsidR="00112C39" w:rsidRPr="00984272">
        <w:rPr>
          <w:rFonts w:ascii="Calibri" w:hAnsi="Calibri" w:cs="Calibri"/>
          <w:i/>
          <w:iCs/>
          <w:sz w:val="22"/>
        </w:rPr>
        <w:t>.</w:t>
      </w:r>
      <w:r w:rsidR="00112C39">
        <w:rPr>
          <w:i/>
          <w:iCs/>
        </w:rPr>
        <w:t xml:space="preserve"> </w:t>
      </w:r>
      <w:r w:rsidRPr="00BF6448">
        <w:t xml:space="preserve">will be determined on the shore. Where </w:t>
      </w:r>
      <w:r w:rsidR="00770E26">
        <w:t xml:space="preserve">abundance </w:t>
      </w:r>
      <w:r w:rsidRPr="00BF6448">
        <w:t>per quadrat</w:t>
      </w:r>
      <w:r w:rsidR="00770E26">
        <w:t xml:space="preserve"> is so large it will </w:t>
      </w:r>
      <w:r w:rsidRPr="00BF6448">
        <w:t xml:space="preserve">not practical or possible in the tidal time constraints, a subset of 100 individuals ranging from smallest to largest in size on the shore </w:t>
      </w:r>
      <w:r w:rsidR="00770E26">
        <w:t>should be</w:t>
      </w:r>
      <w:r w:rsidRPr="00BF6448">
        <w:t xml:space="preserve"> measured.</w:t>
      </w:r>
    </w:p>
    <w:p w14:paraId="14F80885" w14:textId="77777777" w:rsidR="002F708C" w:rsidRDefault="00BA048B" w:rsidP="002F708C">
      <w:pPr>
        <w:pStyle w:val="ListParagraph"/>
        <w:numPr>
          <w:ilvl w:val="1"/>
          <w:numId w:val="10"/>
        </w:numPr>
      </w:pPr>
      <w:r>
        <w:t xml:space="preserve">Size measurements taken will be </w:t>
      </w:r>
      <w:r w:rsidR="00451DBE">
        <w:t xml:space="preserve">length, breadth and height of </w:t>
      </w:r>
      <w:r w:rsidR="00011DCF">
        <w:t>M</w:t>
      </w:r>
      <w:r w:rsidR="00011DCF" w:rsidRPr="00011DCF">
        <w:rPr>
          <w:i/>
          <w:iCs/>
        </w:rPr>
        <w:t>ytilus edulis</w:t>
      </w:r>
      <w:r w:rsidR="00451DBE">
        <w:t xml:space="preserve">, length and breadth for </w:t>
      </w:r>
      <w:r w:rsidR="00451DBE" w:rsidRPr="008929E6">
        <w:rPr>
          <w:i/>
          <w:iCs/>
        </w:rPr>
        <w:t>Littorina spp</w:t>
      </w:r>
      <w:r w:rsidR="00451DBE">
        <w:t>.</w:t>
      </w:r>
      <w:r w:rsidR="00991AB7">
        <w:t xml:space="preserve"> </w:t>
      </w:r>
      <w:r w:rsidR="00991AB7" w:rsidRPr="00112C39">
        <w:rPr>
          <w:i/>
          <w:iCs/>
        </w:rPr>
        <w:t>Buccinum spp</w:t>
      </w:r>
      <w:r w:rsidR="00991AB7" w:rsidRPr="00991AB7">
        <w:rPr>
          <w:i/>
          <w:iCs/>
        </w:rPr>
        <w:t xml:space="preserve">. </w:t>
      </w:r>
      <w:r w:rsidR="00991AB7" w:rsidRPr="00991AB7">
        <w:t>and</w:t>
      </w:r>
      <w:r w:rsidR="00991AB7" w:rsidRPr="00991AB7">
        <w:rPr>
          <w:i/>
          <w:iCs/>
        </w:rPr>
        <w:t xml:space="preserve"> </w:t>
      </w:r>
      <w:proofErr w:type="spellStart"/>
      <w:r w:rsidR="00991AB7" w:rsidRPr="00991AB7">
        <w:rPr>
          <w:i/>
          <w:iCs/>
        </w:rPr>
        <w:t>Nucella</w:t>
      </w:r>
      <w:proofErr w:type="spellEnd"/>
      <w:r w:rsidR="00991AB7" w:rsidRPr="00991AB7">
        <w:rPr>
          <w:i/>
          <w:iCs/>
        </w:rPr>
        <w:t xml:space="preserve"> spp</w:t>
      </w:r>
      <w:r w:rsidR="00991AB7" w:rsidRPr="00984272">
        <w:rPr>
          <w:rFonts w:ascii="Calibri" w:hAnsi="Calibri" w:cs="Calibri"/>
          <w:i/>
          <w:iCs/>
          <w:sz w:val="22"/>
        </w:rPr>
        <w:t>.</w:t>
      </w:r>
      <w:r w:rsidR="00451DBE">
        <w:t xml:space="preserve"> and </w:t>
      </w:r>
      <w:r w:rsidR="00724956">
        <w:t xml:space="preserve">carapace width for </w:t>
      </w:r>
      <w:proofErr w:type="spellStart"/>
      <w:r w:rsidR="00724956" w:rsidRPr="008929E6">
        <w:rPr>
          <w:i/>
          <w:iCs/>
        </w:rPr>
        <w:t>Carcinus</w:t>
      </w:r>
      <w:proofErr w:type="spellEnd"/>
      <w:r w:rsidR="00724956" w:rsidRPr="008929E6">
        <w:rPr>
          <w:i/>
          <w:iCs/>
        </w:rPr>
        <w:t xml:space="preserve"> </w:t>
      </w:r>
      <w:proofErr w:type="spellStart"/>
      <w:r w:rsidR="00724956" w:rsidRPr="008929E6">
        <w:rPr>
          <w:i/>
          <w:iCs/>
        </w:rPr>
        <w:t>maenas</w:t>
      </w:r>
      <w:proofErr w:type="spellEnd"/>
      <w:r w:rsidR="00724956">
        <w:t>.</w:t>
      </w:r>
    </w:p>
    <w:p w14:paraId="4D2FBC7F" w14:textId="7E19C45F" w:rsidR="00171884" w:rsidRPr="003E40AC" w:rsidRDefault="00FF0C24" w:rsidP="002F708C">
      <w:pPr>
        <w:pStyle w:val="ListParagraph"/>
        <w:numPr>
          <w:ilvl w:val="1"/>
          <w:numId w:val="10"/>
        </w:numPr>
      </w:pPr>
      <w:r w:rsidRPr="003E40AC">
        <w:t xml:space="preserve">A </w:t>
      </w:r>
      <w:r w:rsidR="00FD19E0" w:rsidRPr="003E40AC">
        <w:t xml:space="preserve">small </w:t>
      </w:r>
      <w:r w:rsidRPr="003E40AC">
        <w:t>subset of the</w:t>
      </w:r>
      <w:r w:rsidR="00FD19E0" w:rsidRPr="003E40AC">
        <w:t xml:space="preserve"> measured</w:t>
      </w:r>
      <w:r w:rsidRPr="003E40AC">
        <w:rPr>
          <w:i/>
          <w:iCs/>
        </w:rPr>
        <w:t xml:space="preserve"> </w:t>
      </w:r>
      <w:r w:rsidR="003E40AC" w:rsidRPr="003E40AC">
        <w:t>dominant prey species</w:t>
      </w:r>
      <w:r w:rsidR="009D6535" w:rsidRPr="003E40AC">
        <w:t xml:space="preserve"> </w:t>
      </w:r>
      <w:r w:rsidR="002F708C" w:rsidRPr="003E40AC">
        <w:t>will</w:t>
      </w:r>
      <w:r w:rsidR="009D6535" w:rsidRPr="003E40AC">
        <w:t xml:space="preserve"> be collected </w:t>
      </w:r>
      <w:r w:rsidR="00C9668C" w:rsidRPr="003E40AC">
        <w:t>from the</w:t>
      </w:r>
      <w:r w:rsidR="006A338C" w:rsidRPr="003E40AC">
        <w:t xml:space="preserve"> mid-shore and low-shore </w:t>
      </w:r>
      <w:r w:rsidR="0077699F" w:rsidRPr="003E40AC">
        <w:t>for subsequent shell mass and flesh-content analysis</w:t>
      </w:r>
      <w:r w:rsidR="00C9668C" w:rsidRPr="003E40AC">
        <w:t>.</w:t>
      </w:r>
      <w:r w:rsidR="006B6C68" w:rsidRPr="003E40AC">
        <w:t xml:space="preserve"> </w:t>
      </w:r>
      <w:r w:rsidR="002F708C" w:rsidRPr="003E40AC">
        <w:t xml:space="preserve">The exact number </w:t>
      </w:r>
      <w:r w:rsidR="003E40AC" w:rsidRPr="003E40AC">
        <w:t>and species t</w:t>
      </w:r>
      <w:r w:rsidR="002F708C" w:rsidRPr="003E40AC">
        <w:t xml:space="preserve">o be collected will be confirmed by Natural England Project Officers prior to the survey. </w:t>
      </w:r>
      <w:r w:rsidR="00164B7D" w:rsidRPr="003E40AC">
        <w:t xml:space="preserve">These </w:t>
      </w:r>
      <w:r w:rsidR="003E40AC" w:rsidRPr="003E40AC">
        <w:t>prey species</w:t>
      </w:r>
      <w:r w:rsidR="00164B7D" w:rsidRPr="003E40AC">
        <w:t xml:space="preserve"> should be collected in labelled bags with the quadrat </w:t>
      </w:r>
      <w:proofErr w:type="gramStart"/>
      <w:r w:rsidR="00164B7D" w:rsidRPr="003E40AC">
        <w:t>code</w:t>
      </w:r>
      <w:proofErr w:type="gramEnd"/>
      <w:r w:rsidR="00164B7D" w:rsidRPr="003E40AC">
        <w:t xml:space="preserve"> so it is possible to gain the precise location on the shore where they were collected.</w:t>
      </w:r>
    </w:p>
    <w:p w14:paraId="6C247B93" w14:textId="77777777" w:rsidR="00C94ADF" w:rsidRPr="00BF6448" w:rsidRDefault="002E5333" w:rsidP="003D0D90">
      <w:pPr>
        <w:pStyle w:val="ListParagraph"/>
        <w:numPr>
          <w:ilvl w:val="0"/>
          <w:numId w:val="10"/>
        </w:numPr>
      </w:pPr>
      <w:r w:rsidRPr="00BF6448">
        <w:t xml:space="preserve">The tidal availability of food patches on the transect </w:t>
      </w:r>
    </w:p>
    <w:p w14:paraId="1A59694A" w14:textId="2E62C189" w:rsidR="00235BE3" w:rsidRDefault="00BF6448" w:rsidP="001F435F">
      <w:pPr>
        <w:pStyle w:val="ListParagraph"/>
        <w:numPr>
          <w:ilvl w:val="1"/>
          <w:numId w:val="10"/>
        </w:numPr>
      </w:pPr>
      <w:r w:rsidRPr="00BF6448">
        <w:t>A detailed distance/height profile of each of the transects will be carried out</w:t>
      </w:r>
      <w:r w:rsidR="007A3AC0">
        <w:t xml:space="preserve"> from the start point to the end point of this survey</w:t>
      </w:r>
      <w:r w:rsidRPr="00BF6448">
        <w:t>.</w:t>
      </w:r>
      <w:r w:rsidR="00410BFF">
        <w:t xml:space="preserve"> It must be possible to </w:t>
      </w:r>
      <w:r w:rsidR="001F435F">
        <w:t>determine</w:t>
      </w:r>
      <w:r w:rsidR="00410BFF">
        <w:t xml:space="preserve"> </w:t>
      </w:r>
      <w:r w:rsidR="001F435F">
        <w:t>the location of the quadrats</w:t>
      </w:r>
      <w:r w:rsidR="00410BFF">
        <w:t xml:space="preserve"> on this distance</w:t>
      </w:r>
      <w:r w:rsidR="001F435F">
        <w:t>/height profile. This will allow the</w:t>
      </w:r>
      <w:r w:rsidR="002E5333" w:rsidRPr="00BF6448">
        <w:t xml:space="preserve"> estimat</w:t>
      </w:r>
      <w:r w:rsidR="001F435F">
        <w:t>ion of</w:t>
      </w:r>
      <w:r w:rsidR="002E5333" w:rsidRPr="00BF6448">
        <w:t xml:space="preserve"> the depth of food patches</w:t>
      </w:r>
      <w:r w:rsidR="006A4FBB">
        <w:t xml:space="preserve"> </w:t>
      </w:r>
      <w:r w:rsidR="002E5333" w:rsidRPr="00BF6448">
        <w:t>and the proportion of time for which these are available</w:t>
      </w:r>
      <w:r w:rsidR="00C31954">
        <w:t xml:space="preserve"> to eiders</w:t>
      </w:r>
      <w:r w:rsidR="002E5333" w:rsidRPr="00BF6448">
        <w:t xml:space="preserve"> throughout the spring-neap cycle.</w:t>
      </w:r>
    </w:p>
    <w:p w14:paraId="755D8205" w14:textId="11495487" w:rsidR="000E23CB" w:rsidRDefault="000E23CB" w:rsidP="000E23CB">
      <w:r w:rsidRPr="00CC1D78">
        <w:rPr>
          <w:rFonts w:asciiTheme="minorHAnsi" w:hAnsiTheme="minorHAnsi" w:cstheme="minorHAnsi"/>
          <w:i/>
          <w:iCs/>
          <w:sz w:val="18"/>
          <w:szCs w:val="18"/>
        </w:rPr>
        <w:t xml:space="preserve">Table </w:t>
      </w:r>
      <w:r w:rsidRPr="00CC1D78">
        <w:rPr>
          <w:rFonts w:asciiTheme="minorHAnsi" w:hAnsiTheme="minorHAnsi" w:cstheme="minorHAnsi"/>
          <w:i/>
          <w:iCs/>
          <w:sz w:val="18"/>
          <w:szCs w:val="18"/>
        </w:rPr>
        <w:fldChar w:fldCharType="begin"/>
      </w:r>
      <w:r w:rsidRPr="00CC1D78">
        <w:rPr>
          <w:rFonts w:asciiTheme="minorHAnsi" w:hAnsiTheme="minorHAnsi" w:cstheme="minorHAnsi"/>
          <w:i/>
          <w:iCs/>
          <w:sz w:val="18"/>
          <w:szCs w:val="18"/>
        </w:rPr>
        <w:instrText xml:space="preserve"> SEQ Table \* ARABIC </w:instrText>
      </w:r>
      <w:r w:rsidRPr="00CC1D78">
        <w:rPr>
          <w:rFonts w:asciiTheme="minorHAnsi" w:hAnsiTheme="minorHAnsi" w:cstheme="minorHAnsi"/>
          <w:i/>
          <w:iCs/>
          <w:sz w:val="18"/>
          <w:szCs w:val="18"/>
        </w:rPr>
        <w:fldChar w:fldCharType="separate"/>
      </w:r>
      <w:r>
        <w:rPr>
          <w:rFonts w:asciiTheme="minorHAnsi" w:hAnsiTheme="minorHAnsi" w:cstheme="minorHAnsi"/>
          <w:i/>
          <w:iCs/>
          <w:noProof/>
          <w:sz w:val="18"/>
          <w:szCs w:val="18"/>
        </w:rPr>
        <w:t>2</w:t>
      </w:r>
      <w:r w:rsidRPr="00CC1D78">
        <w:rPr>
          <w:rFonts w:asciiTheme="minorHAnsi" w:hAnsiTheme="minorHAnsi" w:cstheme="minorHAnsi"/>
          <w:i/>
          <w:iCs/>
          <w:sz w:val="18"/>
          <w:szCs w:val="18"/>
        </w:rPr>
        <w:fldChar w:fldCharType="end"/>
      </w:r>
      <w:r w:rsidRPr="00CC1D78">
        <w:rPr>
          <w:rFonts w:asciiTheme="minorHAnsi" w:hAnsiTheme="minorHAnsi" w:cstheme="minorHAnsi"/>
          <w:i/>
          <w:iCs/>
          <w:sz w:val="18"/>
          <w:szCs w:val="18"/>
        </w:rPr>
        <w:t xml:space="preserve">: Eider prey species to be surveyed in ascending order of </w:t>
      </w:r>
      <w:r w:rsidRPr="00CC1D78">
        <w:rPr>
          <w:rFonts w:asciiTheme="minorHAnsi" w:hAnsiTheme="minorHAnsi" w:cstheme="minorHAnsi"/>
          <w:i/>
          <w:iCs/>
          <w:noProof/>
          <w:sz w:val="18"/>
          <w:szCs w:val="18"/>
        </w:rPr>
        <w:t>contribution to eider diet. Size distribution column denotes which species should have their size distirbution measured for fulfillment of Aim 2.</w:t>
      </w:r>
    </w:p>
    <w:tbl>
      <w:tblPr>
        <w:tblStyle w:val="TableStyle3"/>
        <w:tblW w:w="0" w:type="auto"/>
        <w:tblLook w:val="04A0" w:firstRow="1" w:lastRow="0" w:firstColumn="1" w:lastColumn="0" w:noHBand="0" w:noVBand="1"/>
      </w:tblPr>
      <w:tblGrid>
        <w:gridCol w:w="2863"/>
        <w:gridCol w:w="2071"/>
        <w:gridCol w:w="2487"/>
        <w:gridCol w:w="2190"/>
      </w:tblGrid>
      <w:tr w:rsidR="0085500E" w:rsidRPr="006454D4" w14:paraId="4AB614D7" w14:textId="7AA06880" w:rsidTr="000E23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dxa"/>
          </w:tcPr>
          <w:p w14:paraId="37BED1EF" w14:textId="77777777" w:rsidR="0085500E" w:rsidRPr="006454D4" w:rsidRDefault="0085500E" w:rsidP="006454D4">
            <w:pPr>
              <w:spacing w:before="0" w:after="0"/>
              <w:rPr>
                <w:rFonts w:ascii="Calibri" w:hAnsi="Calibri" w:cs="Calibri"/>
                <w:b w:val="0"/>
                <w:bCs/>
                <w:sz w:val="22"/>
              </w:rPr>
            </w:pPr>
            <w:r w:rsidRPr="006454D4">
              <w:rPr>
                <w:rFonts w:ascii="Calibri" w:hAnsi="Calibri" w:cs="Calibri"/>
                <w:bCs/>
                <w:sz w:val="22"/>
              </w:rPr>
              <w:t>Prey Species</w:t>
            </w:r>
          </w:p>
        </w:tc>
        <w:tc>
          <w:tcPr>
            <w:tcW w:w="2071" w:type="dxa"/>
          </w:tcPr>
          <w:p w14:paraId="6F127672" w14:textId="33623DB4" w:rsidR="0085500E" w:rsidRDefault="0085500E" w:rsidP="006454D4">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Abundance</w:t>
            </w:r>
          </w:p>
        </w:tc>
        <w:tc>
          <w:tcPr>
            <w:tcW w:w="2487" w:type="dxa"/>
          </w:tcPr>
          <w:p w14:paraId="54ABF0C0" w14:textId="5754E643" w:rsidR="0085500E" w:rsidRPr="00A6511F" w:rsidRDefault="0085500E" w:rsidP="006454D4">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A6511F">
              <w:rPr>
                <w:rFonts w:ascii="Calibri" w:hAnsi="Calibri" w:cs="Calibri"/>
                <w:sz w:val="22"/>
              </w:rPr>
              <w:t xml:space="preserve">Size distribution </w:t>
            </w:r>
          </w:p>
        </w:tc>
        <w:tc>
          <w:tcPr>
            <w:tcW w:w="2190" w:type="dxa"/>
          </w:tcPr>
          <w:p w14:paraId="76D5FCD8" w14:textId="7DD68008" w:rsidR="0085500E" w:rsidRPr="00A6511F" w:rsidRDefault="00A6511F" w:rsidP="006454D4">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A6511F">
              <w:rPr>
                <w:rFonts w:ascii="Calibri" w:hAnsi="Calibri" w:cs="Calibri"/>
                <w:sz w:val="22"/>
              </w:rPr>
              <w:t>Notes</w:t>
            </w:r>
          </w:p>
        </w:tc>
      </w:tr>
      <w:tr w:rsidR="0085500E" w:rsidRPr="006454D4" w14:paraId="528FF0AB" w14:textId="142EA782" w:rsidTr="000E23CB">
        <w:tc>
          <w:tcPr>
            <w:cnfStyle w:val="001000000000" w:firstRow="0" w:lastRow="0" w:firstColumn="1" w:lastColumn="0" w:oddVBand="0" w:evenVBand="0" w:oddHBand="0" w:evenHBand="0" w:firstRowFirstColumn="0" w:firstRowLastColumn="0" w:lastRowFirstColumn="0" w:lastRowLastColumn="0"/>
            <w:tcW w:w="2863" w:type="dxa"/>
          </w:tcPr>
          <w:p w14:paraId="464A647B" w14:textId="77777777" w:rsidR="0085500E" w:rsidRPr="00984272" w:rsidRDefault="0085500E" w:rsidP="006454D4">
            <w:pPr>
              <w:spacing w:before="0" w:after="0"/>
              <w:rPr>
                <w:rFonts w:ascii="Calibri" w:hAnsi="Calibri" w:cs="Calibri"/>
                <w:i/>
                <w:iCs/>
                <w:sz w:val="22"/>
              </w:rPr>
            </w:pPr>
            <w:r w:rsidRPr="00984272">
              <w:rPr>
                <w:rFonts w:ascii="Calibri" w:hAnsi="Calibri" w:cs="Calibri"/>
                <w:i/>
                <w:iCs/>
                <w:sz w:val="22"/>
              </w:rPr>
              <w:t>Mytilus edulis</w:t>
            </w:r>
          </w:p>
        </w:tc>
        <w:tc>
          <w:tcPr>
            <w:tcW w:w="2071" w:type="dxa"/>
          </w:tcPr>
          <w:p w14:paraId="4F2A662D" w14:textId="34E487A1" w:rsidR="0085500E" w:rsidRDefault="00E120FE"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53677223" w14:textId="69B51C1A" w:rsidR="0085500E" w:rsidRPr="006454D4" w:rsidRDefault="00E120FE"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190" w:type="dxa"/>
          </w:tcPr>
          <w:p w14:paraId="5CDCDA01" w14:textId="77777777" w:rsidR="0085500E" w:rsidRPr="008929E6" w:rsidRDefault="0085500E"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p>
        </w:tc>
      </w:tr>
      <w:tr w:rsidR="0085500E" w:rsidRPr="006454D4" w14:paraId="4145F1F8" w14:textId="5B90595C" w:rsidTr="000E23CB">
        <w:tc>
          <w:tcPr>
            <w:cnfStyle w:val="001000000000" w:firstRow="0" w:lastRow="0" w:firstColumn="1" w:lastColumn="0" w:oddVBand="0" w:evenVBand="0" w:oddHBand="0" w:evenHBand="0" w:firstRowFirstColumn="0" w:firstRowLastColumn="0" w:lastRowFirstColumn="0" w:lastRowLastColumn="0"/>
            <w:tcW w:w="2863" w:type="dxa"/>
          </w:tcPr>
          <w:p w14:paraId="7710C0A9" w14:textId="528FC5BC" w:rsidR="0085500E" w:rsidRPr="00984272" w:rsidRDefault="0085500E" w:rsidP="006454D4">
            <w:pPr>
              <w:spacing w:before="0" w:after="0"/>
              <w:rPr>
                <w:rFonts w:ascii="Calibri" w:hAnsi="Calibri" w:cs="Calibri"/>
                <w:i/>
                <w:iCs/>
                <w:sz w:val="22"/>
              </w:rPr>
            </w:pPr>
            <w:r w:rsidRPr="00984272">
              <w:rPr>
                <w:rFonts w:ascii="Calibri" w:hAnsi="Calibri" w:cs="Calibri"/>
                <w:i/>
                <w:iCs/>
                <w:sz w:val="22"/>
              </w:rPr>
              <w:t xml:space="preserve">Littorina </w:t>
            </w:r>
            <w:proofErr w:type="spellStart"/>
            <w:r w:rsidR="007B3D46">
              <w:rPr>
                <w:rFonts w:ascii="Calibri" w:hAnsi="Calibri" w:cs="Calibri"/>
                <w:i/>
                <w:iCs/>
                <w:sz w:val="22"/>
              </w:rPr>
              <w:t>littorea</w:t>
            </w:r>
            <w:proofErr w:type="spellEnd"/>
          </w:p>
        </w:tc>
        <w:tc>
          <w:tcPr>
            <w:tcW w:w="2071" w:type="dxa"/>
          </w:tcPr>
          <w:p w14:paraId="04BD4DFD" w14:textId="0B1A5F7F" w:rsidR="0085500E" w:rsidRDefault="00E120FE"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611477A3" w14:textId="3EAC0308" w:rsidR="0085500E" w:rsidRPr="006454D4" w:rsidRDefault="00E120FE"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190" w:type="dxa"/>
          </w:tcPr>
          <w:p w14:paraId="4BC10273" w14:textId="77777777" w:rsidR="0085500E" w:rsidRPr="008929E6" w:rsidRDefault="0085500E"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p>
        </w:tc>
      </w:tr>
      <w:tr w:rsidR="007B3D46" w:rsidRPr="006454D4" w14:paraId="6DFF583B" w14:textId="77777777" w:rsidTr="000E23CB">
        <w:tc>
          <w:tcPr>
            <w:cnfStyle w:val="001000000000" w:firstRow="0" w:lastRow="0" w:firstColumn="1" w:lastColumn="0" w:oddVBand="0" w:evenVBand="0" w:oddHBand="0" w:evenHBand="0" w:firstRowFirstColumn="0" w:firstRowLastColumn="0" w:lastRowFirstColumn="0" w:lastRowLastColumn="0"/>
            <w:tcW w:w="2863" w:type="dxa"/>
          </w:tcPr>
          <w:p w14:paraId="211AFB55" w14:textId="44A20276" w:rsidR="007B3D46" w:rsidRPr="00984272" w:rsidRDefault="007B3D46" w:rsidP="006454D4">
            <w:pPr>
              <w:spacing w:before="0" w:after="0"/>
              <w:rPr>
                <w:rFonts w:ascii="Calibri" w:hAnsi="Calibri" w:cs="Calibri"/>
                <w:i/>
                <w:iCs/>
                <w:sz w:val="22"/>
              </w:rPr>
            </w:pPr>
            <w:r>
              <w:rPr>
                <w:rFonts w:ascii="Calibri" w:hAnsi="Calibri" w:cs="Calibri"/>
                <w:i/>
                <w:iCs/>
                <w:sz w:val="22"/>
              </w:rPr>
              <w:t xml:space="preserve">Littorina </w:t>
            </w:r>
            <w:proofErr w:type="spellStart"/>
            <w:r>
              <w:rPr>
                <w:rFonts w:ascii="Calibri" w:hAnsi="Calibri" w:cs="Calibri"/>
                <w:i/>
                <w:iCs/>
                <w:sz w:val="22"/>
              </w:rPr>
              <w:t>saxitilis</w:t>
            </w:r>
            <w:proofErr w:type="spellEnd"/>
          </w:p>
        </w:tc>
        <w:tc>
          <w:tcPr>
            <w:tcW w:w="2071" w:type="dxa"/>
          </w:tcPr>
          <w:p w14:paraId="2328B9E2" w14:textId="7551280E" w:rsidR="007B3D46" w:rsidRDefault="00E120FE"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6C6FC9F2" w14:textId="0C792669" w:rsidR="007B3D46" w:rsidRDefault="00E120FE"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190" w:type="dxa"/>
          </w:tcPr>
          <w:p w14:paraId="17A3479F" w14:textId="77777777" w:rsidR="007B3D46" w:rsidRPr="008929E6" w:rsidRDefault="007B3D46"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p>
        </w:tc>
      </w:tr>
      <w:tr w:rsidR="007B3D46" w:rsidRPr="006454D4" w14:paraId="066AC352" w14:textId="77777777" w:rsidTr="000E23CB">
        <w:tc>
          <w:tcPr>
            <w:cnfStyle w:val="001000000000" w:firstRow="0" w:lastRow="0" w:firstColumn="1" w:lastColumn="0" w:oddVBand="0" w:evenVBand="0" w:oddHBand="0" w:evenHBand="0" w:firstRowFirstColumn="0" w:firstRowLastColumn="0" w:lastRowFirstColumn="0" w:lastRowLastColumn="0"/>
            <w:tcW w:w="2863" w:type="dxa"/>
          </w:tcPr>
          <w:p w14:paraId="4D996775" w14:textId="2515DEB1" w:rsidR="007B3D46" w:rsidRPr="0085621B" w:rsidRDefault="0085621B" w:rsidP="006454D4">
            <w:pPr>
              <w:spacing w:before="0" w:after="0"/>
              <w:rPr>
                <w:rFonts w:ascii="Calibri" w:hAnsi="Calibri" w:cs="Calibri"/>
                <w:i/>
                <w:iCs/>
                <w:sz w:val="22"/>
              </w:rPr>
            </w:pPr>
            <w:r w:rsidRPr="0085621B">
              <w:rPr>
                <w:rFonts w:ascii="Calibri" w:hAnsi="Calibri" w:cs="Calibri"/>
                <w:i/>
                <w:iCs/>
                <w:sz w:val="22"/>
              </w:rPr>
              <w:t xml:space="preserve">Littorina </w:t>
            </w:r>
            <w:proofErr w:type="spellStart"/>
            <w:r w:rsidRPr="0085621B">
              <w:rPr>
                <w:rFonts w:ascii="Calibri" w:hAnsi="Calibri" w:cs="Calibri"/>
                <w:i/>
                <w:iCs/>
                <w:sz w:val="22"/>
              </w:rPr>
              <w:t>obtusata</w:t>
            </w:r>
            <w:proofErr w:type="spellEnd"/>
          </w:p>
        </w:tc>
        <w:tc>
          <w:tcPr>
            <w:tcW w:w="2071" w:type="dxa"/>
          </w:tcPr>
          <w:p w14:paraId="1122C93A" w14:textId="420EBAB8" w:rsidR="007B3D46" w:rsidRDefault="00E120FE"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7E8E61C0" w14:textId="7CDCE470" w:rsidR="007B3D46" w:rsidRDefault="00E120FE"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190" w:type="dxa"/>
          </w:tcPr>
          <w:p w14:paraId="3748FEFB" w14:textId="77777777" w:rsidR="007B3D46" w:rsidRPr="008929E6" w:rsidRDefault="007B3D46"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p>
        </w:tc>
      </w:tr>
      <w:tr w:rsidR="0085500E" w:rsidRPr="006454D4" w14:paraId="0423769B" w14:textId="16AA087D" w:rsidTr="000E23CB">
        <w:tc>
          <w:tcPr>
            <w:cnfStyle w:val="001000000000" w:firstRow="0" w:lastRow="0" w:firstColumn="1" w:lastColumn="0" w:oddVBand="0" w:evenVBand="0" w:oddHBand="0" w:evenHBand="0" w:firstRowFirstColumn="0" w:firstRowLastColumn="0" w:lastRowFirstColumn="0" w:lastRowLastColumn="0"/>
            <w:tcW w:w="2863" w:type="dxa"/>
          </w:tcPr>
          <w:p w14:paraId="33608AB7" w14:textId="77777777" w:rsidR="0085500E" w:rsidRPr="00984272" w:rsidRDefault="0085500E" w:rsidP="006454D4">
            <w:pPr>
              <w:spacing w:before="0" w:after="0"/>
              <w:rPr>
                <w:rFonts w:ascii="Calibri" w:hAnsi="Calibri" w:cs="Calibri"/>
                <w:i/>
                <w:iCs/>
                <w:sz w:val="22"/>
              </w:rPr>
            </w:pPr>
            <w:proofErr w:type="spellStart"/>
            <w:r w:rsidRPr="00984272">
              <w:rPr>
                <w:rFonts w:ascii="Calibri" w:hAnsi="Calibri" w:cs="Calibri"/>
                <w:i/>
                <w:iCs/>
                <w:sz w:val="22"/>
              </w:rPr>
              <w:t>Carcinus</w:t>
            </w:r>
            <w:proofErr w:type="spellEnd"/>
            <w:r w:rsidRPr="00984272">
              <w:rPr>
                <w:rFonts w:ascii="Calibri" w:hAnsi="Calibri" w:cs="Calibri"/>
                <w:i/>
                <w:iCs/>
                <w:sz w:val="22"/>
              </w:rPr>
              <w:t xml:space="preserve"> </w:t>
            </w:r>
            <w:proofErr w:type="spellStart"/>
            <w:r w:rsidRPr="00984272">
              <w:rPr>
                <w:rFonts w:ascii="Calibri" w:hAnsi="Calibri" w:cs="Calibri"/>
                <w:i/>
                <w:iCs/>
                <w:sz w:val="22"/>
              </w:rPr>
              <w:t>maenas</w:t>
            </w:r>
            <w:proofErr w:type="spellEnd"/>
          </w:p>
        </w:tc>
        <w:tc>
          <w:tcPr>
            <w:tcW w:w="2071" w:type="dxa"/>
          </w:tcPr>
          <w:p w14:paraId="6849FAFB" w14:textId="1C7BF118" w:rsidR="0085500E" w:rsidRDefault="00E120FE"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06597511" w14:textId="0BA720C2" w:rsidR="0085500E" w:rsidRPr="006454D4" w:rsidRDefault="00E120FE"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190" w:type="dxa"/>
          </w:tcPr>
          <w:p w14:paraId="14145C95" w14:textId="77777777" w:rsidR="0085500E" w:rsidRPr="008929E6" w:rsidRDefault="0085500E" w:rsidP="006454D4">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p>
        </w:tc>
      </w:tr>
      <w:tr w:rsidR="0089527B" w:rsidRPr="006454D4" w14:paraId="5A984BF5" w14:textId="77777777" w:rsidTr="000E23CB">
        <w:tc>
          <w:tcPr>
            <w:cnfStyle w:val="001000000000" w:firstRow="0" w:lastRow="0" w:firstColumn="1" w:lastColumn="0" w:oddVBand="0" w:evenVBand="0" w:oddHBand="0" w:evenHBand="0" w:firstRowFirstColumn="0" w:firstRowLastColumn="0" w:lastRowFirstColumn="0" w:lastRowLastColumn="0"/>
            <w:tcW w:w="2863" w:type="dxa"/>
          </w:tcPr>
          <w:p w14:paraId="29EE8935" w14:textId="7C20306B" w:rsidR="0089527B" w:rsidRPr="00984272" w:rsidRDefault="0089527B" w:rsidP="0089527B">
            <w:pPr>
              <w:spacing w:before="0" w:after="0"/>
              <w:rPr>
                <w:rFonts w:ascii="Calibri" w:hAnsi="Calibri" w:cs="Calibri"/>
                <w:i/>
                <w:iCs/>
                <w:sz w:val="22"/>
              </w:rPr>
            </w:pPr>
            <w:r w:rsidRPr="00984272">
              <w:rPr>
                <w:rFonts w:ascii="Calibri" w:hAnsi="Calibri" w:cs="Calibri"/>
                <w:i/>
                <w:iCs/>
                <w:sz w:val="22"/>
              </w:rPr>
              <w:t>Buccinum spp.</w:t>
            </w:r>
          </w:p>
        </w:tc>
        <w:tc>
          <w:tcPr>
            <w:tcW w:w="2071" w:type="dxa"/>
          </w:tcPr>
          <w:p w14:paraId="3F126C94" w14:textId="79EE6118" w:rsidR="0089527B" w:rsidRDefault="0089527B" w:rsidP="0089527B">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40DC37B1" w14:textId="1F8AC5A0" w:rsidR="0089527B" w:rsidRPr="006454D4" w:rsidRDefault="008D56D0" w:rsidP="0089527B">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190" w:type="dxa"/>
          </w:tcPr>
          <w:p w14:paraId="5B51578B" w14:textId="77777777" w:rsidR="0089527B" w:rsidRPr="008929E6" w:rsidRDefault="0089527B" w:rsidP="0089527B">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p>
        </w:tc>
      </w:tr>
      <w:tr w:rsidR="00646BF7" w:rsidRPr="006454D4" w14:paraId="107BF509" w14:textId="5A351585" w:rsidTr="000E23CB">
        <w:tc>
          <w:tcPr>
            <w:cnfStyle w:val="001000000000" w:firstRow="0" w:lastRow="0" w:firstColumn="1" w:lastColumn="0" w:oddVBand="0" w:evenVBand="0" w:oddHBand="0" w:evenHBand="0" w:firstRowFirstColumn="0" w:firstRowLastColumn="0" w:lastRowFirstColumn="0" w:lastRowLastColumn="0"/>
            <w:tcW w:w="2863" w:type="dxa"/>
          </w:tcPr>
          <w:p w14:paraId="5F89C770" w14:textId="0E91363E" w:rsidR="00646BF7" w:rsidRPr="00984272" w:rsidRDefault="00646BF7" w:rsidP="00646BF7">
            <w:pPr>
              <w:spacing w:before="0" w:after="0"/>
              <w:rPr>
                <w:rFonts w:ascii="Calibri" w:hAnsi="Calibri" w:cs="Calibri"/>
                <w:i/>
                <w:iCs/>
                <w:sz w:val="22"/>
              </w:rPr>
            </w:pPr>
            <w:proofErr w:type="spellStart"/>
            <w:r w:rsidRPr="00984272">
              <w:rPr>
                <w:rFonts w:ascii="Calibri" w:hAnsi="Calibri" w:cs="Calibri"/>
                <w:i/>
                <w:iCs/>
                <w:sz w:val="22"/>
              </w:rPr>
              <w:t>Nucella</w:t>
            </w:r>
            <w:proofErr w:type="spellEnd"/>
            <w:r w:rsidRPr="00984272">
              <w:rPr>
                <w:rFonts w:ascii="Calibri" w:hAnsi="Calibri" w:cs="Calibri"/>
                <w:i/>
                <w:iCs/>
                <w:sz w:val="22"/>
              </w:rPr>
              <w:t xml:space="preserve"> s</w:t>
            </w:r>
            <w:r>
              <w:rPr>
                <w:rFonts w:ascii="Calibri" w:hAnsi="Calibri" w:cs="Calibri"/>
                <w:i/>
                <w:iCs/>
                <w:sz w:val="22"/>
              </w:rPr>
              <w:t>p</w:t>
            </w:r>
            <w:r w:rsidRPr="00984272">
              <w:rPr>
                <w:rFonts w:ascii="Calibri" w:hAnsi="Calibri" w:cs="Calibri"/>
                <w:i/>
                <w:iCs/>
                <w:sz w:val="22"/>
              </w:rPr>
              <w:t>p.</w:t>
            </w:r>
          </w:p>
        </w:tc>
        <w:tc>
          <w:tcPr>
            <w:tcW w:w="2071" w:type="dxa"/>
          </w:tcPr>
          <w:p w14:paraId="617C08D4" w14:textId="73DAA5A9" w:rsidR="00646BF7" w:rsidRPr="006454D4"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5EF476DC" w14:textId="18242030" w:rsidR="00646BF7" w:rsidRPr="006454D4"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190" w:type="dxa"/>
          </w:tcPr>
          <w:p w14:paraId="418762F0" w14:textId="77777777" w:rsidR="00646BF7" w:rsidRPr="008929E6"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p>
        </w:tc>
      </w:tr>
      <w:tr w:rsidR="00646BF7" w:rsidRPr="006454D4" w14:paraId="75C6C5C3" w14:textId="1DF40310" w:rsidTr="000E23CB">
        <w:tc>
          <w:tcPr>
            <w:cnfStyle w:val="001000000000" w:firstRow="0" w:lastRow="0" w:firstColumn="1" w:lastColumn="0" w:oddVBand="0" w:evenVBand="0" w:oddHBand="0" w:evenHBand="0" w:firstRowFirstColumn="0" w:firstRowLastColumn="0" w:lastRowFirstColumn="0" w:lastRowLastColumn="0"/>
            <w:tcW w:w="2863" w:type="dxa"/>
          </w:tcPr>
          <w:p w14:paraId="1E9795CA" w14:textId="67C50AF1" w:rsidR="00646BF7" w:rsidRPr="00984272" w:rsidRDefault="00646BF7" w:rsidP="00646BF7">
            <w:pPr>
              <w:spacing w:before="0" w:after="0"/>
              <w:rPr>
                <w:rFonts w:ascii="Calibri" w:hAnsi="Calibri" w:cs="Calibri"/>
                <w:i/>
                <w:iCs/>
                <w:sz w:val="22"/>
              </w:rPr>
            </w:pPr>
            <w:r w:rsidRPr="00984272">
              <w:rPr>
                <w:rFonts w:ascii="Calibri" w:hAnsi="Calibri" w:cs="Calibri"/>
                <w:i/>
                <w:iCs/>
                <w:sz w:val="22"/>
              </w:rPr>
              <w:t>Amphipods (especially gammarids)</w:t>
            </w:r>
          </w:p>
        </w:tc>
        <w:tc>
          <w:tcPr>
            <w:tcW w:w="2071" w:type="dxa"/>
          </w:tcPr>
          <w:p w14:paraId="1CB6872C" w14:textId="0D41B591" w:rsidR="00646BF7" w:rsidRPr="006454D4"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44590A61" w14:textId="2CCBACF2" w:rsidR="00646BF7" w:rsidRPr="006454D4"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tc>
        <w:tc>
          <w:tcPr>
            <w:tcW w:w="2190" w:type="dxa"/>
          </w:tcPr>
          <w:p w14:paraId="35263F93" w14:textId="1B6EC1FD" w:rsidR="00646BF7" w:rsidRPr="008929E6"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p>
        </w:tc>
      </w:tr>
      <w:tr w:rsidR="00646BF7" w:rsidRPr="006454D4" w14:paraId="152590DE" w14:textId="64FB94D5" w:rsidTr="000E23CB">
        <w:tc>
          <w:tcPr>
            <w:cnfStyle w:val="001000000000" w:firstRow="0" w:lastRow="0" w:firstColumn="1" w:lastColumn="0" w:oddVBand="0" w:evenVBand="0" w:oddHBand="0" w:evenHBand="0" w:firstRowFirstColumn="0" w:firstRowLastColumn="0" w:lastRowFirstColumn="0" w:lastRowLastColumn="0"/>
            <w:tcW w:w="2863" w:type="dxa"/>
          </w:tcPr>
          <w:p w14:paraId="3CC63828" w14:textId="77777777" w:rsidR="00646BF7" w:rsidRPr="00984272" w:rsidRDefault="00646BF7" w:rsidP="00646BF7">
            <w:pPr>
              <w:spacing w:before="0" w:after="0"/>
              <w:rPr>
                <w:rFonts w:ascii="Calibri" w:hAnsi="Calibri" w:cs="Calibri"/>
                <w:i/>
                <w:iCs/>
                <w:sz w:val="22"/>
              </w:rPr>
            </w:pPr>
            <w:proofErr w:type="spellStart"/>
            <w:r w:rsidRPr="00984272">
              <w:rPr>
                <w:rFonts w:ascii="Calibri" w:hAnsi="Calibri" w:cs="Calibri"/>
                <w:i/>
                <w:iCs/>
                <w:sz w:val="22"/>
              </w:rPr>
              <w:t>Tonicella</w:t>
            </w:r>
            <w:proofErr w:type="spellEnd"/>
            <w:r w:rsidRPr="00984272">
              <w:rPr>
                <w:rFonts w:ascii="Calibri" w:hAnsi="Calibri" w:cs="Calibri"/>
                <w:i/>
                <w:iCs/>
                <w:sz w:val="22"/>
              </w:rPr>
              <w:t xml:space="preserve"> spp.</w:t>
            </w:r>
          </w:p>
        </w:tc>
        <w:tc>
          <w:tcPr>
            <w:tcW w:w="2071" w:type="dxa"/>
          </w:tcPr>
          <w:p w14:paraId="314B4EE9" w14:textId="4929ED98" w:rsidR="00646BF7" w:rsidRPr="006454D4"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0F450799" w14:textId="1B694A12" w:rsidR="00646BF7" w:rsidRPr="006454D4"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tc>
        <w:tc>
          <w:tcPr>
            <w:tcW w:w="2190" w:type="dxa"/>
          </w:tcPr>
          <w:p w14:paraId="22899FC6" w14:textId="441C3D64" w:rsidR="00646BF7" w:rsidRPr="008929E6"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p>
        </w:tc>
      </w:tr>
      <w:tr w:rsidR="00646BF7" w:rsidRPr="006454D4" w14:paraId="12BEC250" w14:textId="3CA7B88A" w:rsidTr="000E23CB">
        <w:tc>
          <w:tcPr>
            <w:cnfStyle w:val="001000000000" w:firstRow="0" w:lastRow="0" w:firstColumn="1" w:lastColumn="0" w:oddVBand="0" w:evenVBand="0" w:oddHBand="0" w:evenHBand="0" w:firstRowFirstColumn="0" w:firstRowLastColumn="0" w:lastRowFirstColumn="0" w:lastRowLastColumn="0"/>
            <w:tcW w:w="2863" w:type="dxa"/>
          </w:tcPr>
          <w:p w14:paraId="23E532F7" w14:textId="77777777" w:rsidR="00646BF7" w:rsidRPr="00984272" w:rsidRDefault="00646BF7" w:rsidP="00646BF7">
            <w:pPr>
              <w:spacing w:before="0" w:after="0"/>
              <w:rPr>
                <w:rFonts w:ascii="Calibri" w:hAnsi="Calibri" w:cs="Calibri"/>
                <w:i/>
                <w:iCs/>
                <w:sz w:val="22"/>
              </w:rPr>
            </w:pPr>
            <w:r w:rsidRPr="00984272">
              <w:rPr>
                <w:rFonts w:ascii="Calibri" w:hAnsi="Calibri" w:cs="Calibri"/>
                <w:i/>
                <w:iCs/>
                <w:sz w:val="22"/>
              </w:rPr>
              <w:t xml:space="preserve">Strongylocentrotus </w:t>
            </w:r>
            <w:proofErr w:type="spellStart"/>
            <w:r w:rsidRPr="00984272">
              <w:rPr>
                <w:rFonts w:ascii="Calibri" w:hAnsi="Calibri" w:cs="Calibri"/>
                <w:i/>
                <w:iCs/>
                <w:sz w:val="22"/>
              </w:rPr>
              <w:t>droebachiensis</w:t>
            </w:r>
            <w:proofErr w:type="spellEnd"/>
          </w:p>
        </w:tc>
        <w:tc>
          <w:tcPr>
            <w:tcW w:w="2071" w:type="dxa"/>
          </w:tcPr>
          <w:p w14:paraId="2548A756" w14:textId="77779DE3" w:rsidR="00646BF7" w:rsidRPr="006454D4"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3E0BA003" w14:textId="435B6BF0" w:rsidR="00646BF7" w:rsidRPr="006454D4"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tc>
        <w:tc>
          <w:tcPr>
            <w:tcW w:w="2190" w:type="dxa"/>
          </w:tcPr>
          <w:p w14:paraId="095F4EBE" w14:textId="0A6C06AA" w:rsidR="00646BF7" w:rsidRPr="008929E6"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p>
        </w:tc>
      </w:tr>
      <w:tr w:rsidR="00646BF7" w:rsidRPr="006454D4" w14:paraId="43892578" w14:textId="3FC4DE19" w:rsidTr="000E23CB">
        <w:tc>
          <w:tcPr>
            <w:cnfStyle w:val="001000000000" w:firstRow="0" w:lastRow="0" w:firstColumn="1" w:lastColumn="0" w:oddVBand="0" w:evenVBand="0" w:oddHBand="0" w:evenHBand="0" w:firstRowFirstColumn="0" w:firstRowLastColumn="0" w:lastRowFirstColumn="0" w:lastRowLastColumn="0"/>
            <w:tcW w:w="2863" w:type="dxa"/>
          </w:tcPr>
          <w:p w14:paraId="3B313973" w14:textId="77777777" w:rsidR="00646BF7" w:rsidRPr="00984272" w:rsidRDefault="00646BF7" w:rsidP="00646BF7">
            <w:pPr>
              <w:spacing w:before="0" w:after="0"/>
              <w:rPr>
                <w:rFonts w:ascii="Calibri" w:hAnsi="Calibri" w:cs="Calibri"/>
                <w:i/>
                <w:iCs/>
                <w:sz w:val="22"/>
              </w:rPr>
            </w:pPr>
            <w:r w:rsidRPr="00984272">
              <w:rPr>
                <w:rFonts w:ascii="Calibri" w:hAnsi="Calibri" w:cs="Calibri"/>
                <w:i/>
                <w:iCs/>
                <w:sz w:val="22"/>
              </w:rPr>
              <w:t>Asterias spp.</w:t>
            </w:r>
          </w:p>
        </w:tc>
        <w:tc>
          <w:tcPr>
            <w:tcW w:w="2071" w:type="dxa"/>
          </w:tcPr>
          <w:p w14:paraId="7B001E7A" w14:textId="35F0BC12" w:rsidR="00646BF7" w:rsidRPr="006454D4"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1FCD732F" w14:textId="454ECC4A" w:rsidR="00646BF7" w:rsidRPr="006454D4"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tc>
        <w:tc>
          <w:tcPr>
            <w:tcW w:w="2190" w:type="dxa"/>
          </w:tcPr>
          <w:p w14:paraId="7E894823" w14:textId="6D48595C" w:rsidR="00646BF7" w:rsidRPr="008929E6"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p>
        </w:tc>
      </w:tr>
      <w:tr w:rsidR="00646BF7" w:rsidRPr="006454D4" w14:paraId="0067B14C" w14:textId="48A35BA8" w:rsidTr="00646BF7">
        <w:trPr>
          <w:trHeight w:val="345"/>
        </w:trPr>
        <w:tc>
          <w:tcPr>
            <w:cnfStyle w:val="001000000000" w:firstRow="0" w:lastRow="0" w:firstColumn="1" w:lastColumn="0" w:oddVBand="0" w:evenVBand="0" w:oddHBand="0" w:evenHBand="0" w:firstRowFirstColumn="0" w:firstRowLastColumn="0" w:lastRowFirstColumn="0" w:lastRowLastColumn="0"/>
            <w:tcW w:w="2863" w:type="dxa"/>
          </w:tcPr>
          <w:p w14:paraId="7F6F38A4" w14:textId="5A4F6908" w:rsidR="00646BF7" w:rsidRPr="00984272" w:rsidRDefault="00646BF7" w:rsidP="00646BF7">
            <w:pPr>
              <w:spacing w:before="0" w:after="0"/>
              <w:rPr>
                <w:rFonts w:ascii="Calibri" w:hAnsi="Calibri" w:cs="Calibri"/>
                <w:i/>
                <w:iCs/>
                <w:sz w:val="22"/>
              </w:rPr>
            </w:pPr>
            <w:proofErr w:type="spellStart"/>
            <w:r w:rsidRPr="00152A1B">
              <w:rPr>
                <w:rFonts w:ascii="Calibri" w:hAnsi="Calibri" w:cs="Calibri"/>
                <w:i/>
                <w:iCs/>
                <w:sz w:val="22"/>
              </w:rPr>
              <w:t>Steromphala</w:t>
            </w:r>
            <w:proofErr w:type="spellEnd"/>
            <w:r w:rsidRPr="00152A1B">
              <w:rPr>
                <w:rFonts w:ascii="Calibri" w:hAnsi="Calibri" w:cs="Calibri"/>
                <w:i/>
                <w:iCs/>
                <w:sz w:val="22"/>
              </w:rPr>
              <w:t xml:space="preserve"> cineraria</w:t>
            </w:r>
            <w:r w:rsidRPr="00984272">
              <w:rPr>
                <w:rFonts w:ascii="Calibri" w:hAnsi="Calibri" w:cs="Calibri"/>
                <w:i/>
                <w:iCs/>
                <w:sz w:val="22"/>
              </w:rPr>
              <w:t>.</w:t>
            </w:r>
          </w:p>
        </w:tc>
        <w:tc>
          <w:tcPr>
            <w:tcW w:w="2071" w:type="dxa"/>
          </w:tcPr>
          <w:p w14:paraId="6D4AED13" w14:textId="1755F30B" w:rsidR="00646BF7" w:rsidRPr="006454D4"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01D6402B" w14:textId="7D422323" w:rsidR="00646BF7" w:rsidRPr="006454D4"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tc>
        <w:tc>
          <w:tcPr>
            <w:tcW w:w="2190" w:type="dxa"/>
          </w:tcPr>
          <w:p w14:paraId="3E0029E0" w14:textId="0B9901B5" w:rsidR="00646BF7" w:rsidRPr="008929E6"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p>
        </w:tc>
      </w:tr>
      <w:tr w:rsidR="00646BF7" w:rsidRPr="006454D4" w14:paraId="50AB34AC" w14:textId="668B242A" w:rsidTr="000E23CB">
        <w:tc>
          <w:tcPr>
            <w:cnfStyle w:val="001000000000" w:firstRow="0" w:lastRow="0" w:firstColumn="1" w:lastColumn="0" w:oddVBand="0" w:evenVBand="0" w:oddHBand="0" w:evenHBand="0" w:firstRowFirstColumn="0" w:firstRowLastColumn="0" w:lastRowFirstColumn="0" w:lastRowLastColumn="0"/>
            <w:tcW w:w="2863" w:type="dxa"/>
          </w:tcPr>
          <w:p w14:paraId="2B159293" w14:textId="509E0EC6" w:rsidR="00646BF7" w:rsidRPr="00152A1B" w:rsidRDefault="00646BF7" w:rsidP="00646BF7">
            <w:pPr>
              <w:spacing w:before="0" w:after="0"/>
              <w:rPr>
                <w:rFonts w:ascii="Calibri" w:hAnsi="Calibri" w:cs="Calibri"/>
                <w:i/>
                <w:iCs/>
                <w:sz w:val="22"/>
              </w:rPr>
            </w:pPr>
            <w:proofErr w:type="spellStart"/>
            <w:r>
              <w:rPr>
                <w:rFonts w:ascii="Calibri" w:hAnsi="Calibri" w:cs="Calibri"/>
                <w:i/>
                <w:iCs/>
                <w:sz w:val="22"/>
              </w:rPr>
              <w:t>Seminoides</w:t>
            </w:r>
            <w:proofErr w:type="spellEnd"/>
            <w:r>
              <w:rPr>
                <w:rFonts w:ascii="Calibri" w:hAnsi="Calibri" w:cs="Calibri"/>
                <w:i/>
                <w:iCs/>
                <w:sz w:val="22"/>
              </w:rPr>
              <w:t xml:space="preserve"> </w:t>
            </w:r>
            <w:proofErr w:type="spellStart"/>
            <w:r>
              <w:rPr>
                <w:rFonts w:ascii="Calibri" w:hAnsi="Calibri" w:cs="Calibri"/>
                <w:i/>
                <w:iCs/>
                <w:sz w:val="22"/>
              </w:rPr>
              <w:t>balinus</w:t>
            </w:r>
            <w:proofErr w:type="spellEnd"/>
            <w:r>
              <w:rPr>
                <w:rFonts w:ascii="Calibri" w:hAnsi="Calibri" w:cs="Calibri"/>
                <w:i/>
                <w:iCs/>
                <w:sz w:val="22"/>
              </w:rPr>
              <w:t xml:space="preserve"> </w:t>
            </w:r>
          </w:p>
        </w:tc>
        <w:tc>
          <w:tcPr>
            <w:tcW w:w="2071" w:type="dxa"/>
          </w:tcPr>
          <w:p w14:paraId="31199010" w14:textId="24EE901B" w:rsidR="00646BF7" w:rsidRPr="0031053A"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31053A">
              <w:rPr>
                <w:rFonts w:ascii="Calibri" w:hAnsi="Calibri" w:cs="Calibri"/>
                <w:sz w:val="22"/>
              </w:rPr>
              <w:t>x</w:t>
            </w:r>
          </w:p>
        </w:tc>
        <w:tc>
          <w:tcPr>
            <w:tcW w:w="2487" w:type="dxa"/>
          </w:tcPr>
          <w:p w14:paraId="0D55320E" w14:textId="3C5C0431" w:rsidR="00646BF7" w:rsidRPr="003B4A9A"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trike/>
                <w:sz w:val="22"/>
              </w:rPr>
            </w:pPr>
          </w:p>
        </w:tc>
        <w:tc>
          <w:tcPr>
            <w:tcW w:w="2190" w:type="dxa"/>
          </w:tcPr>
          <w:p w14:paraId="02F759B2" w14:textId="11D955BB" w:rsidR="00646BF7" w:rsidRPr="00FF360C"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r w:rsidRPr="00A6511F">
              <w:rPr>
                <w:rFonts w:ascii="Calibri" w:hAnsi="Calibri" w:cs="Calibri"/>
                <w:sz w:val="22"/>
              </w:rPr>
              <w:t>Abundance in a 5 x 5 cm quadrat can be used to estimate abundance in 50 x 50 cm quadrat if required.</w:t>
            </w:r>
          </w:p>
        </w:tc>
      </w:tr>
      <w:tr w:rsidR="00646BF7" w:rsidRPr="006454D4" w14:paraId="1304F7E0" w14:textId="77777777" w:rsidTr="000E23CB">
        <w:tc>
          <w:tcPr>
            <w:cnfStyle w:val="001000000000" w:firstRow="0" w:lastRow="0" w:firstColumn="1" w:lastColumn="0" w:oddVBand="0" w:evenVBand="0" w:oddHBand="0" w:evenHBand="0" w:firstRowFirstColumn="0" w:firstRowLastColumn="0" w:lastRowFirstColumn="0" w:lastRowLastColumn="0"/>
            <w:tcW w:w="2863" w:type="dxa"/>
          </w:tcPr>
          <w:p w14:paraId="0465342E" w14:textId="7AE357CD" w:rsidR="00646BF7" w:rsidRDefault="00646BF7" w:rsidP="00646BF7">
            <w:pPr>
              <w:spacing w:before="0" w:after="0"/>
              <w:rPr>
                <w:rFonts w:ascii="Calibri" w:hAnsi="Calibri" w:cs="Calibri"/>
                <w:i/>
                <w:iCs/>
                <w:sz w:val="22"/>
              </w:rPr>
            </w:pPr>
            <w:r w:rsidRPr="00B625CE">
              <w:rPr>
                <w:rFonts w:ascii="Calibri" w:hAnsi="Calibri" w:cs="Calibri"/>
                <w:i/>
                <w:iCs/>
                <w:sz w:val="22"/>
              </w:rPr>
              <w:t xml:space="preserve">Balanus </w:t>
            </w:r>
            <w:proofErr w:type="spellStart"/>
            <w:r w:rsidRPr="00B625CE">
              <w:rPr>
                <w:rFonts w:ascii="Calibri" w:hAnsi="Calibri" w:cs="Calibri"/>
                <w:i/>
                <w:iCs/>
                <w:sz w:val="22"/>
              </w:rPr>
              <w:t>crenatus</w:t>
            </w:r>
            <w:proofErr w:type="spellEnd"/>
          </w:p>
        </w:tc>
        <w:tc>
          <w:tcPr>
            <w:tcW w:w="2071" w:type="dxa"/>
          </w:tcPr>
          <w:p w14:paraId="398F6A34" w14:textId="7C657258" w:rsidR="00646BF7" w:rsidRPr="0031053A"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4DEA2E26" w14:textId="77777777" w:rsidR="00646BF7" w:rsidRPr="003B4A9A"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trike/>
                <w:sz w:val="22"/>
              </w:rPr>
            </w:pPr>
          </w:p>
        </w:tc>
        <w:tc>
          <w:tcPr>
            <w:tcW w:w="2190" w:type="dxa"/>
          </w:tcPr>
          <w:p w14:paraId="2BF938CE" w14:textId="77777777" w:rsidR="00646BF7" w:rsidRPr="008929E6"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trike/>
                <w:color w:val="EE0000"/>
                <w:sz w:val="22"/>
              </w:rPr>
            </w:pPr>
          </w:p>
        </w:tc>
      </w:tr>
      <w:tr w:rsidR="00646BF7" w:rsidRPr="006454D4" w14:paraId="153FE8BA" w14:textId="3E9CBC37" w:rsidTr="000E23CB">
        <w:tc>
          <w:tcPr>
            <w:cnfStyle w:val="001000000000" w:firstRow="0" w:lastRow="0" w:firstColumn="1" w:lastColumn="0" w:oddVBand="0" w:evenVBand="0" w:oddHBand="0" w:evenHBand="0" w:firstRowFirstColumn="0" w:firstRowLastColumn="0" w:lastRowFirstColumn="0" w:lastRowLastColumn="0"/>
            <w:tcW w:w="2863" w:type="dxa"/>
          </w:tcPr>
          <w:p w14:paraId="1764F067" w14:textId="77777777" w:rsidR="00646BF7" w:rsidRPr="00247C7D" w:rsidRDefault="00646BF7" w:rsidP="00646BF7">
            <w:pPr>
              <w:spacing w:before="0" w:after="0"/>
              <w:rPr>
                <w:rFonts w:ascii="Calibri" w:hAnsi="Calibri" w:cs="Calibri"/>
                <w:i/>
                <w:iCs/>
                <w:sz w:val="22"/>
              </w:rPr>
            </w:pPr>
            <w:r w:rsidRPr="00247C7D">
              <w:rPr>
                <w:rFonts w:ascii="Calibri" w:hAnsi="Calibri" w:cs="Calibri"/>
                <w:i/>
                <w:iCs/>
                <w:sz w:val="22"/>
              </w:rPr>
              <w:lastRenderedPageBreak/>
              <w:t>Patella pellucida</w:t>
            </w:r>
          </w:p>
        </w:tc>
        <w:tc>
          <w:tcPr>
            <w:tcW w:w="2071" w:type="dxa"/>
          </w:tcPr>
          <w:p w14:paraId="0C4B3CC4" w14:textId="735F748F" w:rsidR="00646BF7" w:rsidRPr="00247C7D"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3DA51D0A" w14:textId="63DF65A4" w:rsidR="00646BF7" w:rsidRPr="00247C7D"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tc>
        <w:tc>
          <w:tcPr>
            <w:tcW w:w="2190" w:type="dxa"/>
          </w:tcPr>
          <w:p w14:paraId="1DED5549" w14:textId="42C07C98" w:rsidR="00646BF7" w:rsidRPr="00247C7D"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p>
        </w:tc>
      </w:tr>
      <w:tr w:rsidR="00646BF7" w:rsidRPr="006454D4" w14:paraId="17A944A5" w14:textId="77777777" w:rsidTr="000E23CB">
        <w:tc>
          <w:tcPr>
            <w:cnfStyle w:val="001000000000" w:firstRow="0" w:lastRow="0" w:firstColumn="1" w:lastColumn="0" w:oddVBand="0" w:evenVBand="0" w:oddHBand="0" w:evenHBand="0" w:firstRowFirstColumn="0" w:firstRowLastColumn="0" w:lastRowFirstColumn="0" w:lastRowLastColumn="0"/>
            <w:tcW w:w="2863" w:type="dxa"/>
          </w:tcPr>
          <w:p w14:paraId="27FDE459" w14:textId="711CEDCC" w:rsidR="00646BF7" w:rsidRPr="00247C7D" w:rsidRDefault="00646BF7" w:rsidP="00646BF7">
            <w:pPr>
              <w:spacing w:before="0" w:after="0"/>
              <w:rPr>
                <w:rFonts w:ascii="Calibri" w:hAnsi="Calibri" w:cs="Calibri"/>
                <w:i/>
                <w:iCs/>
                <w:sz w:val="22"/>
              </w:rPr>
            </w:pPr>
            <w:proofErr w:type="spellStart"/>
            <w:r>
              <w:rPr>
                <w:rFonts w:ascii="Calibri" w:hAnsi="Calibri" w:cs="Calibri"/>
                <w:i/>
                <w:iCs/>
                <w:sz w:val="22"/>
              </w:rPr>
              <w:t>Sabellaria</w:t>
            </w:r>
            <w:proofErr w:type="spellEnd"/>
            <w:r>
              <w:rPr>
                <w:rFonts w:ascii="Calibri" w:hAnsi="Calibri" w:cs="Calibri"/>
                <w:i/>
                <w:iCs/>
                <w:sz w:val="22"/>
              </w:rPr>
              <w:t xml:space="preserve"> spinulosa</w:t>
            </w:r>
          </w:p>
        </w:tc>
        <w:tc>
          <w:tcPr>
            <w:tcW w:w="2071" w:type="dxa"/>
          </w:tcPr>
          <w:p w14:paraId="522DEE11" w14:textId="2C50E192" w:rsidR="00646BF7"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4712E3CF" w14:textId="77777777" w:rsidR="00646BF7" w:rsidRPr="00247C7D"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tc>
        <w:tc>
          <w:tcPr>
            <w:tcW w:w="2190" w:type="dxa"/>
          </w:tcPr>
          <w:p w14:paraId="3ABA49AD" w14:textId="77777777" w:rsidR="00646BF7" w:rsidRPr="00247C7D"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22"/>
              </w:rPr>
            </w:pPr>
          </w:p>
        </w:tc>
      </w:tr>
      <w:tr w:rsidR="00646BF7" w:rsidRPr="006454D4" w14:paraId="6080022F" w14:textId="77777777" w:rsidTr="000E23CB">
        <w:tc>
          <w:tcPr>
            <w:cnfStyle w:val="001000000000" w:firstRow="0" w:lastRow="0" w:firstColumn="1" w:lastColumn="0" w:oddVBand="0" w:evenVBand="0" w:oddHBand="0" w:evenHBand="0" w:firstRowFirstColumn="0" w:firstRowLastColumn="0" w:lastRowFirstColumn="0" w:lastRowLastColumn="0"/>
            <w:tcW w:w="2863" w:type="dxa"/>
          </w:tcPr>
          <w:p w14:paraId="4D144518" w14:textId="052ACFFE" w:rsidR="00646BF7" w:rsidRPr="00247C7D" w:rsidRDefault="00646BF7" w:rsidP="00646BF7">
            <w:pPr>
              <w:spacing w:before="0" w:after="0"/>
              <w:rPr>
                <w:rFonts w:ascii="Calibri" w:hAnsi="Calibri" w:cs="Calibri"/>
                <w:i/>
                <w:iCs/>
                <w:sz w:val="22"/>
              </w:rPr>
            </w:pPr>
            <w:r>
              <w:rPr>
                <w:rFonts w:ascii="Calibri" w:hAnsi="Calibri" w:cs="Calibri"/>
                <w:i/>
                <w:iCs/>
                <w:sz w:val="22"/>
              </w:rPr>
              <w:t>Eggs</w:t>
            </w:r>
          </w:p>
        </w:tc>
        <w:tc>
          <w:tcPr>
            <w:tcW w:w="2071" w:type="dxa"/>
          </w:tcPr>
          <w:p w14:paraId="1DAB8E33" w14:textId="7CE67CD9" w:rsidR="00646BF7" w:rsidRPr="00247C7D"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597B0441" w14:textId="77777777" w:rsidR="00646BF7" w:rsidRPr="00247C7D"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tc>
        <w:tc>
          <w:tcPr>
            <w:tcW w:w="2190" w:type="dxa"/>
          </w:tcPr>
          <w:p w14:paraId="5F5F27A0" w14:textId="08916183" w:rsidR="00646BF7" w:rsidRPr="00E120FE"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E120FE">
              <w:rPr>
                <w:rFonts w:ascii="Calibri" w:hAnsi="Calibri" w:cs="Calibri"/>
                <w:sz w:val="22"/>
              </w:rPr>
              <w:t>Eggs of any species should be identified, photographed with abundance estimated and size of any clump noted.</w:t>
            </w:r>
          </w:p>
        </w:tc>
      </w:tr>
      <w:tr w:rsidR="00646BF7" w:rsidRPr="006454D4" w14:paraId="5BDF1F88" w14:textId="77777777" w:rsidTr="000E23CB">
        <w:tc>
          <w:tcPr>
            <w:cnfStyle w:val="001000000000" w:firstRow="0" w:lastRow="0" w:firstColumn="1" w:lastColumn="0" w:oddVBand="0" w:evenVBand="0" w:oddHBand="0" w:evenHBand="0" w:firstRowFirstColumn="0" w:firstRowLastColumn="0" w:lastRowFirstColumn="0" w:lastRowLastColumn="0"/>
            <w:tcW w:w="2863" w:type="dxa"/>
          </w:tcPr>
          <w:p w14:paraId="263C889F" w14:textId="3398E51C" w:rsidR="00646BF7" w:rsidRDefault="00646BF7" w:rsidP="00646BF7">
            <w:pPr>
              <w:spacing w:before="0" w:after="0"/>
              <w:rPr>
                <w:rFonts w:ascii="Calibri" w:hAnsi="Calibri" w:cs="Calibri"/>
                <w:i/>
                <w:iCs/>
                <w:sz w:val="22"/>
              </w:rPr>
            </w:pPr>
            <w:r>
              <w:rPr>
                <w:rFonts w:ascii="Calibri" w:hAnsi="Calibri" w:cs="Calibri"/>
                <w:i/>
                <w:iCs/>
                <w:sz w:val="22"/>
              </w:rPr>
              <w:t>Other crustacean spp.</w:t>
            </w:r>
          </w:p>
        </w:tc>
        <w:tc>
          <w:tcPr>
            <w:tcW w:w="2071" w:type="dxa"/>
          </w:tcPr>
          <w:p w14:paraId="7B5206D6" w14:textId="7C8524AB" w:rsidR="00646BF7" w:rsidRPr="00247C7D"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x</w:t>
            </w:r>
          </w:p>
        </w:tc>
        <w:tc>
          <w:tcPr>
            <w:tcW w:w="2487" w:type="dxa"/>
          </w:tcPr>
          <w:p w14:paraId="14DD4019" w14:textId="77777777" w:rsidR="00646BF7" w:rsidRPr="00247C7D"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tc>
        <w:tc>
          <w:tcPr>
            <w:tcW w:w="2190" w:type="dxa"/>
          </w:tcPr>
          <w:p w14:paraId="06F0B868" w14:textId="752F2E6C" w:rsidR="00646BF7" w:rsidRPr="00E120FE" w:rsidRDefault="00646BF7" w:rsidP="00646BF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E120FE">
              <w:rPr>
                <w:rFonts w:ascii="Calibri" w:hAnsi="Calibri" w:cs="Calibri"/>
                <w:sz w:val="22"/>
              </w:rPr>
              <w:t xml:space="preserve">Any other crustacean species </w:t>
            </w:r>
            <w:r>
              <w:rPr>
                <w:rFonts w:ascii="Calibri" w:hAnsi="Calibri" w:cs="Calibri"/>
                <w:sz w:val="22"/>
              </w:rPr>
              <w:t xml:space="preserve">found </w:t>
            </w:r>
            <w:r w:rsidRPr="00E120FE">
              <w:rPr>
                <w:rFonts w:ascii="Calibri" w:hAnsi="Calibri" w:cs="Calibri"/>
                <w:sz w:val="22"/>
              </w:rPr>
              <w:t xml:space="preserve">should be counted. </w:t>
            </w:r>
          </w:p>
        </w:tc>
      </w:tr>
    </w:tbl>
    <w:p w14:paraId="1E1ED4EC" w14:textId="3486463A" w:rsidR="00673E50" w:rsidRPr="00673E50" w:rsidRDefault="00282756" w:rsidP="0088263E">
      <w:r w:rsidRPr="00673E50">
        <w:t xml:space="preserve">All members of the survey team should look out for probable eider </w:t>
      </w:r>
      <w:r w:rsidR="00673E50" w:rsidRPr="00673E50">
        <w:t>droppings;</w:t>
      </w:r>
      <w:r w:rsidRPr="00673E50">
        <w:t xml:space="preserve"> these should be photographed in detail if </w:t>
      </w:r>
      <w:r w:rsidR="00673E50" w:rsidRPr="00673E50">
        <w:t>observed</w:t>
      </w:r>
      <w:r w:rsidRPr="00673E50">
        <w:t xml:space="preserve"> as these </w:t>
      </w:r>
      <w:r w:rsidR="00673E50" w:rsidRPr="00673E50">
        <w:t xml:space="preserve">can be used to </w:t>
      </w:r>
      <w:r w:rsidRPr="00673E50">
        <w:t>confirm prey identities</w:t>
      </w:r>
      <w:r w:rsidR="00673E50" w:rsidRPr="00673E50">
        <w:t>.</w:t>
      </w:r>
    </w:p>
    <w:p w14:paraId="4901E3F3" w14:textId="556C7C59" w:rsidR="003D0D90" w:rsidRPr="003D0D90" w:rsidRDefault="003D0D90" w:rsidP="00D61EFE">
      <w:pPr>
        <w:rPr>
          <w:b/>
          <w:bCs/>
        </w:rPr>
      </w:pPr>
      <w:r w:rsidRPr="003D0D90">
        <w:rPr>
          <w:b/>
          <w:bCs/>
        </w:rPr>
        <w:t>Deliverables</w:t>
      </w:r>
    </w:p>
    <w:p w14:paraId="315DDB9A" w14:textId="3D46D9C0" w:rsidR="003C38FA" w:rsidRDefault="00C22507" w:rsidP="00D61EFE">
      <w:r>
        <w:t xml:space="preserve">A draft survey plan will be submitted by the contractor </w:t>
      </w:r>
      <w:r w:rsidR="00BD16CD">
        <w:t>at least</w:t>
      </w:r>
      <w:r w:rsidR="008253A0">
        <w:t xml:space="preserve"> 1 </w:t>
      </w:r>
      <w:r w:rsidR="00BD16CD">
        <w:t xml:space="preserve">week in advance of the agreed survey commencement data. This will be reviewed and commented on </w:t>
      </w:r>
      <w:r w:rsidR="00CC1AD1">
        <w:t xml:space="preserve">by the NE project team before the final version is submitted. </w:t>
      </w:r>
      <w:r w:rsidR="003C38FA" w:rsidRPr="003C38FA">
        <w:t>All risk assessments need to be</w:t>
      </w:r>
      <w:r w:rsidR="005B5E3A">
        <w:t xml:space="preserve"> submitted with the draft survey plan</w:t>
      </w:r>
      <w:r w:rsidR="003C38FA" w:rsidRPr="003C38FA">
        <w:t xml:space="preserve"> and signed off by </w:t>
      </w:r>
      <w:r w:rsidR="003C38FA">
        <w:t>a</w:t>
      </w:r>
      <w:r w:rsidR="003C38FA" w:rsidRPr="003C38FA">
        <w:t xml:space="preserve"> </w:t>
      </w:r>
      <w:r w:rsidR="003C38FA">
        <w:t>Natural England Project</w:t>
      </w:r>
      <w:r w:rsidR="003C38FA" w:rsidRPr="003C38FA">
        <w:t xml:space="preserve"> Officer, as part of the contract management process.  </w:t>
      </w:r>
    </w:p>
    <w:p w14:paraId="5749C5AB" w14:textId="1D5A6EEA" w:rsidR="00C94ADF" w:rsidRDefault="00C94ADF" w:rsidP="00D61EFE">
      <w:r>
        <w:t>All field recordings will be transferred to electronic spreadsheets. Digital photographs will be taken along each transect and of other features and views considered useful or informative.</w:t>
      </w:r>
    </w:p>
    <w:p w14:paraId="6F7CC559" w14:textId="77777777" w:rsidR="00A63BF1" w:rsidRPr="00A63BF1" w:rsidRDefault="00DA4BE0" w:rsidP="00226F72">
      <w:r>
        <w:t xml:space="preserve">The deliverables for the </w:t>
      </w:r>
      <w:r w:rsidR="00614791">
        <w:t>contract will be</w:t>
      </w:r>
      <w:r w:rsidR="00033693">
        <w:t xml:space="preserve"> </w:t>
      </w:r>
      <w:r w:rsidR="00497C44">
        <w:t>(1)</w:t>
      </w:r>
      <w:r w:rsidR="00614791">
        <w:t xml:space="preserve"> </w:t>
      </w:r>
      <w:r w:rsidR="00B45CC8">
        <w:t>survey</w:t>
      </w:r>
      <w:r w:rsidR="00614791">
        <w:t xml:space="preserve"> report</w:t>
      </w:r>
      <w:r w:rsidR="00B45CC8">
        <w:t xml:space="preserve"> </w:t>
      </w:r>
      <w:r w:rsidR="00033693">
        <w:t xml:space="preserve">with datasheets in an excel format </w:t>
      </w:r>
      <w:r w:rsidR="00B45CC8">
        <w:t>and</w:t>
      </w:r>
      <w:r w:rsidR="00614791">
        <w:t xml:space="preserve"> </w:t>
      </w:r>
      <w:r w:rsidR="00497C44">
        <w:t>(2) a</w:t>
      </w:r>
      <w:r w:rsidR="00B45CC8">
        <w:t xml:space="preserve"> technical report. The s</w:t>
      </w:r>
      <w:r w:rsidR="00226F72">
        <w:t xml:space="preserve">urvey </w:t>
      </w:r>
      <w:r w:rsidR="00B45CC8">
        <w:t>r</w:t>
      </w:r>
      <w:r w:rsidR="00226F72">
        <w:t>eport</w:t>
      </w:r>
      <w:r w:rsidR="00B45CC8">
        <w:t xml:space="preserve"> will summarise</w:t>
      </w:r>
      <w:r w:rsidR="00226F72">
        <w:t xml:space="preserve"> </w:t>
      </w:r>
      <w:r w:rsidR="00B45CC8">
        <w:t>s</w:t>
      </w:r>
      <w:r w:rsidR="00226F72">
        <w:t>urvey narrative, standard operating protocols used, issues encountered, methodology used, timeline of events and actions</w:t>
      </w:r>
      <w:r w:rsidR="00B45CC8">
        <w:t xml:space="preserve">. </w:t>
      </w:r>
      <w:r w:rsidR="0055675B">
        <w:t>Transect information, s</w:t>
      </w:r>
      <w:r w:rsidR="00981ACB">
        <w:t xml:space="preserve">pecies abundance, size class and </w:t>
      </w:r>
      <w:r w:rsidR="00024C53">
        <w:t>distance/height data should be submitted as excel spreadsheets</w:t>
      </w:r>
      <w:r w:rsidR="00981ACB">
        <w:t xml:space="preserve">. </w:t>
      </w:r>
      <w:r w:rsidR="00B45CC8">
        <w:t>The technical report will have data</w:t>
      </w:r>
      <w:r w:rsidR="00226F72">
        <w:t xml:space="preserve"> </w:t>
      </w:r>
      <w:r w:rsidR="00EE669A">
        <w:t>interpretation</w:t>
      </w:r>
      <w:r w:rsidR="00226F72">
        <w:t>, analys</w:t>
      </w:r>
      <w:r w:rsidR="00EE669A">
        <w:t>is</w:t>
      </w:r>
      <w:r w:rsidR="00226F72">
        <w:t xml:space="preserve"> and presen</w:t>
      </w:r>
      <w:r w:rsidR="00EE669A">
        <w:t>tation</w:t>
      </w:r>
      <w:r w:rsidR="00226F72">
        <w:t xml:space="preserve"> </w:t>
      </w:r>
      <w:r w:rsidR="00D83AB1">
        <w:t>to address the aim outlined and to allow for parameterisation of the MORPH model</w:t>
      </w:r>
      <w:r w:rsidR="00226F72">
        <w:t xml:space="preserve">. </w:t>
      </w:r>
      <w:r w:rsidR="0006792F">
        <w:t xml:space="preserve">Univariate statistical analysis </w:t>
      </w:r>
      <w:r w:rsidR="00226F72">
        <w:t xml:space="preserve">should be applied during the analysis of the data </w:t>
      </w:r>
      <w:r w:rsidR="00235BE3">
        <w:t>to</w:t>
      </w:r>
      <w:r w:rsidR="00226F72">
        <w:t xml:space="preserve"> assess the spatial differences in the </w:t>
      </w:r>
      <w:r w:rsidR="00235BE3">
        <w:t>abundance and size-classes</w:t>
      </w:r>
      <w:r w:rsidR="00226F72">
        <w:t xml:space="preserve"> of the </w:t>
      </w:r>
      <w:r w:rsidR="00EE669A">
        <w:t xml:space="preserve">prey species </w:t>
      </w:r>
      <w:r w:rsidR="00D83AB1">
        <w:t>between</w:t>
      </w:r>
      <w:r w:rsidR="0006792F">
        <w:t xml:space="preserve"> the</w:t>
      </w:r>
      <w:r w:rsidR="00D64044">
        <w:t xml:space="preserve"> five 2025</w:t>
      </w:r>
      <w:r w:rsidR="0006792F">
        <w:t xml:space="preserve"> sites</w:t>
      </w:r>
      <w:r w:rsidR="00226F72">
        <w:t>.</w:t>
      </w:r>
      <w:r w:rsidR="00D64044">
        <w:t xml:space="preserve"> </w:t>
      </w:r>
      <w:r w:rsidR="00225AE5" w:rsidRPr="00A63BF1">
        <w:t xml:space="preserve">Natural England will </w:t>
      </w:r>
      <w:r w:rsidR="0055675B" w:rsidRPr="00A63BF1">
        <w:t xml:space="preserve">supply historical </w:t>
      </w:r>
      <w:r w:rsidR="00225AE5" w:rsidRPr="00A63BF1">
        <w:t>data</w:t>
      </w:r>
      <w:r w:rsidR="0055675B" w:rsidRPr="00A63BF1">
        <w:t xml:space="preserve"> condition monitoring data. The </w:t>
      </w:r>
      <w:r w:rsidR="00A63BF1" w:rsidRPr="00A63BF1">
        <w:t>analysis will include univariate statistical analysis of temporal trends in</w:t>
      </w:r>
      <w:r w:rsidR="00225AE5" w:rsidRPr="00A63BF1">
        <w:t xml:space="preserve"> </w:t>
      </w:r>
      <w:r w:rsidR="00FA5535" w:rsidRPr="00A63BF1">
        <w:t>eider prey species availability</w:t>
      </w:r>
      <w:r w:rsidR="00A63BF1" w:rsidRPr="00A63BF1">
        <w:t xml:space="preserve"> at the five sites.</w:t>
      </w:r>
      <w:r w:rsidR="00FA5535" w:rsidRPr="00A63BF1">
        <w:t xml:space="preserve"> </w:t>
      </w:r>
    </w:p>
    <w:p w14:paraId="705F9AC3" w14:textId="4037B2B1" w:rsidR="005272DF" w:rsidRPr="008D1037" w:rsidRDefault="008D1037" w:rsidP="005272DF">
      <w:pPr>
        <w:rPr>
          <w:b/>
          <w:bCs/>
        </w:rPr>
      </w:pPr>
      <w:r w:rsidRPr="008D1037">
        <w:rPr>
          <w:b/>
          <w:bCs/>
        </w:rPr>
        <w:t>Weather downtime &amp; contingency</w:t>
      </w:r>
    </w:p>
    <w:p w14:paraId="65F328B9" w14:textId="3138F018" w:rsidR="005272DF" w:rsidRDefault="005272DF" w:rsidP="005272DF">
      <w:r>
        <w:t xml:space="preserve">Weather downtime should be defined as those periods during Marine Monitoring Operations where the influence of weather conditions results in a halt to any monitoring due to the impact on data quality and/or operational safety.  </w:t>
      </w:r>
    </w:p>
    <w:p w14:paraId="3C6E2AEE" w14:textId="77777777" w:rsidR="005272DF" w:rsidRDefault="005272DF" w:rsidP="005272DF"/>
    <w:p w14:paraId="6971D19D" w14:textId="77777777" w:rsidR="005272DF" w:rsidRDefault="005272DF" w:rsidP="005272DF">
      <w:r>
        <w:t xml:space="preserve"> </w:t>
      </w:r>
    </w:p>
    <w:p w14:paraId="4E83561E" w14:textId="77777777" w:rsidR="005272DF" w:rsidRDefault="005272DF" w:rsidP="005272DF"/>
    <w:p w14:paraId="12F88D2A" w14:textId="195A1DE1" w:rsidR="005272DF" w:rsidRDefault="005272DF" w:rsidP="005272DF">
      <w:r>
        <w:t xml:space="preserve">To ensure the safety of the Contractor and integrity of the project, transparent documented communications with Natural England is essential. Natural England requires that the contract be assigned through an all-inclusive single price agreed at the outset of the project. Any permission to accrue weather downtime costs given must be in writing or by email from a nominated person within Natural England to the Contractor (the nominated person will be confirmed at the point of contract award). Any charges for weather downtime where no evidence of prior approval exists will not be approved and will not be reimbursed. Approved weather downtime may be charged to Natural England at an Operational Weather Downtime Rate, as agreed in the contract.  </w:t>
      </w:r>
    </w:p>
    <w:p w14:paraId="0535D095" w14:textId="644C4D16" w:rsidR="003D0D90" w:rsidRDefault="005272DF" w:rsidP="005272DF">
      <w:r>
        <w:t>Survey windows should be allocated in accordance with the best tides available. If weather forecasts predict weather conditions with the potential to result in extended (&gt;1 day) impacts on data quality and/or operational safety, up to 48 hrs prior to mobilising, then Natural England will not pay weather downtime unless expressly agreed in writing. In the event of uncertainty or other unforeseen events that impact upon the ability of the contractor to undertake the survey according to the planned schedule, the Natural England Project Officer should be contacted at the earliest opportunity, and surveys rescheduled.</w:t>
      </w:r>
    </w:p>
    <w:p w14:paraId="2CEB7925" w14:textId="56E78545" w:rsidR="003D0D90" w:rsidRPr="003D0D90" w:rsidRDefault="003D0D90" w:rsidP="003D0D90">
      <w:pPr>
        <w:rPr>
          <w:b/>
          <w:bCs/>
        </w:rPr>
      </w:pPr>
      <w:r w:rsidRPr="003D0D90">
        <w:rPr>
          <w:b/>
          <w:bCs/>
        </w:rPr>
        <w:t>Data Standards</w:t>
      </w:r>
    </w:p>
    <w:p w14:paraId="54735093" w14:textId="7C8F9F9E" w:rsidR="003D0D90" w:rsidRDefault="00226F72" w:rsidP="003D0D90">
      <w:r>
        <w:t xml:space="preserve">Draft reports should be provided in electronic MS Office Word format for review. A report template and accessibility requirements guidance exists for writing Natural England commissioned reports and should be followed. The Natural England project manager will send over these requirements on signing of a contract.  </w:t>
      </w:r>
      <w:r w:rsidR="00D61EFE" w:rsidRPr="001A69AD">
        <w:t>Created</w:t>
      </w:r>
      <w:r w:rsidR="00D61EFE" w:rsidRPr="00ED16ED">
        <w:t xml:space="preserve"> works such as reports, images, map layers, films, audio recordings, software, code, and datasets or databases are legally protected from certain types of re-use. Where you are acquiring an existing </w:t>
      </w:r>
      <w:proofErr w:type="gramStart"/>
      <w:r w:rsidR="00D61EFE" w:rsidRPr="00ED16ED">
        <w:t>work, or</w:t>
      </w:r>
      <w:proofErr w:type="gramEnd"/>
      <w:r w:rsidR="00D61EFE" w:rsidRPr="00ED16ED">
        <w:t xml:space="preserve"> commissioning the creation of a new work which may incorporate a third party's work, you need to specify compatibility with your use, sharing and onward licensing requirements.</w:t>
      </w:r>
    </w:p>
    <w:p w14:paraId="5B8C3124" w14:textId="65D3A7F5" w:rsidR="003D0D90" w:rsidRPr="003D0D90" w:rsidRDefault="003D0D90" w:rsidP="003D0D90">
      <w:r w:rsidRPr="003D0D90">
        <w:t xml:space="preserve">Particular attention should be given to the data and GIS required formats for </w:t>
      </w:r>
      <w:proofErr w:type="gramStart"/>
      <w:r w:rsidRPr="003D0D90">
        <w:t>information  compatibility</w:t>
      </w:r>
      <w:proofErr w:type="gramEnd"/>
      <w:r w:rsidRPr="003D0D90">
        <w:t xml:space="preserve"> including MEDIN metadata standards and Marine Recorder provision. All interpreted products following data analysis should accompany the draft report, these will include: </w:t>
      </w:r>
    </w:p>
    <w:p w14:paraId="2C46180F" w14:textId="77777777" w:rsidR="003D0D90" w:rsidRPr="003D0D90" w:rsidRDefault="003D0D90" w:rsidP="003D0D90">
      <w:pPr>
        <w:numPr>
          <w:ilvl w:val="0"/>
          <w:numId w:val="13"/>
        </w:numPr>
      </w:pPr>
      <w:r w:rsidRPr="003D0D90">
        <w:t>All GIS datasets need to be provided in ESRI ArcGIS format compatible with ArcGIS version 10.2 and have attached metadata. </w:t>
      </w:r>
    </w:p>
    <w:p w14:paraId="1815B318" w14:textId="77777777" w:rsidR="003D0D90" w:rsidRPr="003D0D90" w:rsidRDefault="003D0D90" w:rsidP="003D0D90">
      <w:pPr>
        <w:numPr>
          <w:ilvl w:val="0"/>
          <w:numId w:val="14"/>
        </w:numPr>
      </w:pPr>
      <w:r w:rsidRPr="003D0D90">
        <w:t xml:space="preserve">All GIS files containing habitat data for each individual survey need to be produced to the MESH (https://www.emodnet-seabedhabitats.eu/contribute-data/habitat-map-submission-process/) translated habitat Data Exchange Format (DEF) to the most detailed EUNIS habitat level possible. MNCR (v15.03) data should be added to the ORIG_HAB column. The GUI provided by Natural England for each survey will be used, and as much information as possible (e.g. survey name, originally assigned feature/habitat name etc.) from the original dataset, as well as any documentation </w:t>
      </w:r>
      <w:r w:rsidRPr="003D0D90">
        <w:lastRenderedPageBreak/>
        <w:t>provided (where available) should be included in the resulting datasets to maintain a useful audit trail. As specified in the MESH DEF, data files must be provided as ESRI Shapefiles using geographic coordinates (</w:t>
      </w:r>
      <w:proofErr w:type="spellStart"/>
      <w:r w:rsidRPr="003D0D90">
        <w:t>lat</w:t>
      </w:r>
      <w:proofErr w:type="spellEnd"/>
      <w:r w:rsidRPr="003D0D90">
        <w:t>/long) and the WGS84 datum. If the datasets supplied are in other projections, transformation using the appropriate petroleum (EPSG) transformation should be carried out as part of the data formatting procedure. </w:t>
      </w:r>
    </w:p>
    <w:p w14:paraId="138469AD" w14:textId="77777777" w:rsidR="003D0D90" w:rsidRPr="003D0D90" w:rsidRDefault="003D0D90" w:rsidP="003D0D90">
      <w:pPr>
        <w:numPr>
          <w:ilvl w:val="0"/>
          <w:numId w:val="15"/>
        </w:numPr>
      </w:pPr>
      <w:r w:rsidRPr="003D0D90">
        <w:t>If not included in the GIS data layers listed above all sampling locations, vessels tracks, and links to data obtained should also be included as a single GI layer. </w:t>
      </w:r>
    </w:p>
    <w:p w14:paraId="59D6D009" w14:textId="77777777" w:rsidR="003D0D90" w:rsidRPr="003D0D90" w:rsidRDefault="003D0D90" w:rsidP="003D0D90">
      <w:pPr>
        <w:numPr>
          <w:ilvl w:val="0"/>
          <w:numId w:val="16"/>
        </w:numPr>
      </w:pPr>
      <w:r w:rsidRPr="003D0D90">
        <w:t>A MESH data confidence assessment for each habitat map should be calculated and provided in a ‘MESH confidence scoresheet’.XLS file. The confidence assessment process is described and a template provided in the following MESH resources (</w:t>
      </w:r>
      <w:hyperlink r:id="rId15" w:tgtFrame="_blank" w:history="1">
        <w:r w:rsidRPr="003D0D90">
          <w:rPr>
            <w:rStyle w:val="Hyperlink"/>
            <w:color w:val="auto"/>
          </w:rPr>
          <w:t>http://www.emodnet-seabedhabitats.eu/default.aspx?page=1693</w:t>
        </w:r>
      </w:hyperlink>
      <w:r w:rsidRPr="003D0D90">
        <w:t>). </w:t>
      </w:r>
    </w:p>
    <w:p w14:paraId="20F7E055" w14:textId="77777777" w:rsidR="003D0D90" w:rsidRPr="003D0D90" w:rsidRDefault="003D0D90" w:rsidP="003D0D90">
      <w:pPr>
        <w:numPr>
          <w:ilvl w:val="0"/>
          <w:numId w:val="17"/>
        </w:numPr>
      </w:pPr>
      <w:r w:rsidRPr="003D0D90">
        <w:t xml:space="preserve">Natural England endorses the MEDIN (Marine Environmental Data and Information Network) initiative. Any data gathered/derived as part of this project must be submitted to Natural England in a way which expedites the MEDIN data archiving process through Data Archive Centres (DACs) with metadata meeting the MEDIN metadata discovery standard (https://medin.org.uk/medin-discovery-metadata-standard). A MEDIN compliant metadata XML file must be provided for each survey. Natural England will supply a ‘MEDIN guidance for contractors’ document to successful contractors at the </w:t>
      </w:r>
      <w:proofErr w:type="spellStart"/>
      <w:r w:rsidRPr="003D0D90">
        <w:t>minitender</w:t>
      </w:r>
      <w:proofErr w:type="spellEnd"/>
      <w:r w:rsidRPr="003D0D90">
        <w:t xml:space="preserve"> stage. </w:t>
      </w:r>
    </w:p>
    <w:p w14:paraId="6065E868" w14:textId="77777777" w:rsidR="003D0D90" w:rsidRPr="003D0D90" w:rsidRDefault="003D0D90" w:rsidP="003D0D90">
      <w:pPr>
        <w:numPr>
          <w:ilvl w:val="0"/>
          <w:numId w:val="18"/>
        </w:numPr>
      </w:pPr>
      <w:r w:rsidRPr="003D0D90">
        <w:t>All sample data (quadrat data, video/still photography analyses, diver survey species, PSA analysis and biotope lists, biological taxon data etc.) need to be entered into Marine Recorder. NBNdata.mdb (or similar) and an exported snapshot file of the data should be provided for QA. Licence keys will be provided for Marine Recorder together with a ‘Marine Recorder guidance for contractors’ document to successful contractors at the mini-tender stage. </w:t>
      </w:r>
    </w:p>
    <w:p w14:paraId="4091BB38" w14:textId="77777777" w:rsidR="003D0D90" w:rsidRPr="003D0D90" w:rsidRDefault="003D0D90" w:rsidP="003D0D90">
      <w:pPr>
        <w:numPr>
          <w:ilvl w:val="0"/>
          <w:numId w:val="19"/>
        </w:numPr>
      </w:pPr>
      <w:r w:rsidRPr="003D0D90">
        <w:t xml:space="preserve">Any records of INNS observed must be recorded using Marine Recorder. Any species currently listed as ‘alert’ species should be flagged immediately to the GB </w:t>
      </w:r>
      <w:proofErr w:type="gramStart"/>
      <w:r w:rsidRPr="003D0D90">
        <w:t>Non Native</w:t>
      </w:r>
      <w:proofErr w:type="gramEnd"/>
      <w:r w:rsidRPr="003D0D90">
        <w:t xml:space="preserve"> Species Secretariat http://www.nonnativespecies.org/alerts/index.cfm. More information and guidance including ID guides can be found at www.nonnativespecies.org and the Marine Aliens Project </w:t>
      </w:r>
    </w:p>
    <w:p w14:paraId="31C81A3A" w14:textId="77777777" w:rsidR="003D0D90" w:rsidRPr="003D0D90" w:rsidRDefault="003D0D90" w:rsidP="003D0D90">
      <w:pPr>
        <w:numPr>
          <w:ilvl w:val="0"/>
          <w:numId w:val="20"/>
        </w:numPr>
      </w:pPr>
      <w:r w:rsidRPr="003D0D90">
        <w:t xml:space="preserve">Copies of the original data spreadsheets or databases are to be provided in the appropriate Microsoft Office format. However please be aware that using MEDIN marine biodiversity data guideline spreadsheets (available online under the marine biodiversity tab at </w:t>
      </w:r>
      <w:hyperlink r:id="rId16" w:tgtFrame="_blank" w:history="1">
        <w:r w:rsidRPr="003D0D90">
          <w:rPr>
            <w:rStyle w:val="Hyperlink"/>
            <w:color w:val="auto"/>
          </w:rPr>
          <w:t>http://www.oceannet.org/marine_data_standards/medin_data_guidelines.html</w:t>
        </w:r>
      </w:hyperlink>
      <w:r w:rsidRPr="003D0D90">
        <w:t xml:space="preserve"> will ensure that biological taxon data is prepared correctly for entry into marine recorder and will facilitate the efficient entry of data into this system and the data archiving process in general. Natural England welcomes and supports the provision of raw data spreadsheets in the MEDIN format and expects that all raw datasheets will contain the mandatory fields in the MEDIN guidelines, regardless of their format. </w:t>
      </w:r>
    </w:p>
    <w:p w14:paraId="64A2F677" w14:textId="77777777" w:rsidR="003D0D90" w:rsidRPr="003D0D90" w:rsidRDefault="003D0D90" w:rsidP="003D0D90">
      <w:pPr>
        <w:numPr>
          <w:ilvl w:val="0"/>
          <w:numId w:val="21"/>
        </w:numPr>
      </w:pPr>
      <w:r w:rsidRPr="003D0D90">
        <w:lastRenderedPageBreak/>
        <w:t>Standard survey imagery (stills, video) is to be provided in their raw format. </w:t>
      </w:r>
    </w:p>
    <w:p w14:paraId="5AD61370" w14:textId="77777777" w:rsidR="003D0D90" w:rsidRPr="003D0D90" w:rsidRDefault="003D0D90" w:rsidP="003D0D90">
      <w:pPr>
        <w:numPr>
          <w:ilvl w:val="0"/>
          <w:numId w:val="22"/>
        </w:numPr>
      </w:pPr>
      <w:r w:rsidRPr="003D0D90">
        <w:t>High quality imagery which has been selected to form part of the image reference collection for the survey need to be labelled appropriately, including the habitat/species which is represented. These should be provided as a separate folder on the storage device to the standard survey imagery. </w:t>
      </w:r>
    </w:p>
    <w:p w14:paraId="61B49237" w14:textId="77777777" w:rsidR="003D0D90" w:rsidRPr="003D0D90" w:rsidRDefault="003D0D90" w:rsidP="003D0D90">
      <w:pPr>
        <w:numPr>
          <w:ilvl w:val="0"/>
          <w:numId w:val="23"/>
        </w:numPr>
      </w:pPr>
      <w:r w:rsidRPr="003D0D90">
        <w:t>All data products and electronic files must be appropriately named so they sufficiently describe the contents and are not purely a numerical value. All products should be named appropriately so that they can be clearly linked to the report/project. </w:t>
      </w:r>
    </w:p>
    <w:p w14:paraId="675A42B6" w14:textId="77777777" w:rsidR="003D0D90" w:rsidRPr="003D0D90" w:rsidRDefault="003D0D90" w:rsidP="003D0D90">
      <w:pPr>
        <w:numPr>
          <w:ilvl w:val="0"/>
          <w:numId w:val="24"/>
        </w:numPr>
      </w:pPr>
      <w:r w:rsidRPr="003D0D90">
        <w:t>Any species lists submitted will be compliant with current taxonomic names and synonyms (e.g. MSBIAS http://www.marinespecies.org/msbias/, World Register of Marine Species (</w:t>
      </w:r>
      <w:proofErr w:type="spellStart"/>
      <w:r w:rsidRPr="003D0D90">
        <w:t>WoRMS</w:t>
      </w:r>
      <w:proofErr w:type="spellEnd"/>
      <w:r w:rsidRPr="003D0D90">
        <w:t>)). </w:t>
      </w:r>
    </w:p>
    <w:p w14:paraId="1BF56391" w14:textId="77777777" w:rsidR="003D0D90" w:rsidRPr="003D0D90" w:rsidRDefault="003D0D90" w:rsidP="003D0D90">
      <w:r w:rsidRPr="003D0D90">
        <w:t> </w:t>
      </w:r>
    </w:p>
    <w:p w14:paraId="254F7DB8" w14:textId="6716AE94" w:rsidR="003D0D90" w:rsidRPr="003D0D90" w:rsidRDefault="003D0D90" w:rsidP="003D0D90">
      <w:r w:rsidRPr="003D0D90">
        <w:rPr>
          <w:b/>
          <w:bCs/>
        </w:rPr>
        <w:t>Intellectual property </w:t>
      </w:r>
      <w:r w:rsidRPr="003D0D90">
        <w:t> </w:t>
      </w:r>
    </w:p>
    <w:p w14:paraId="7596BC34" w14:textId="77777777" w:rsidR="003D0D90" w:rsidRPr="003D0D90" w:rsidRDefault="003D0D90" w:rsidP="003D0D90">
      <w:r w:rsidRPr="003D0D90">
        <w:t>The intellectual property rights and copyright for all products (including photographs) will lie with Natural England.  All data will be made available by Natural England under the Open Government Licence at the end of the project via MESH and the MEDIN Data Archiving Centres.  </w:t>
      </w:r>
    </w:p>
    <w:p w14:paraId="3FA35D31" w14:textId="77777777" w:rsidR="003D0D90" w:rsidRPr="003D0D90" w:rsidRDefault="003D0D90" w:rsidP="003D0D90"/>
    <w:p w14:paraId="56BE4C75" w14:textId="2FCFDD8E" w:rsidR="00E762F7" w:rsidRPr="00C23D6C" w:rsidRDefault="00E762F7" w:rsidP="00E762F7">
      <w:pPr>
        <w:pStyle w:val="Blockheading"/>
      </w:pPr>
      <w:r w:rsidRPr="00C23D6C">
        <w:t xml:space="preserve">Sustainability </w:t>
      </w:r>
    </w:p>
    <w:p w14:paraId="5D8806BC" w14:textId="0945F344" w:rsidR="00E762F7" w:rsidRPr="00C23D6C" w:rsidRDefault="003D7E6B" w:rsidP="00E762F7">
      <w:r w:rsidRPr="003D7E6B">
        <w:rPr>
          <w:rStyle w:val="Important"/>
          <w:b w:val="0"/>
          <w:bCs/>
          <w:color w:val="auto"/>
        </w:rPr>
        <w:t>Natural England</w:t>
      </w:r>
      <w:r w:rsidRPr="003D7E6B">
        <w:rPr>
          <w:rStyle w:val="Important"/>
          <w:color w:val="auto"/>
        </w:rPr>
        <w:t xml:space="preserve"> </w:t>
      </w:r>
      <w:r w:rsidR="00E762F7" w:rsidRPr="003D7E6B">
        <w:t xml:space="preserve">protects </w:t>
      </w:r>
      <w:r w:rsidR="00E762F7" w:rsidRPr="00C23D6C">
        <w:t xml:space="preserve">and improves the environment and is committed to reducing the sustainability impacts of its activities directly and through its supply chains.  We expect the Contractor to share this commitment and adopt a sound, proactive sustainable approach in keeping with the </w:t>
      </w:r>
      <w:r w:rsidRPr="00C23D6C">
        <w:t>25-yr</w:t>
      </w:r>
      <w:r w:rsidR="00E762F7"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9CC7770" w14:textId="08755D85" w:rsidR="00772645" w:rsidRPr="00C23D6C" w:rsidRDefault="00E762F7" w:rsidP="00E762F7">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772645">
        <w:t>.</w:t>
      </w:r>
    </w:p>
    <w:p w14:paraId="22D89B49" w14:textId="354C8E70" w:rsidR="0069616D" w:rsidRPr="0069616D" w:rsidRDefault="00E762F7" w:rsidP="0069616D">
      <w:pPr>
        <w:pStyle w:val="Blockheading"/>
      </w:pPr>
      <w:r w:rsidRPr="00C23D6C">
        <w:lastRenderedPageBreak/>
        <w:t>Outputs and Contract Management</w:t>
      </w:r>
    </w:p>
    <w:tbl>
      <w:tblPr>
        <w:tblStyle w:val="Table"/>
        <w:tblpPr w:leftFromText="180" w:rightFromText="180" w:vertAnchor="text" w:horzAnchor="margin" w:tblpY="367"/>
        <w:tblW w:w="0" w:type="auto"/>
        <w:jc w:val="left"/>
        <w:tblLook w:val="04A0" w:firstRow="1" w:lastRow="0" w:firstColumn="1" w:lastColumn="0" w:noHBand="0" w:noVBand="1"/>
      </w:tblPr>
      <w:tblGrid>
        <w:gridCol w:w="1555"/>
        <w:gridCol w:w="2763"/>
        <w:gridCol w:w="2159"/>
        <w:gridCol w:w="2874"/>
      </w:tblGrid>
      <w:tr w:rsidR="00772645" w14:paraId="1BE14181" w14:textId="77777777" w:rsidTr="46FD0A06">
        <w:trPr>
          <w:cnfStyle w:val="100000000000" w:firstRow="1" w:lastRow="0" w:firstColumn="0" w:lastColumn="0" w:oddVBand="0" w:evenVBand="0" w:oddHBand="0" w:evenHBand="0" w:firstRowFirstColumn="0" w:firstRowLastColumn="0" w:lastRowFirstColumn="0" w:lastRowLastColumn="0"/>
          <w:jc w:val="left"/>
        </w:trPr>
        <w:tc>
          <w:tcPr>
            <w:tcW w:w="1555" w:type="dxa"/>
          </w:tcPr>
          <w:p w14:paraId="61BAB2D3" w14:textId="77777777" w:rsidR="00772645" w:rsidRPr="00C23D6C" w:rsidRDefault="00772645" w:rsidP="46FD0A06">
            <w:pPr>
              <w:rPr>
                <w:rStyle w:val="Text"/>
                <w:color w:val="FF0000"/>
              </w:rPr>
            </w:pPr>
            <w:r w:rsidRPr="46FD0A06">
              <w:rPr>
                <w:rStyle w:val="Text"/>
                <w:color w:val="FF0000"/>
              </w:rPr>
              <w:t>Reference</w:t>
            </w:r>
          </w:p>
        </w:tc>
        <w:tc>
          <w:tcPr>
            <w:tcW w:w="2763" w:type="dxa"/>
          </w:tcPr>
          <w:p w14:paraId="526B31C7" w14:textId="77777777" w:rsidR="00772645" w:rsidRPr="00C23D6C" w:rsidRDefault="00772645" w:rsidP="46FD0A06">
            <w:pPr>
              <w:rPr>
                <w:rStyle w:val="Text"/>
                <w:color w:val="FF0000"/>
              </w:rPr>
            </w:pPr>
            <w:r w:rsidRPr="46FD0A06">
              <w:rPr>
                <w:rStyle w:val="Text"/>
                <w:color w:val="FF0000"/>
              </w:rPr>
              <w:t>Deliverable</w:t>
            </w:r>
          </w:p>
        </w:tc>
        <w:tc>
          <w:tcPr>
            <w:tcW w:w="2159" w:type="dxa"/>
          </w:tcPr>
          <w:p w14:paraId="7561730F" w14:textId="77777777" w:rsidR="00772645" w:rsidRPr="00C23D6C" w:rsidRDefault="00772645" w:rsidP="46FD0A06">
            <w:pPr>
              <w:rPr>
                <w:rStyle w:val="Text"/>
                <w:color w:val="FF0000"/>
              </w:rPr>
            </w:pPr>
            <w:r w:rsidRPr="46FD0A06">
              <w:rPr>
                <w:rStyle w:val="Text"/>
                <w:color w:val="FF0000"/>
              </w:rPr>
              <w:t>Responsible Party</w:t>
            </w:r>
          </w:p>
        </w:tc>
        <w:tc>
          <w:tcPr>
            <w:tcW w:w="2874" w:type="dxa"/>
          </w:tcPr>
          <w:p w14:paraId="36880980" w14:textId="77777777" w:rsidR="00772645" w:rsidRPr="00C23D6C" w:rsidRDefault="00772645" w:rsidP="46FD0A06">
            <w:pPr>
              <w:rPr>
                <w:rStyle w:val="Text"/>
                <w:color w:val="FF0000"/>
              </w:rPr>
            </w:pPr>
            <w:r w:rsidRPr="46FD0A06">
              <w:rPr>
                <w:rStyle w:val="Text"/>
                <w:color w:val="FF0000"/>
              </w:rPr>
              <w:t>Date of completion</w:t>
            </w:r>
          </w:p>
        </w:tc>
      </w:tr>
      <w:tr w:rsidR="00772645" w14:paraId="1AC12755" w14:textId="77777777" w:rsidTr="46FD0A06">
        <w:trPr>
          <w:jc w:val="left"/>
        </w:trPr>
        <w:tc>
          <w:tcPr>
            <w:tcW w:w="1555" w:type="dxa"/>
          </w:tcPr>
          <w:p w14:paraId="2B9AA8B6" w14:textId="202D3A5B" w:rsidR="00772645" w:rsidRPr="00F32CA5" w:rsidRDefault="00D73CE6" w:rsidP="46FD0A06">
            <w:pPr>
              <w:rPr>
                <w:rFonts w:eastAsia="Arial" w:cs="Times New Roman"/>
                <w:color w:val="auto"/>
              </w:rPr>
            </w:pPr>
            <w:r>
              <w:rPr>
                <w:rFonts w:eastAsia="Arial" w:cs="Times New Roman"/>
                <w:color w:val="auto"/>
              </w:rPr>
              <w:t>1</w:t>
            </w:r>
          </w:p>
        </w:tc>
        <w:tc>
          <w:tcPr>
            <w:tcW w:w="2763" w:type="dxa"/>
          </w:tcPr>
          <w:p w14:paraId="67472675" w14:textId="7056C8CE" w:rsidR="00772645" w:rsidRPr="00F32CA5" w:rsidRDefault="00D73CE6" w:rsidP="46FD0A06">
            <w:pPr>
              <w:rPr>
                <w:rFonts w:eastAsia="Arial" w:cs="Times New Roman"/>
                <w:color w:val="auto"/>
              </w:rPr>
            </w:pPr>
            <w:r>
              <w:rPr>
                <w:rFonts w:eastAsia="Arial" w:cs="Times New Roman"/>
                <w:color w:val="auto"/>
              </w:rPr>
              <w:t xml:space="preserve">Draft </w:t>
            </w:r>
            <w:r w:rsidR="00CC1AD1">
              <w:rPr>
                <w:rFonts w:eastAsia="Arial" w:cs="Times New Roman"/>
                <w:color w:val="auto"/>
              </w:rPr>
              <w:t>s</w:t>
            </w:r>
            <w:r>
              <w:rPr>
                <w:rFonts w:eastAsia="Arial" w:cs="Times New Roman"/>
                <w:color w:val="auto"/>
              </w:rPr>
              <w:t>urvey</w:t>
            </w:r>
            <w:r w:rsidR="00CC1AD1">
              <w:rPr>
                <w:rFonts w:eastAsia="Arial" w:cs="Times New Roman"/>
                <w:color w:val="auto"/>
              </w:rPr>
              <w:t xml:space="preserve"> p</w:t>
            </w:r>
            <w:r>
              <w:rPr>
                <w:rFonts w:eastAsia="Arial" w:cs="Times New Roman"/>
                <w:color w:val="auto"/>
              </w:rPr>
              <w:t>lan</w:t>
            </w:r>
            <w:r w:rsidR="00CC1AD1">
              <w:rPr>
                <w:rFonts w:eastAsia="Arial" w:cs="Times New Roman"/>
                <w:color w:val="auto"/>
              </w:rPr>
              <w:t xml:space="preserve"> and draft risk assessments</w:t>
            </w:r>
          </w:p>
        </w:tc>
        <w:tc>
          <w:tcPr>
            <w:tcW w:w="2159" w:type="dxa"/>
          </w:tcPr>
          <w:p w14:paraId="2F9B3643" w14:textId="43CF1667" w:rsidR="00772645" w:rsidRPr="00F32CA5" w:rsidRDefault="00956D82" w:rsidP="46FD0A06">
            <w:pPr>
              <w:rPr>
                <w:rFonts w:eastAsia="Arial" w:cs="Times New Roman"/>
                <w:color w:val="auto"/>
              </w:rPr>
            </w:pPr>
            <w:r>
              <w:rPr>
                <w:rFonts w:eastAsia="Arial" w:cs="Times New Roman"/>
                <w:color w:val="auto"/>
              </w:rPr>
              <w:t>Produced by contractor, NE review</w:t>
            </w:r>
            <w:r w:rsidR="00CC1AD1">
              <w:rPr>
                <w:rFonts w:eastAsia="Arial" w:cs="Times New Roman"/>
                <w:color w:val="auto"/>
              </w:rPr>
              <w:t xml:space="preserve"> and comments</w:t>
            </w:r>
          </w:p>
        </w:tc>
        <w:tc>
          <w:tcPr>
            <w:tcW w:w="2874" w:type="dxa"/>
          </w:tcPr>
          <w:p w14:paraId="707D876C" w14:textId="70FD3BC2" w:rsidR="000C65A4" w:rsidRPr="00D8680B" w:rsidRDefault="000C65A4" w:rsidP="46FD0A06">
            <w:pPr>
              <w:rPr>
                <w:rFonts w:eastAsia="Arial" w:cs="Times New Roman"/>
                <w:color w:val="auto"/>
              </w:rPr>
            </w:pPr>
            <w:r>
              <w:rPr>
                <w:rFonts w:eastAsia="Arial" w:cs="Times New Roman"/>
                <w:color w:val="auto"/>
              </w:rPr>
              <w:t>As soon as possible</w:t>
            </w:r>
          </w:p>
        </w:tc>
      </w:tr>
      <w:tr w:rsidR="00772645" w14:paraId="6FFC5D46" w14:textId="77777777" w:rsidTr="46FD0A06">
        <w:trPr>
          <w:jc w:val="left"/>
        </w:trPr>
        <w:tc>
          <w:tcPr>
            <w:tcW w:w="1555" w:type="dxa"/>
          </w:tcPr>
          <w:p w14:paraId="7F0EAD55" w14:textId="425930C3" w:rsidR="00772645" w:rsidRPr="00F32CA5" w:rsidRDefault="00956D82" w:rsidP="46FD0A06">
            <w:pPr>
              <w:rPr>
                <w:rFonts w:eastAsia="Arial" w:cs="Times New Roman"/>
                <w:color w:val="auto"/>
              </w:rPr>
            </w:pPr>
            <w:r>
              <w:rPr>
                <w:rFonts w:eastAsia="Arial" w:cs="Times New Roman"/>
                <w:color w:val="auto"/>
              </w:rPr>
              <w:t>2</w:t>
            </w:r>
          </w:p>
        </w:tc>
        <w:tc>
          <w:tcPr>
            <w:tcW w:w="2763" w:type="dxa"/>
          </w:tcPr>
          <w:p w14:paraId="711CA4B1" w14:textId="591115FE" w:rsidR="00772645" w:rsidRPr="00F32CA5" w:rsidRDefault="00D73CE6" w:rsidP="46FD0A06">
            <w:pPr>
              <w:rPr>
                <w:rFonts w:eastAsia="Arial" w:cs="Times New Roman"/>
                <w:color w:val="auto"/>
              </w:rPr>
            </w:pPr>
            <w:r>
              <w:rPr>
                <w:rFonts w:eastAsia="Arial" w:cs="Times New Roman"/>
                <w:color w:val="auto"/>
              </w:rPr>
              <w:t xml:space="preserve">Final </w:t>
            </w:r>
            <w:r w:rsidR="00CC1AD1">
              <w:rPr>
                <w:rFonts w:eastAsia="Arial" w:cs="Times New Roman"/>
                <w:color w:val="auto"/>
              </w:rPr>
              <w:t>s</w:t>
            </w:r>
            <w:r>
              <w:rPr>
                <w:rFonts w:eastAsia="Arial" w:cs="Times New Roman"/>
                <w:color w:val="auto"/>
              </w:rPr>
              <w:t xml:space="preserve">urvey </w:t>
            </w:r>
            <w:r w:rsidR="00CC1AD1">
              <w:rPr>
                <w:rFonts w:eastAsia="Arial" w:cs="Times New Roman"/>
                <w:color w:val="auto"/>
              </w:rPr>
              <w:t>p</w:t>
            </w:r>
            <w:r>
              <w:rPr>
                <w:rFonts w:eastAsia="Arial" w:cs="Times New Roman"/>
                <w:color w:val="auto"/>
              </w:rPr>
              <w:t>lan</w:t>
            </w:r>
            <w:r w:rsidR="00CC1AD1">
              <w:rPr>
                <w:rFonts w:eastAsia="Arial" w:cs="Times New Roman"/>
                <w:color w:val="auto"/>
              </w:rPr>
              <w:t xml:space="preserve"> and final risk assessments</w:t>
            </w:r>
          </w:p>
        </w:tc>
        <w:tc>
          <w:tcPr>
            <w:tcW w:w="2159" w:type="dxa"/>
          </w:tcPr>
          <w:p w14:paraId="72E6FC3B" w14:textId="29B8BE6E" w:rsidR="00772645" w:rsidRPr="00F32CA5" w:rsidRDefault="00956D82" w:rsidP="46FD0A06">
            <w:pPr>
              <w:rPr>
                <w:rFonts w:eastAsia="Arial" w:cs="Times New Roman"/>
                <w:color w:val="auto"/>
              </w:rPr>
            </w:pPr>
            <w:r>
              <w:rPr>
                <w:rFonts w:eastAsia="Arial" w:cs="Times New Roman"/>
                <w:color w:val="auto"/>
              </w:rPr>
              <w:t>Produced by contractor, NE review</w:t>
            </w:r>
            <w:r w:rsidR="00CC1AD1">
              <w:rPr>
                <w:rFonts w:eastAsia="Arial" w:cs="Times New Roman"/>
                <w:color w:val="auto"/>
              </w:rPr>
              <w:t xml:space="preserve"> and sign-off</w:t>
            </w:r>
          </w:p>
        </w:tc>
        <w:tc>
          <w:tcPr>
            <w:tcW w:w="2874" w:type="dxa"/>
          </w:tcPr>
          <w:p w14:paraId="22674CDC" w14:textId="1B966FE6" w:rsidR="000C65A4" w:rsidRPr="00D8680B" w:rsidRDefault="00105A2A" w:rsidP="46FD0A06">
            <w:pPr>
              <w:rPr>
                <w:rFonts w:eastAsia="Arial" w:cs="Times New Roman"/>
                <w:color w:val="auto"/>
              </w:rPr>
            </w:pPr>
            <w:r>
              <w:rPr>
                <w:rFonts w:eastAsia="Arial" w:cs="Times New Roman"/>
                <w:color w:val="auto"/>
              </w:rPr>
              <w:t>One week b</w:t>
            </w:r>
            <w:r w:rsidR="000C65A4">
              <w:rPr>
                <w:rFonts w:eastAsia="Arial" w:cs="Times New Roman"/>
                <w:color w:val="auto"/>
              </w:rPr>
              <w:t xml:space="preserve">efore the </w:t>
            </w:r>
            <w:r>
              <w:rPr>
                <w:rFonts w:eastAsia="Arial" w:cs="Times New Roman"/>
                <w:color w:val="auto"/>
              </w:rPr>
              <w:t>proposed survey window</w:t>
            </w:r>
          </w:p>
        </w:tc>
      </w:tr>
      <w:tr w:rsidR="00605814" w14:paraId="56E9E786" w14:textId="77777777" w:rsidTr="46FD0A06">
        <w:trPr>
          <w:jc w:val="left"/>
        </w:trPr>
        <w:tc>
          <w:tcPr>
            <w:tcW w:w="1555" w:type="dxa"/>
          </w:tcPr>
          <w:p w14:paraId="3F933FF7" w14:textId="72B08539" w:rsidR="00605814" w:rsidRPr="00F32CA5" w:rsidRDefault="00956D82" w:rsidP="00605814">
            <w:pPr>
              <w:rPr>
                <w:rFonts w:eastAsia="Arial" w:cs="Times New Roman"/>
                <w:color w:val="auto"/>
              </w:rPr>
            </w:pPr>
            <w:r>
              <w:rPr>
                <w:rFonts w:eastAsia="Arial" w:cs="Times New Roman"/>
                <w:color w:val="auto"/>
              </w:rPr>
              <w:t>3</w:t>
            </w:r>
          </w:p>
        </w:tc>
        <w:tc>
          <w:tcPr>
            <w:tcW w:w="2763" w:type="dxa"/>
          </w:tcPr>
          <w:p w14:paraId="0F09B230" w14:textId="6D3C9928" w:rsidR="00605814" w:rsidRPr="00F32CA5" w:rsidRDefault="00956D82" w:rsidP="00605814">
            <w:pPr>
              <w:rPr>
                <w:rFonts w:eastAsia="Arial" w:cs="Times New Roman"/>
                <w:color w:val="auto"/>
              </w:rPr>
            </w:pPr>
            <w:r>
              <w:rPr>
                <w:rFonts w:eastAsia="Arial" w:cs="Times New Roman"/>
                <w:color w:val="auto"/>
              </w:rPr>
              <w:t xml:space="preserve">Field </w:t>
            </w:r>
            <w:r w:rsidR="00A9433C">
              <w:rPr>
                <w:rFonts w:eastAsia="Arial" w:cs="Times New Roman"/>
                <w:color w:val="auto"/>
              </w:rPr>
              <w:t>campaign</w:t>
            </w:r>
          </w:p>
        </w:tc>
        <w:tc>
          <w:tcPr>
            <w:tcW w:w="2159" w:type="dxa"/>
          </w:tcPr>
          <w:p w14:paraId="02058B8C" w14:textId="3A56DFE3" w:rsidR="00605814" w:rsidRPr="00F32CA5" w:rsidRDefault="00956D82" w:rsidP="00605814">
            <w:pPr>
              <w:rPr>
                <w:rFonts w:eastAsia="Arial" w:cs="Times New Roman"/>
                <w:color w:val="auto"/>
              </w:rPr>
            </w:pPr>
            <w:r>
              <w:rPr>
                <w:rFonts w:eastAsia="Arial" w:cs="Times New Roman"/>
                <w:color w:val="auto"/>
              </w:rPr>
              <w:t>Contractor</w:t>
            </w:r>
          </w:p>
        </w:tc>
        <w:tc>
          <w:tcPr>
            <w:tcW w:w="2874" w:type="dxa"/>
          </w:tcPr>
          <w:p w14:paraId="29C71E80" w14:textId="704E2678" w:rsidR="00605814" w:rsidRPr="00F32CA5" w:rsidRDefault="00501246" w:rsidP="00605814">
            <w:pPr>
              <w:rPr>
                <w:rFonts w:eastAsia="Arial" w:cs="Times New Roman"/>
                <w:color w:val="auto"/>
              </w:rPr>
            </w:pPr>
            <w:r>
              <w:rPr>
                <w:rFonts w:eastAsia="Arial" w:cs="Times New Roman"/>
                <w:color w:val="auto"/>
              </w:rPr>
              <w:t>Possible windows 19</w:t>
            </w:r>
            <w:r w:rsidR="00AE364F">
              <w:rPr>
                <w:rFonts w:eastAsia="Arial" w:cs="Times New Roman"/>
                <w:color w:val="auto"/>
              </w:rPr>
              <w:t>-2</w:t>
            </w:r>
            <w:r>
              <w:rPr>
                <w:rFonts w:eastAsia="Arial" w:cs="Times New Roman"/>
                <w:color w:val="auto"/>
              </w:rPr>
              <w:t>3</w:t>
            </w:r>
            <w:r w:rsidR="00AE364F">
              <w:rPr>
                <w:rFonts w:eastAsia="Arial" w:cs="Times New Roman"/>
                <w:color w:val="auto"/>
              </w:rPr>
              <w:t xml:space="preserve"> </w:t>
            </w:r>
            <w:r w:rsidR="00086FF6">
              <w:rPr>
                <w:rFonts w:eastAsia="Arial" w:cs="Times New Roman"/>
                <w:color w:val="auto"/>
              </w:rPr>
              <w:t>Nov</w:t>
            </w:r>
            <w:r w:rsidR="00261C74">
              <w:rPr>
                <w:rFonts w:eastAsia="Arial" w:cs="Times New Roman"/>
                <w:color w:val="auto"/>
              </w:rPr>
              <w:t>ember</w:t>
            </w:r>
            <w:r w:rsidR="00086FF6">
              <w:rPr>
                <w:rFonts w:eastAsia="Arial" w:cs="Times New Roman"/>
                <w:color w:val="auto"/>
              </w:rPr>
              <w:t xml:space="preserve"> 2025</w:t>
            </w:r>
            <w:r w:rsidR="00261C74">
              <w:rPr>
                <w:rFonts w:eastAsia="Arial" w:cs="Times New Roman"/>
                <w:color w:val="auto"/>
              </w:rPr>
              <w:t xml:space="preserve"> </w:t>
            </w:r>
            <w:r>
              <w:rPr>
                <w:rFonts w:eastAsia="Arial" w:cs="Times New Roman"/>
                <w:color w:val="auto"/>
              </w:rPr>
              <w:t xml:space="preserve">or </w:t>
            </w:r>
            <w:r w:rsidR="00EC4DB3">
              <w:rPr>
                <w:rFonts w:eastAsia="Arial" w:cs="Times New Roman"/>
                <w:color w:val="auto"/>
              </w:rPr>
              <w:t>3</w:t>
            </w:r>
            <w:r w:rsidR="004506E7">
              <w:rPr>
                <w:rFonts w:eastAsia="Arial" w:cs="Times New Roman"/>
                <w:color w:val="auto"/>
              </w:rPr>
              <w:t>-</w:t>
            </w:r>
            <w:r w:rsidR="00EC4DB3">
              <w:rPr>
                <w:rFonts w:eastAsia="Arial" w:cs="Times New Roman"/>
                <w:color w:val="auto"/>
              </w:rPr>
              <w:t>9</w:t>
            </w:r>
            <w:r w:rsidR="004506E7">
              <w:rPr>
                <w:rFonts w:eastAsia="Arial" w:cs="Times New Roman"/>
                <w:color w:val="auto"/>
              </w:rPr>
              <w:t xml:space="preserve"> </w:t>
            </w:r>
            <w:r w:rsidR="00261C74">
              <w:rPr>
                <w:rFonts w:eastAsia="Arial" w:cs="Times New Roman"/>
                <w:color w:val="auto"/>
              </w:rPr>
              <w:t xml:space="preserve">December 2025 </w:t>
            </w:r>
          </w:p>
        </w:tc>
      </w:tr>
      <w:tr w:rsidR="00605814" w14:paraId="24BE6377" w14:textId="77777777" w:rsidTr="46FD0A06">
        <w:trPr>
          <w:jc w:val="left"/>
        </w:trPr>
        <w:tc>
          <w:tcPr>
            <w:tcW w:w="1555" w:type="dxa"/>
          </w:tcPr>
          <w:p w14:paraId="2DFE7271" w14:textId="78F3DA7C" w:rsidR="00605814" w:rsidRPr="00F32CA5" w:rsidRDefault="00956D82" w:rsidP="00605814">
            <w:r>
              <w:t>4</w:t>
            </w:r>
          </w:p>
        </w:tc>
        <w:tc>
          <w:tcPr>
            <w:tcW w:w="2763" w:type="dxa"/>
          </w:tcPr>
          <w:p w14:paraId="157937B1" w14:textId="1D05B772" w:rsidR="00605814" w:rsidRPr="00F32CA5" w:rsidRDefault="00956D82" w:rsidP="00605814">
            <w:r>
              <w:t>Survey report</w:t>
            </w:r>
            <w:r w:rsidR="00EF02D9">
              <w:t xml:space="preserve"> with </w:t>
            </w:r>
            <w:r w:rsidR="003F3B6A">
              <w:t xml:space="preserve">excel </w:t>
            </w:r>
            <w:r w:rsidR="00EF02D9">
              <w:t>datasheets</w:t>
            </w:r>
          </w:p>
        </w:tc>
        <w:tc>
          <w:tcPr>
            <w:tcW w:w="2159" w:type="dxa"/>
          </w:tcPr>
          <w:p w14:paraId="665A3539" w14:textId="38A34F9D" w:rsidR="00605814" w:rsidRPr="00F32CA5" w:rsidRDefault="00956D82" w:rsidP="00605814">
            <w:r>
              <w:t>Contractor</w:t>
            </w:r>
          </w:p>
        </w:tc>
        <w:tc>
          <w:tcPr>
            <w:tcW w:w="2874" w:type="dxa"/>
          </w:tcPr>
          <w:p w14:paraId="2DB8C731" w14:textId="4E1C6CC8" w:rsidR="00605814" w:rsidRPr="00F32CA5" w:rsidRDefault="00414CEE" w:rsidP="00605814">
            <w:r>
              <w:t>Two weeks post-field work</w:t>
            </w:r>
          </w:p>
        </w:tc>
      </w:tr>
      <w:tr w:rsidR="00605814" w14:paraId="1FCE6CE6" w14:textId="77777777" w:rsidTr="46FD0A06">
        <w:trPr>
          <w:jc w:val="left"/>
        </w:trPr>
        <w:tc>
          <w:tcPr>
            <w:tcW w:w="1555" w:type="dxa"/>
          </w:tcPr>
          <w:p w14:paraId="2DC08438" w14:textId="3E11ADC6" w:rsidR="00605814" w:rsidRPr="00F32CA5" w:rsidRDefault="00956D82" w:rsidP="00605814">
            <w:pPr>
              <w:rPr>
                <w:rFonts w:eastAsia="Arial" w:cs="Times New Roman"/>
                <w:color w:val="auto"/>
              </w:rPr>
            </w:pPr>
            <w:r>
              <w:rPr>
                <w:rFonts w:eastAsia="Arial" w:cs="Times New Roman"/>
                <w:color w:val="auto"/>
              </w:rPr>
              <w:t>5</w:t>
            </w:r>
          </w:p>
        </w:tc>
        <w:tc>
          <w:tcPr>
            <w:tcW w:w="2763" w:type="dxa"/>
          </w:tcPr>
          <w:p w14:paraId="4D9D3195" w14:textId="3D74B643" w:rsidR="00605814" w:rsidRPr="00F32CA5" w:rsidRDefault="00956D82" w:rsidP="00605814">
            <w:pPr>
              <w:rPr>
                <w:rFonts w:eastAsia="Arial" w:cs="Times New Roman"/>
              </w:rPr>
            </w:pPr>
            <w:r>
              <w:rPr>
                <w:rFonts w:eastAsia="Arial" w:cs="Times New Roman"/>
              </w:rPr>
              <w:t xml:space="preserve">Draft technical report </w:t>
            </w:r>
          </w:p>
        </w:tc>
        <w:tc>
          <w:tcPr>
            <w:tcW w:w="2159" w:type="dxa"/>
          </w:tcPr>
          <w:p w14:paraId="228407C8" w14:textId="23C1F41D" w:rsidR="00605814" w:rsidRPr="00F32CA5" w:rsidRDefault="00956D82" w:rsidP="00605814">
            <w:pPr>
              <w:rPr>
                <w:rFonts w:eastAsia="Arial" w:cs="Times New Roman"/>
                <w:color w:val="auto"/>
              </w:rPr>
            </w:pPr>
            <w:r>
              <w:rPr>
                <w:rFonts w:eastAsia="Arial" w:cs="Times New Roman"/>
                <w:color w:val="auto"/>
              </w:rPr>
              <w:t>Produced by contractor, NE review</w:t>
            </w:r>
          </w:p>
        </w:tc>
        <w:tc>
          <w:tcPr>
            <w:tcW w:w="2874" w:type="dxa"/>
          </w:tcPr>
          <w:p w14:paraId="3E2B57A7" w14:textId="3636AE46" w:rsidR="00605814" w:rsidRPr="00F32CA5" w:rsidRDefault="00B778E4" w:rsidP="00605814">
            <w:pPr>
              <w:rPr>
                <w:rFonts w:eastAsia="Arial" w:cs="Times New Roman"/>
                <w:color w:val="auto"/>
              </w:rPr>
            </w:pPr>
            <w:r>
              <w:rPr>
                <w:rFonts w:eastAsia="Arial" w:cs="Times New Roman"/>
                <w:color w:val="auto"/>
              </w:rPr>
              <w:t xml:space="preserve">19 </w:t>
            </w:r>
            <w:r w:rsidR="00261C74">
              <w:rPr>
                <w:rFonts w:eastAsia="Arial" w:cs="Times New Roman"/>
                <w:color w:val="auto"/>
              </w:rPr>
              <w:t>December 2025</w:t>
            </w:r>
          </w:p>
        </w:tc>
      </w:tr>
      <w:tr w:rsidR="00605814" w14:paraId="022222B1" w14:textId="77777777" w:rsidTr="46FD0A06">
        <w:trPr>
          <w:jc w:val="left"/>
        </w:trPr>
        <w:tc>
          <w:tcPr>
            <w:tcW w:w="1555" w:type="dxa"/>
          </w:tcPr>
          <w:p w14:paraId="2618A6C6" w14:textId="47445FF8" w:rsidR="00605814" w:rsidRPr="00F32CA5" w:rsidRDefault="00956D82" w:rsidP="00605814">
            <w:pPr>
              <w:rPr>
                <w:rFonts w:eastAsia="Arial" w:cs="Times New Roman"/>
                <w:color w:val="auto"/>
              </w:rPr>
            </w:pPr>
            <w:r>
              <w:rPr>
                <w:rFonts w:eastAsia="Arial" w:cs="Times New Roman"/>
                <w:color w:val="auto"/>
              </w:rPr>
              <w:t>6</w:t>
            </w:r>
          </w:p>
        </w:tc>
        <w:tc>
          <w:tcPr>
            <w:tcW w:w="2763" w:type="dxa"/>
          </w:tcPr>
          <w:p w14:paraId="1AC2AEE8" w14:textId="10F2815B" w:rsidR="00605814" w:rsidRPr="00F32CA5" w:rsidRDefault="00956D82" w:rsidP="00605814">
            <w:pPr>
              <w:rPr>
                <w:rFonts w:eastAsia="Arial" w:cs="Times New Roman"/>
                <w:color w:val="auto"/>
              </w:rPr>
            </w:pPr>
            <w:r>
              <w:rPr>
                <w:rFonts w:eastAsia="Arial" w:cs="Times New Roman"/>
                <w:color w:val="auto"/>
              </w:rPr>
              <w:t>Final technical report</w:t>
            </w:r>
          </w:p>
        </w:tc>
        <w:tc>
          <w:tcPr>
            <w:tcW w:w="2159" w:type="dxa"/>
          </w:tcPr>
          <w:p w14:paraId="39BCBDDE" w14:textId="62BEB6AD" w:rsidR="00605814" w:rsidRPr="00F32CA5" w:rsidRDefault="00956D82" w:rsidP="00605814">
            <w:pPr>
              <w:rPr>
                <w:rFonts w:eastAsia="Arial" w:cs="Times New Roman"/>
                <w:color w:val="auto"/>
              </w:rPr>
            </w:pPr>
            <w:r>
              <w:rPr>
                <w:rFonts w:eastAsia="Arial" w:cs="Times New Roman"/>
                <w:color w:val="auto"/>
              </w:rPr>
              <w:t>Produced by contractor, NE review</w:t>
            </w:r>
          </w:p>
        </w:tc>
        <w:tc>
          <w:tcPr>
            <w:tcW w:w="2874" w:type="dxa"/>
          </w:tcPr>
          <w:p w14:paraId="18CCC159" w14:textId="31448A62" w:rsidR="00605814" w:rsidRPr="00F32CA5" w:rsidRDefault="006910AA" w:rsidP="00605814">
            <w:pPr>
              <w:rPr>
                <w:rFonts w:eastAsia="Arial" w:cs="Times New Roman"/>
                <w:color w:val="auto"/>
              </w:rPr>
            </w:pPr>
            <w:r>
              <w:rPr>
                <w:rFonts w:eastAsia="Arial" w:cs="Times New Roman"/>
                <w:color w:val="auto"/>
              </w:rPr>
              <w:t xml:space="preserve">27 </w:t>
            </w:r>
            <w:r w:rsidR="00105A2A">
              <w:rPr>
                <w:rFonts w:eastAsia="Arial" w:cs="Times New Roman"/>
                <w:color w:val="auto"/>
              </w:rPr>
              <w:t>Febr</w:t>
            </w:r>
            <w:r w:rsidR="007975F0">
              <w:rPr>
                <w:rFonts w:eastAsia="Arial" w:cs="Times New Roman"/>
                <w:color w:val="auto"/>
              </w:rPr>
              <w:t xml:space="preserve">uary </w:t>
            </w:r>
            <w:r w:rsidR="00261C74">
              <w:rPr>
                <w:rFonts w:eastAsia="Arial" w:cs="Times New Roman"/>
                <w:color w:val="auto"/>
              </w:rPr>
              <w:t>2026</w:t>
            </w:r>
          </w:p>
        </w:tc>
      </w:tr>
    </w:tbl>
    <w:p w14:paraId="765367DA" w14:textId="770F2090" w:rsidR="00CB7F67" w:rsidRPr="00CC1F7E" w:rsidRDefault="00FE71DB" w:rsidP="00CC1F7E">
      <w:pPr>
        <w:pStyle w:val="Appmainhead"/>
        <w:pageBreakBefore w:val="0"/>
        <w:widowControl w:val="0"/>
        <w:numPr>
          <w:ilvl w:val="0"/>
          <w:numId w:val="0"/>
        </w:numPr>
        <w:jc w:val="left"/>
        <w:rPr>
          <w:rFonts w:ascii="Arial" w:hAnsi="Arial" w:cs="Arial"/>
          <w:b w:val="0"/>
          <w:sz w:val="24"/>
          <w:szCs w:val="24"/>
        </w:rPr>
      </w:pPr>
      <w:r w:rsidRPr="00FE71DB">
        <w:rPr>
          <w:rFonts w:ascii="Arial" w:hAnsi="Arial" w:cs="Arial"/>
          <w:b w:val="0"/>
          <w:sz w:val="24"/>
          <w:szCs w:val="24"/>
        </w:rPr>
        <w:t>Dan Donald</w:t>
      </w:r>
      <w:r w:rsidR="008417EC">
        <w:rPr>
          <w:rFonts w:ascii="Arial" w:hAnsi="Arial" w:cs="Arial"/>
          <w:b w:val="0"/>
          <w:sz w:val="24"/>
          <w:szCs w:val="24"/>
        </w:rPr>
        <w:t xml:space="preserve"> with support from Jay Endean and Catherine Scott</w:t>
      </w:r>
      <w:r w:rsidR="007829E9" w:rsidRPr="00FE71DB">
        <w:rPr>
          <w:rFonts w:ascii="Arial" w:hAnsi="Arial" w:cs="Arial"/>
          <w:b w:val="0"/>
          <w:sz w:val="24"/>
          <w:szCs w:val="24"/>
        </w:rPr>
        <w:t xml:space="preserve"> </w:t>
      </w:r>
      <w:r w:rsidR="00CB7F67" w:rsidRPr="00FE71DB">
        <w:rPr>
          <w:rFonts w:ascii="Arial" w:hAnsi="Arial" w:cs="Arial"/>
          <w:b w:val="0"/>
          <w:sz w:val="24"/>
          <w:szCs w:val="24"/>
        </w:rPr>
        <w:t>will be the Natural England Project Officer</w:t>
      </w:r>
      <w:r w:rsidR="000C4956">
        <w:rPr>
          <w:rFonts w:ascii="Arial" w:hAnsi="Arial" w:cs="Arial"/>
          <w:b w:val="0"/>
          <w:sz w:val="24"/>
          <w:szCs w:val="24"/>
        </w:rPr>
        <w:t>s</w:t>
      </w:r>
      <w:r w:rsidR="00CB7F67" w:rsidRPr="00FE71DB">
        <w:rPr>
          <w:rFonts w:ascii="Arial" w:hAnsi="Arial" w:cs="Arial"/>
          <w:b w:val="0"/>
          <w:sz w:val="24"/>
          <w:szCs w:val="24"/>
        </w:rPr>
        <w:t xml:space="preserve"> for the contract and will be responsible for managing the agreement for its duration. </w:t>
      </w:r>
      <w:r w:rsidR="00CB7F67" w:rsidRPr="00CC1F7E">
        <w:rPr>
          <w:rFonts w:ascii="Arial" w:hAnsi="Arial" w:cs="Arial"/>
          <w:b w:val="0"/>
          <w:sz w:val="24"/>
          <w:szCs w:val="24"/>
        </w:rPr>
        <w:t xml:space="preserve">The Natural England Project Officer will review the success of the project </w:t>
      </w:r>
      <w:r w:rsidR="00D61B53" w:rsidRPr="00CC1F7E">
        <w:rPr>
          <w:rFonts w:ascii="Arial" w:hAnsi="Arial" w:cs="Arial"/>
          <w:b w:val="0"/>
          <w:sz w:val="24"/>
          <w:szCs w:val="24"/>
        </w:rPr>
        <w:t xml:space="preserve">and feed into the </w:t>
      </w:r>
      <w:r w:rsidRPr="00CC1F7E">
        <w:rPr>
          <w:rFonts w:ascii="Arial" w:hAnsi="Arial" w:cs="Arial"/>
          <w:b w:val="0"/>
          <w:sz w:val="24"/>
          <w:szCs w:val="24"/>
        </w:rPr>
        <w:t>wider Species Recovery Project group</w:t>
      </w:r>
      <w:r w:rsidR="00D61B53" w:rsidRPr="00CC1F7E">
        <w:rPr>
          <w:rFonts w:ascii="Arial" w:hAnsi="Arial" w:cs="Arial"/>
          <w:b w:val="0"/>
          <w:sz w:val="24"/>
          <w:szCs w:val="24"/>
        </w:rPr>
        <w:t xml:space="preserve">. </w:t>
      </w:r>
    </w:p>
    <w:p w14:paraId="3C688320" w14:textId="12529DE7" w:rsidR="00E762F7" w:rsidRPr="00F27BE3" w:rsidRDefault="003C6E32" w:rsidP="00E762F7">
      <w:pPr>
        <w:rPr>
          <w:rStyle w:val="Important"/>
          <w:color w:val="auto"/>
        </w:rPr>
      </w:pPr>
      <w:r w:rsidRPr="00F27BE3">
        <w:rPr>
          <w:rStyle w:val="Important"/>
          <w:color w:val="auto"/>
        </w:rPr>
        <w:t>References</w:t>
      </w:r>
    </w:p>
    <w:p w14:paraId="5E003D27" w14:textId="77777777" w:rsidR="00213ACC" w:rsidRPr="00DC013C" w:rsidRDefault="00213ACC" w:rsidP="00213ACC">
      <w:pPr>
        <w:rPr>
          <w:rStyle w:val="Important"/>
          <w:b w:val="0"/>
          <w:color w:val="auto"/>
        </w:rPr>
      </w:pPr>
      <w:r w:rsidRPr="00DC013C">
        <w:rPr>
          <w:rStyle w:val="Important"/>
          <w:b w:val="0"/>
          <w:color w:val="auto"/>
        </w:rPr>
        <w:t>Brown, S. &amp; Stillman, R. A. 2021. Evidence-based conservation in a changing world: lessons from waterbird individual-based models. Ecosphere 12(7) e03632</w:t>
      </w:r>
    </w:p>
    <w:p w14:paraId="4A36DF81" w14:textId="77777777" w:rsidR="00213ACC" w:rsidRPr="00DC013C" w:rsidRDefault="00213ACC" w:rsidP="00213ACC">
      <w:pPr>
        <w:rPr>
          <w:rStyle w:val="Important"/>
          <w:b w:val="0"/>
          <w:color w:val="auto"/>
        </w:rPr>
      </w:pPr>
      <w:r w:rsidRPr="00DC013C">
        <w:rPr>
          <w:rStyle w:val="Important"/>
          <w:b w:val="0"/>
          <w:color w:val="auto"/>
        </w:rPr>
        <w:t xml:space="preserve">Caldow, R.W. G., Stillman, R. A. &amp; West, A. D. 2007.  Modelling study to determine the capacity of The Wash shellfish stocks to support eider Somateria mollissima.  Unpublished report to English Nature. </w:t>
      </w:r>
    </w:p>
    <w:p w14:paraId="362925A4" w14:textId="77777777" w:rsidR="00213ACC" w:rsidRDefault="00213ACC" w:rsidP="00213ACC">
      <w:pPr>
        <w:rPr>
          <w:rStyle w:val="Important"/>
          <w:b w:val="0"/>
          <w:color w:val="auto"/>
        </w:rPr>
      </w:pPr>
      <w:r w:rsidRPr="00DC013C">
        <w:rPr>
          <w:rStyle w:val="Important"/>
          <w:b w:val="0"/>
          <w:color w:val="auto"/>
        </w:rPr>
        <w:lastRenderedPageBreak/>
        <w:t xml:space="preserve">Goss-Custard, J. D., Stillman, R. A., West, A. D., Caldow, R. W. G., Triplet, P., Durell, S. E. A. Le V. </w:t>
      </w:r>
      <w:proofErr w:type="spellStart"/>
      <w:r w:rsidRPr="00DC013C">
        <w:rPr>
          <w:rStyle w:val="Important"/>
          <w:b w:val="0"/>
          <w:color w:val="auto"/>
        </w:rPr>
        <w:t>dit</w:t>
      </w:r>
      <w:proofErr w:type="spellEnd"/>
      <w:r w:rsidRPr="00DC013C">
        <w:rPr>
          <w:rStyle w:val="Important"/>
          <w:b w:val="0"/>
          <w:color w:val="auto"/>
        </w:rPr>
        <w:t xml:space="preserve"> &amp; McGrorty, S. 2004. When enough is not enough: shorebirds and </w:t>
      </w:r>
      <w:proofErr w:type="spellStart"/>
      <w:r w:rsidRPr="00DC013C">
        <w:rPr>
          <w:rStyle w:val="Important"/>
          <w:b w:val="0"/>
          <w:color w:val="auto"/>
        </w:rPr>
        <w:t>shellfishing</w:t>
      </w:r>
      <w:proofErr w:type="spellEnd"/>
      <w:r w:rsidRPr="00DC013C">
        <w:rPr>
          <w:rStyle w:val="Important"/>
          <w:b w:val="0"/>
          <w:color w:val="auto"/>
        </w:rPr>
        <w:t>. Proceedings of the Royal Society, London, Series B, 271, 233-237.</w:t>
      </w:r>
    </w:p>
    <w:p w14:paraId="3083C239" w14:textId="68BD5C38" w:rsidR="00DC013C" w:rsidRPr="00DC013C" w:rsidRDefault="00DC013C" w:rsidP="00213ACC">
      <w:pPr>
        <w:rPr>
          <w:rStyle w:val="Important"/>
          <w:b w:val="0"/>
          <w:bCs/>
          <w:color w:val="auto"/>
        </w:rPr>
      </w:pPr>
      <w:r w:rsidRPr="00F27BE3">
        <w:rPr>
          <w:rStyle w:val="Important"/>
          <w:b w:val="0"/>
          <w:bCs/>
          <w:color w:val="auto"/>
        </w:rPr>
        <w:t>Goudie, R. I., G. J. Robertson, and A. Reed (2020). Common Eider (Somateria mollissima), version 1.0. In Birds of the World (S. M. Billerman, Editor). Cornell Lab of Ornithology, Ithaca, NY, USA. https://doi.org/10.2173/bow.comeid.01</w:t>
      </w:r>
    </w:p>
    <w:p w14:paraId="04E1DECF" w14:textId="77777777" w:rsidR="00213ACC" w:rsidRPr="00DC013C" w:rsidRDefault="00213ACC" w:rsidP="00213ACC">
      <w:pPr>
        <w:rPr>
          <w:rStyle w:val="Important"/>
          <w:b w:val="0"/>
          <w:color w:val="auto"/>
        </w:rPr>
      </w:pPr>
      <w:r w:rsidRPr="00DC013C">
        <w:rPr>
          <w:rStyle w:val="Important"/>
          <w:b w:val="0"/>
          <w:color w:val="auto"/>
        </w:rPr>
        <w:t xml:space="preserve">Kaiser, M., A. Elliott, M. Galanidi, E. Ivor S. Rees, R. Caldow, R. Stillman, W. Sutherland &amp; D. Showler 2002. Predicting the displacement of common scoter </w:t>
      </w:r>
      <w:proofErr w:type="spellStart"/>
      <w:r w:rsidRPr="00DC013C">
        <w:rPr>
          <w:rStyle w:val="Important"/>
          <w:b w:val="0"/>
          <w:color w:val="auto"/>
        </w:rPr>
        <w:t>Melanitta</w:t>
      </w:r>
      <w:proofErr w:type="spellEnd"/>
      <w:r w:rsidRPr="00DC013C">
        <w:rPr>
          <w:rStyle w:val="Important"/>
          <w:b w:val="0"/>
          <w:color w:val="auto"/>
        </w:rPr>
        <w:t xml:space="preserve"> nigra from benthic feeding areas due to offshore windfarms. Report to COWRIE.</w:t>
      </w:r>
    </w:p>
    <w:p w14:paraId="682D6378" w14:textId="77777777" w:rsidR="00213ACC" w:rsidRPr="00DC013C" w:rsidRDefault="00213ACC" w:rsidP="00213ACC">
      <w:pPr>
        <w:rPr>
          <w:rStyle w:val="Important"/>
          <w:b w:val="0"/>
          <w:color w:val="auto"/>
        </w:rPr>
      </w:pPr>
      <w:proofErr w:type="spellStart"/>
      <w:r w:rsidRPr="00DC013C">
        <w:rPr>
          <w:rStyle w:val="Important"/>
          <w:b w:val="0"/>
          <w:color w:val="auto"/>
        </w:rPr>
        <w:t>Oldeland</w:t>
      </w:r>
      <w:proofErr w:type="spellEnd"/>
      <w:r w:rsidRPr="00DC013C">
        <w:rPr>
          <w:rStyle w:val="Important"/>
          <w:b w:val="0"/>
          <w:color w:val="auto"/>
        </w:rPr>
        <w:t>, J., </w:t>
      </w:r>
      <w:proofErr w:type="spellStart"/>
      <w:r w:rsidRPr="00DC013C">
        <w:rPr>
          <w:rStyle w:val="Important"/>
          <w:b w:val="0"/>
          <w:color w:val="auto"/>
        </w:rPr>
        <w:t>Žydelis</w:t>
      </w:r>
      <w:proofErr w:type="spellEnd"/>
      <w:r w:rsidRPr="00DC013C">
        <w:rPr>
          <w:rStyle w:val="Important"/>
          <w:b w:val="0"/>
          <w:color w:val="auto"/>
        </w:rPr>
        <w:t>, R., Dorsch, M., Stillman, R. A. and Nehls, G., 2023. Individual-based modelling supports environmental impact assessment in a large-scale construction project. Environmental Impact Assessment Review, 101 (July), 107150.</w:t>
      </w:r>
    </w:p>
    <w:p w14:paraId="304DDC3E" w14:textId="77777777" w:rsidR="00213ACC" w:rsidRPr="00DC013C" w:rsidRDefault="00213ACC" w:rsidP="00213ACC">
      <w:pPr>
        <w:rPr>
          <w:rStyle w:val="Important"/>
          <w:b w:val="0"/>
          <w:color w:val="auto"/>
        </w:rPr>
      </w:pPr>
      <w:r w:rsidRPr="00DC013C">
        <w:rPr>
          <w:rStyle w:val="Important"/>
          <w:b w:val="0"/>
          <w:color w:val="auto"/>
        </w:rPr>
        <w:t xml:space="preserve">Stillman, R. A., West, A. D., Goss-Custard, J. D., Caldow, R. W. G., McGrorty, S., Durell, S. E. A. le V. </w:t>
      </w:r>
      <w:proofErr w:type="spellStart"/>
      <w:r w:rsidRPr="00DC013C">
        <w:rPr>
          <w:rStyle w:val="Important"/>
          <w:b w:val="0"/>
          <w:color w:val="auto"/>
        </w:rPr>
        <w:t>dit</w:t>
      </w:r>
      <w:proofErr w:type="spellEnd"/>
      <w:r w:rsidRPr="00DC013C">
        <w:rPr>
          <w:rStyle w:val="Important"/>
          <w:b w:val="0"/>
          <w:color w:val="auto"/>
        </w:rPr>
        <w:t>, Yates, M., G., Atkinson, P. W., Clark, N. A., Bell, M. C., Dare, P. J. &amp; Mander, M. 2003. An individual behaviour-based model can predict shorebird mortality using routinely collected shellfishery data. Journal of Applied Ecology, 40, 1090-1101.</w:t>
      </w:r>
    </w:p>
    <w:p w14:paraId="1B219B21" w14:textId="77777777" w:rsidR="00E762F7" w:rsidRDefault="00E762F7" w:rsidP="00E762F7"/>
    <w:p w14:paraId="27532DB7" w14:textId="77777777" w:rsidR="0069616D" w:rsidRDefault="0069616D" w:rsidP="00DB646E">
      <w:pPr>
        <w:rPr>
          <w:noProof/>
          <w:lang w:eastAsia="en-GB"/>
        </w:rPr>
      </w:pPr>
    </w:p>
    <w:p w14:paraId="49227DF6" w14:textId="77777777" w:rsidR="0069616D" w:rsidRDefault="0069616D" w:rsidP="00DB646E">
      <w:pPr>
        <w:rPr>
          <w:noProof/>
          <w:lang w:eastAsia="en-GB"/>
        </w:rPr>
      </w:pPr>
    </w:p>
    <w:p w14:paraId="012194A6" w14:textId="77777777" w:rsidR="0069616D" w:rsidRDefault="0069616D" w:rsidP="00DB646E">
      <w:pPr>
        <w:rPr>
          <w:noProof/>
          <w:lang w:eastAsia="en-GB"/>
        </w:rPr>
      </w:pPr>
    </w:p>
    <w:p w14:paraId="239258DC" w14:textId="77777777" w:rsidR="0069616D" w:rsidRDefault="0069616D" w:rsidP="00DB646E">
      <w:pPr>
        <w:rPr>
          <w:noProof/>
          <w:lang w:eastAsia="en-GB"/>
        </w:rPr>
      </w:pPr>
    </w:p>
    <w:p w14:paraId="65E10BEB" w14:textId="77777777" w:rsidR="0069616D" w:rsidRDefault="0069616D" w:rsidP="00DB646E">
      <w:pPr>
        <w:rPr>
          <w:noProof/>
          <w:lang w:eastAsia="en-GB"/>
        </w:rPr>
      </w:pPr>
    </w:p>
    <w:p w14:paraId="79EAED1C" w14:textId="77777777" w:rsidR="0069616D" w:rsidRDefault="0069616D" w:rsidP="00DB646E">
      <w:pPr>
        <w:rPr>
          <w:noProof/>
          <w:lang w:eastAsia="en-GB"/>
        </w:rPr>
      </w:pPr>
    </w:p>
    <w:p w14:paraId="387711AF" w14:textId="5C1A5991" w:rsidR="00510CC5" w:rsidRPr="00A37D09" w:rsidRDefault="00795734" w:rsidP="00DB646E">
      <w:pPr>
        <w:rPr>
          <w:szCs w:val="24"/>
        </w:rPr>
      </w:pPr>
      <w:r>
        <w:rPr>
          <w:noProof/>
          <w:lang w:eastAsia="en-GB"/>
        </w:rPr>
        <w:drawing>
          <wp:anchor distT="0" distB="0" distL="114300" distR="114300" simplePos="0" relativeHeight="251658241" behindDoc="1" locked="1" layoutInCell="1" allowOverlap="1" wp14:anchorId="387711B2" wp14:editId="57DAE064">
            <wp:simplePos x="0" y="0"/>
            <wp:positionH relativeFrom="page">
              <wp:posOffset>-82550</wp:posOffset>
            </wp:positionH>
            <wp:positionV relativeFrom="page">
              <wp:posOffset>6479540</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7">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E762F7">
      <w:headerReference w:type="even" r:id="rId18"/>
      <w:headerReference w:type="default" r:id="rId19"/>
      <w:footerReference w:type="even" r:id="rId20"/>
      <w:footerReference w:type="default" r:id="rId21"/>
      <w:headerReference w:type="first" r:id="rId22"/>
      <w:footerReference w:type="first" r:id="rId23"/>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D604" w14:textId="77777777" w:rsidR="009C01BB" w:rsidRDefault="009C01BB" w:rsidP="002F321C">
      <w:r>
        <w:separator/>
      </w:r>
    </w:p>
    <w:p w14:paraId="7AA80E5F" w14:textId="77777777" w:rsidR="009C01BB" w:rsidRDefault="009C01BB"/>
  </w:endnote>
  <w:endnote w:type="continuationSeparator" w:id="0">
    <w:p w14:paraId="520FDEB6" w14:textId="77777777" w:rsidR="009C01BB" w:rsidRDefault="009C01BB" w:rsidP="002F321C">
      <w:r>
        <w:continuationSeparator/>
      </w:r>
    </w:p>
    <w:p w14:paraId="45DFCB93" w14:textId="77777777" w:rsidR="009C01BB" w:rsidRDefault="009C01BB"/>
  </w:endnote>
  <w:endnote w:type="continuationNotice" w:id="1">
    <w:p w14:paraId="3118E10A" w14:textId="77777777" w:rsidR="009C01BB" w:rsidRDefault="009C01B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0C37" w14:textId="77777777" w:rsidR="00750557" w:rsidRDefault="00750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3108" w14:textId="77777777" w:rsidR="00750557" w:rsidRDefault="0075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7DE78" w14:textId="77777777" w:rsidR="009C01BB" w:rsidRDefault="009C01BB" w:rsidP="002F321C">
      <w:r>
        <w:separator/>
      </w:r>
    </w:p>
    <w:p w14:paraId="68AE5691" w14:textId="77777777" w:rsidR="009C01BB" w:rsidRDefault="009C01BB"/>
  </w:footnote>
  <w:footnote w:type="continuationSeparator" w:id="0">
    <w:p w14:paraId="2EE4601E" w14:textId="77777777" w:rsidR="009C01BB" w:rsidRDefault="009C01BB" w:rsidP="002F321C">
      <w:r>
        <w:continuationSeparator/>
      </w:r>
    </w:p>
    <w:p w14:paraId="0A483572" w14:textId="77777777" w:rsidR="009C01BB" w:rsidRDefault="009C01BB"/>
  </w:footnote>
  <w:footnote w:type="continuationNotice" w:id="1">
    <w:p w14:paraId="4FC7E760" w14:textId="77777777" w:rsidR="009C01BB" w:rsidRDefault="009C01B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21C7" w14:textId="19802DE1" w:rsidR="00750557" w:rsidRDefault="00750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002B" w14:textId="656CDE83" w:rsidR="00750557" w:rsidRDefault="00750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0A311F08"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C43"/>
    <w:multiLevelType w:val="multilevel"/>
    <w:tmpl w:val="4526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C14C9"/>
    <w:multiLevelType w:val="multilevel"/>
    <w:tmpl w:val="4BB4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F51B2"/>
    <w:multiLevelType w:val="hybridMultilevel"/>
    <w:tmpl w:val="F90CF8F4"/>
    <w:lvl w:ilvl="0" w:tplc="D82C9F5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62B38"/>
    <w:multiLevelType w:val="multilevel"/>
    <w:tmpl w:val="8EE8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1FA359A"/>
    <w:multiLevelType w:val="multilevel"/>
    <w:tmpl w:val="1684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270B01"/>
    <w:multiLevelType w:val="hybridMultilevel"/>
    <w:tmpl w:val="F53EE3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CF0AC5"/>
    <w:multiLevelType w:val="multilevel"/>
    <w:tmpl w:val="A6F0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06976"/>
    <w:multiLevelType w:val="multilevel"/>
    <w:tmpl w:val="65F4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176E0"/>
    <w:multiLevelType w:val="hybridMultilevel"/>
    <w:tmpl w:val="765056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B3631D"/>
    <w:multiLevelType w:val="hybridMultilevel"/>
    <w:tmpl w:val="51F20C0E"/>
    <w:lvl w:ilvl="0" w:tplc="21C8522E">
      <w:start w:val="1"/>
      <w:numFmt w:val="upperLetter"/>
      <w:pStyle w:val="Appmainhead"/>
      <w:lvlText w:val="Annex %1."/>
      <w:lvlJc w:val="left"/>
      <w:pPr>
        <w:tabs>
          <w:tab w:val="num" w:pos="2782"/>
        </w:tabs>
        <w:ind w:left="2062" w:hanging="360"/>
      </w:pPr>
    </w:lvl>
    <w:lvl w:ilvl="1" w:tplc="34D4F1BE">
      <w:start w:val="1"/>
      <w:numFmt w:val="lowerLetter"/>
      <w:lvlText w:val="%2."/>
      <w:lvlJc w:val="left"/>
      <w:pPr>
        <w:tabs>
          <w:tab w:val="num" w:pos="1440"/>
        </w:tabs>
        <w:ind w:left="1440" w:hanging="360"/>
      </w:pPr>
    </w:lvl>
    <w:lvl w:ilvl="2" w:tplc="B3041332" w:tentative="1">
      <w:start w:val="1"/>
      <w:numFmt w:val="lowerRoman"/>
      <w:lvlText w:val="%3."/>
      <w:lvlJc w:val="right"/>
      <w:pPr>
        <w:tabs>
          <w:tab w:val="num" w:pos="2160"/>
        </w:tabs>
        <w:ind w:left="2160" w:hanging="180"/>
      </w:pPr>
    </w:lvl>
    <w:lvl w:ilvl="3" w:tplc="D8CEF0E0" w:tentative="1">
      <w:start w:val="1"/>
      <w:numFmt w:val="decimal"/>
      <w:lvlText w:val="%4."/>
      <w:lvlJc w:val="left"/>
      <w:pPr>
        <w:tabs>
          <w:tab w:val="num" w:pos="2880"/>
        </w:tabs>
        <w:ind w:left="2880" w:hanging="360"/>
      </w:pPr>
    </w:lvl>
    <w:lvl w:ilvl="4" w:tplc="704460BE" w:tentative="1">
      <w:start w:val="1"/>
      <w:numFmt w:val="lowerLetter"/>
      <w:lvlText w:val="%5."/>
      <w:lvlJc w:val="left"/>
      <w:pPr>
        <w:tabs>
          <w:tab w:val="num" w:pos="3600"/>
        </w:tabs>
        <w:ind w:left="3600" w:hanging="360"/>
      </w:pPr>
    </w:lvl>
    <w:lvl w:ilvl="5" w:tplc="CF464E1A" w:tentative="1">
      <w:start w:val="1"/>
      <w:numFmt w:val="lowerRoman"/>
      <w:lvlText w:val="%6."/>
      <w:lvlJc w:val="right"/>
      <w:pPr>
        <w:tabs>
          <w:tab w:val="num" w:pos="4320"/>
        </w:tabs>
        <w:ind w:left="4320" w:hanging="180"/>
      </w:pPr>
    </w:lvl>
    <w:lvl w:ilvl="6" w:tplc="ABE05BE8" w:tentative="1">
      <w:start w:val="1"/>
      <w:numFmt w:val="decimal"/>
      <w:lvlText w:val="%7."/>
      <w:lvlJc w:val="left"/>
      <w:pPr>
        <w:tabs>
          <w:tab w:val="num" w:pos="5040"/>
        </w:tabs>
        <w:ind w:left="5040" w:hanging="360"/>
      </w:pPr>
    </w:lvl>
    <w:lvl w:ilvl="7" w:tplc="5B181E30" w:tentative="1">
      <w:start w:val="1"/>
      <w:numFmt w:val="lowerLetter"/>
      <w:lvlText w:val="%8."/>
      <w:lvlJc w:val="left"/>
      <w:pPr>
        <w:tabs>
          <w:tab w:val="num" w:pos="5760"/>
        </w:tabs>
        <w:ind w:left="5760" w:hanging="360"/>
      </w:pPr>
    </w:lvl>
    <w:lvl w:ilvl="8" w:tplc="A24A9896" w:tentative="1">
      <w:start w:val="1"/>
      <w:numFmt w:val="lowerRoman"/>
      <w:lvlText w:val="%9."/>
      <w:lvlJc w:val="right"/>
      <w:pPr>
        <w:tabs>
          <w:tab w:val="num" w:pos="6480"/>
        </w:tabs>
        <w:ind w:left="6480" w:hanging="180"/>
      </w:p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CA1CFA"/>
    <w:multiLevelType w:val="multilevel"/>
    <w:tmpl w:val="9C66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39034B"/>
    <w:multiLevelType w:val="multilevel"/>
    <w:tmpl w:val="0B9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4D4955"/>
    <w:multiLevelType w:val="multilevel"/>
    <w:tmpl w:val="2782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B54A30"/>
    <w:multiLevelType w:val="multilevel"/>
    <w:tmpl w:val="8DC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147BCD"/>
    <w:multiLevelType w:val="multilevel"/>
    <w:tmpl w:val="84C4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8A1F97"/>
    <w:multiLevelType w:val="multilevel"/>
    <w:tmpl w:val="49D6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835455">
    <w:abstractNumId w:val="18"/>
  </w:num>
  <w:num w:numId="2" w16cid:durableId="1556967559">
    <w:abstractNumId w:val="20"/>
  </w:num>
  <w:num w:numId="3" w16cid:durableId="1027174065">
    <w:abstractNumId w:val="12"/>
  </w:num>
  <w:num w:numId="4" w16cid:durableId="1481189804">
    <w:abstractNumId w:val="9"/>
  </w:num>
  <w:num w:numId="5" w16cid:durableId="1210344446">
    <w:abstractNumId w:val="21"/>
  </w:num>
  <w:num w:numId="6" w16cid:durableId="208419250">
    <w:abstractNumId w:val="22"/>
  </w:num>
  <w:num w:numId="7" w16cid:durableId="1358387995">
    <w:abstractNumId w:val="4"/>
  </w:num>
  <w:num w:numId="8" w16cid:durableId="135223162">
    <w:abstractNumId w:val="19"/>
  </w:num>
  <w:num w:numId="9" w16cid:durableId="983967772">
    <w:abstractNumId w:val="11"/>
  </w:num>
  <w:num w:numId="10" w16cid:durableId="560289431">
    <w:abstractNumId w:val="6"/>
  </w:num>
  <w:num w:numId="11" w16cid:durableId="17896563">
    <w:abstractNumId w:val="10"/>
  </w:num>
  <w:num w:numId="12" w16cid:durableId="77019702">
    <w:abstractNumId w:val="2"/>
  </w:num>
  <w:num w:numId="13" w16cid:durableId="1581911371">
    <w:abstractNumId w:val="14"/>
  </w:num>
  <w:num w:numId="14" w16cid:durableId="1349059212">
    <w:abstractNumId w:val="7"/>
  </w:num>
  <w:num w:numId="15" w16cid:durableId="1662583042">
    <w:abstractNumId w:val="13"/>
  </w:num>
  <w:num w:numId="16" w16cid:durableId="198057160">
    <w:abstractNumId w:val="17"/>
  </w:num>
  <w:num w:numId="17" w16cid:durableId="1545095165">
    <w:abstractNumId w:val="16"/>
  </w:num>
  <w:num w:numId="18" w16cid:durableId="979968086">
    <w:abstractNumId w:val="0"/>
  </w:num>
  <w:num w:numId="19" w16cid:durableId="1210922641">
    <w:abstractNumId w:val="8"/>
  </w:num>
  <w:num w:numId="20" w16cid:durableId="771125128">
    <w:abstractNumId w:val="5"/>
  </w:num>
  <w:num w:numId="21" w16cid:durableId="320161582">
    <w:abstractNumId w:val="1"/>
  </w:num>
  <w:num w:numId="22" w16cid:durableId="57751787">
    <w:abstractNumId w:val="23"/>
  </w:num>
  <w:num w:numId="23" w16cid:durableId="1950620119">
    <w:abstractNumId w:val="15"/>
  </w:num>
  <w:num w:numId="24" w16cid:durableId="6318554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0547"/>
    <w:rsid w:val="00000F35"/>
    <w:rsid w:val="000024E8"/>
    <w:rsid w:val="000047C3"/>
    <w:rsid w:val="0000580B"/>
    <w:rsid w:val="00005C05"/>
    <w:rsid w:val="00006F06"/>
    <w:rsid w:val="00011DCF"/>
    <w:rsid w:val="00013FFC"/>
    <w:rsid w:val="000148EE"/>
    <w:rsid w:val="00014E45"/>
    <w:rsid w:val="00016CC3"/>
    <w:rsid w:val="00017076"/>
    <w:rsid w:val="00017A20"/>
    <w:rsid w:val="00020AFD"/>
    <w:rsid w:val="00023358"/>
    <w:rsid w:val="00023883"/>
    <w:rsid w:val="000239B6"/>
    <w:rsid w:val="00023DF5"/>
    <w:rsid w:val="00024C53"/>
    <w:rsid w:val="000278C7"/>
    <w:rsid w:val="00031608"/>
    <w:rsid w:val="00031742"/>
    <w:rsid w:val="00031B53"/>
    <w:rsid w:val="00031CB8"/>
    <w:rsid w:val="00033693"/>
    <w:rsid w:val="0003465C"/>
    <w:rsid w:val="00034787"/>
    <w:rsid w:val="0003556F"/>
    <w:rsid w:val="000357D0"/>
    <w:rsid w:val="00035E04"/>
    <w:rsid w:val="00035E5B"/>
    <w:rsid w:val="00037AD8"/>
    <w:rsid w:val="00037E1D"/>
    <w:rsid w:val="000407F6"/>
    <w:rsid w:val="00040E1F"/>
    <w:rsid w:val="0004113C"/>
    <w:rsid w:val="00042473"/>
    <w:rsid w:val="00042A87"/>
    <w:rsid w:val="000449DD"/>
    <w:rsid w:val="00045074"/>
    <w:rsid w:val="00045AB5"/>
    <w:rsid w:val="00047AAC"/>
    <w:rsid w:val="00047AB1"/>
    <w:rsid w:val="000535F5"/>
    <w:rsid w:val="00053C0B"/>
    <w:rsid w:val="00056EB2"/>
    <w:rsid w:val="0005731D"/>
    <w:rsid w:val="00057683"/>
    <w:rsid w:val="00060217"/>
    <w:rsid w:val="00061064"/>
    <w:rsid w:val="00066C0C"/>
    <w:rsid w:val="0006792F"/>
    <w:rsid w:val="00067B63"/>
    <w:rsid w:val="00071846"/>
    <w:rsid w:val="00072485"/>
    <w:rsid w:val="00072669"/>
    <w:rsid w:val="00073DB9"/>
    <w:rsid w:val="00074FC4"/>
    <w:rsid w:val="00075DE6"/>
    <w:rsid w:val="00076540"/>
    <w:rsid w:val="0007721B"/>
    <w:rsid w:val="0007769B"/>
    <w:rsid w:val="00081041"/>
    <w:rsid w:val="00086FF6"/>
    <w:rsid w:val="00090006"/>
    <w:rsid w:val="0009061D"/>
    <w:rsid w:val="000910A2"/>
    <w:rsid w:val="00091BA6"/>
    <w:rsid w:val="000953CE"/>
    <w:rsid w:val="00097353"/>
    <w:rsid w:val="00097723"/>
    <w:rsid w:val="000A0F81"/>
    <w:rsid w:val="000A57E8"/>
    <w:rsid w:val="000A7D0D"/>
    <w:rsid w:val="000B18C3"/>
    <w:rsid w:val="000B33D6"/>
    <w:rsid w:val="000B4A28"/>
    <w:rsid w:val="000B50DD"/>
    <w:rsid w:val="000B5C95"/>
    <w:rsid w:val="000B5EE7"/>
    <w:rsid w:val="000B6DAA"/>
    <w:rsid w:val="000B6F4D"/>
    <w:rsid w:val="000C143F"/>
    <w:rsid w:val="000C3664"/>
    <w:rsid w:val="000C46CD"/>
    <w:rsid w:val="000C4956"/>
    <w:rsid w:val="000C65A4"/>
    <w:rsid w:val="000C6664"/>
    <w:rsid w:val="000C7DDC"/>
    <w:rsid w:val="000D0521"/>
    <w:rsid w:val="000D0CAB"/>
    <w:rsid w:val="000D1F5D"/>
    <w:rsid w:val="000D205E"/>
    <w:rsid w:val="000D3164"/>
    <w:rsid w:val="000D387C"/>
    <w:rsid w:val="000D50A6"/>
    <w:rsid w:val="000D6B0F"/>
    <w:rsid w:val="000D7062"/>
    <w:rsid w:val="000E0A4D"/>
    <w:rsid w:val="000E23CB"/>
    <w:rsid w:val="000E33FA"/>
    <w:rsid w:val="000E4350"/>
    <w:rsid w:val="000E5757"/>
    <w:rsid w:val="000E577D"/>
    <w:rsid w:val="000E5DC9"/>
    <w:rsid w:val="000E6988"/>
    <w:rsid w:val="000E6FA6"/>
    <w:rsid w:val="000E7891"/>
    <w:rsid w:val="000F168A"/>
    <w:rsid w:val="000F1F6E"/>
    <w:rsid w:val="000F3113"/>
    <w:rsid w:val="000F533C"/>
    <w:rsid w:val="00100886"/>
    <w:rsid w:val="0010122B"/>
    <w:rsid w:val="001045C3"/>
    <w:rsid w:val="001045F1"/>
    <w:rsid w:val="00104B53"/>
    <w:rsid w:val="001051E0"/>
    <w:rsid w:val="00105A2A"/>
    <w:rsid w:val="00107159"/>
    <w:rsid w:val="001071CF"/>
    <w:rsid w:val="001116CF"/>
    <w:rsid w:val="00111717"/>
    <w:rsid w:val="00112C39"/>
    <w:rsid w:val="00113634"/>
    <w:rsid w:val="00114C3A"/>
    <w:rsid w:val="00115087"/>
    <w:rsid w:val="00115515"/>
    <w:rsid w:val="00115B3B"/>
    <w:rsid w:val="00116748"/>
    <w:rsid w:val="00116A07"/>
    <w:rsid w:val="00117AD8"/>
    <w:rsid w:val="00120FB5"/>
    <w:rsid w:val="00121143"/>
    <w:rsid w:val="00121659"/>
    <w:rsid w:val="00122DE0"/>
    <w:rsid w:val="0012301F"/>
    <w:rsid w:val="00123C0E"/>
    <w:rsid w:val="00124748"/>
    <w:rsid w:val="00125272"/>
    <w:rsid w:val="001256CC"/>
    <w:rsid w:val="001306E7"/>
    <w:rsid w:val="001311B6"/>
    <w:rsid w:val="00131AA6"/>
    <w:rsid w:val="00132C82"/>
    <w:rsid w:val="00133030"/>
    <w:rsid w:val="00135313"/>
    <w:rsid w:val="00137265"/>
    <w:rsid w:val="00137B39"/>
    <w:rsid w:val="00137E49"/>
    <w:rsid w:val="00140ABB"/>
    <w:rsid w:val="00141011"/>
    <w:rsid w:val="00141850"/>
    <w:rsid w:val="00141A89"/>
    <w:rsid w:val="00143D78"/>
    <w:rsid w:val="0014489E"/>
    <w:rsid w:val="00145E9C"/>
    <w:rsid w:val="00146D95"/>
    <w:rsid w:val="0014735F"/>
    <w:rsid w:val="00151262"/>
    <w:rsid w:val="00152A1B"/>
    <w:rsid w:val="001537B0"/>
    <w:rsid w:val="00153AFA"/>
    <w:rsid w:val="00154859"/>
    <w:rsid w:val="001560C9"/>
    <w:rsid w:val="001560F9"/>
    <w:rsid w:val="001564B7"/>
    <w:rsid w:val="00156E0F"/>
    <w:rsid w:val="00160739"/>
    <w:rsid w:val="00161596"/>
    <w:rsid w:val="0016245F"/>
    <w:rsid w:val="00162996"/>
    <w:rsid w:val="00163B16"/>
    <w:rsid w:val="001643A2"/>
    <w:rsid w:val="00164B6D"/>
    <w:rsid w:val="00164B7D"/>
    <w:rsid w:val="00164D45"/>
    <w:rsid w:val="001679FB"/>
    <w:rsid w:val="00170077"/>
    <w:rsid w:val="0017017F"/>
    <w:rsid w:val="00171774"/>
    <w:rsid w:val="00171884"/>
    <w:rsid w:val="001728CC"/>
    <w:rsid w:val="00173862"/>
    <w:rsid w:val="001739F4"/>
    <w:rsid w:val="00174DA4"/>
    <w:rsid w:val="0017532D"/>
    <w:rsid w:val="00175CF2"/>
    <w:rsid w:val="00176DE0"/>
    <w:rsid w:val="00176F57"/>
    <w:rsid w:val="00180E5D"/>
    <w:rsid w:val="00182108"/>
    <w:rsid w:val="00185441"/>
    <w:rsid w:val="00185A0C"/>
    <w:rsid w:val="001868E5"/>
    <w:rsid w:val="0018736E"/>
    <w:rsid w:val="00191850"/>
    <w:rsid w:val="00192157"/>
    <w:rsid w:val="001957AF"/>
    <w:rsid w:val="00195D4F"/>
    <w:rsid w:val="001A0A69"/>
    <w:rsid w:val="001A2735"/>
    <w:rsid w:val="001A2BB1"/>
    <w:rsid w:val="001A2E5A"/>
    <w:rsid w:val="001A4809"/>
    <w:rsid w:val="001A56F5"/>
    <w:rsid w:val="001A69AD"/>
    <w:rsid w:val="001A7B8D"/>
    <w:rsid w:val="001B031E"/>
    <w:rsid w:val="001B047B"/>
    <w:rsid w:val="001B36DB"/>
    <w:rsid w:val="001B63F2"/>
    <w:rsid w:val="001B64F2"/>
    <w:rsid w:val="001C0BD5"/>
    <w:rsid w:val="001C366D"/>
    <w:rsid w:val="001C42F2"/>
    <w:rsid w:val="001C4430"/>
    <w:rsid w:val="001C4F7D"/>
    <w:rsid w:val="001C518B"/>
    <w:rsid w:val="001C5585"/>
    <w:rsid w:val="001C6DB4"/>
    <w:rsid w:val="001D060D"/>
    <w:rsid w:val="001D2925"/>
    <w:rsid w:val="001E0691"/>
    <w:rsid w:val="001E0F9F"/>
    <w:rsid w:val="001E299F"/>
    <w:rsid w:val="001E2FC4"/>
    <w:rsid w:val="001E4AF7"/>
    <w:rsid w:val="001E4EE6"/>
    <w:rsid w:val="001E5258"/>
    <w:rsid w:val="001E60AC"/>
    <w:rsid w:val="001E76FC"/>
    <w:rsid w:val="001E7B1E"/>
    <w:rsid w:val="001F1CD2"/>
    <w:rsid w:val="001F435F"/>
    <w:rsid w:val="00200ADD"/>
    <w:rsid w:val="0020137F"/>
    <w:rsid w:val="00201886"/>
    <w:rsid w:val="00201D88"/>
    <w:rsid w:val="002036FA"/>
    <w:rsid w:val="00206E1A"/>
    <w:rsid w:val="00207225"/>
    <w:rsid w:val="00207251"/>
    <w:rsid w:val="002072AD"/>
    <w:rsid w:val="0020794C"/>
    <w:rsid w:val="00207C92"/>
    <w:rsid w:val="002122AD"/>
    <w:rsid w:val="00213444"/>
    <w:rsid w:val="002134BB"/>
    <w:rsid w:val="00213A4F"/>
    <w:rsid w:val="00213ACC"/>
    <w:rsid w:val="0021436F"/>
    <w:rsid w:val="0021463D"/>
    <w:rsid w:val="002154AE"/>
    <w:rsid w:val="0021571A"/>
    <w:rsid w:val="002167EC"/>
    <w:rsid w:val="00216CE8"/>
    <w:rsid w:val="00217226"/>
    <w:rsid w:val="002203C4"/>
    <w:rsid w:val="0022082A"/>
    <w:rsid w:val="00220C22"/>
    <w:rsid w:val="00220C44"/>
    <w:rsid w:val="00223F6C"/>
    <w:rsid w:val="00224228"/>
    <w:rsid w:val="00225268"/>
    <w:rsid w:val="00225AE5"/>
    <w:rsid w:val="00225D52"/>
    <w:rsid w:val="002265D7"/>
    <w:rsid w:val="002269A8"/>
    <w:rsid w:val="00226F72"/>
    <w:rsid w:val="00227618"/>
    <w:rsid w:val="00227951"/>
    <w:rsid w:val="0023127D"/>
    <w:rsid w:val="0023326D"/>
    <w:rsid w:val="00233F73"/>
    <w:rsid w:val="00234080"/>
    <w:rsid w:val="00235041"/>
    <w:rsid w:val="00235BE3"/>
    <w:rsid w:val="00236283"/>
    <w:rsid w:val="002371BC"/>
    <w:rsid w:val="0023788D"/>
    <w:rsid w:val="00244200"/>
    <w:rsid w:val="00245710"/>
    <w:rsid w:val="002459CD"/>
    <w:rsid w:val="00245F16"/>
    <w:rsid w:val="002464AC"/>
    <w:rsid w:val="00247C7D"/>
    <w:rsid w:val="00251647"/>
    <w:rsid w:val="00251DB6"/>
    <w:rsid w:val="00251F65"/>
    <w:rsid w:val="002535ED"/>
    <w:rsid w:val="00253B6D"/>
    <w:rsid w:val="002554B0"/>
    <w:rsid w:val="0025683C"/>
    <w:rsid w:val="00257719"/>
    <w:rsid w:val="00261C74"/>
    <w:rsid w:val="00261CCA"/>
    <w:rsid w:val="00264741"/>
    <w:rsid w:val="002652E1"/>
    <w:rsid w:val="00266426"/>
    <w:rsid w:val="00267152"/>
    <w:rsid w:val="0026797E"/>
    <w:rsid w:val="00271CAD"/>
    <w:rsid w:val="00272D20"/>
    <w:rsid w:val="00272F90"/>
    <w:rsid w:val="002752E2"/>
    <w:rsid w:val="00275D20"/>
    <w:rsid w:val="00276E70"/>
    <w:rsid w:val="0027724A"/>
    <w:rsid w:val="002775FA"/>
    <w:rsid w:val="00281956"/>
    <w:rsid w:val="0028203C"/>
    <w:rsid w:val="0028259E"/>
    <w:rsid w:val="00282752"/>
    <w:rsid w:val="00282756"/>
    <w:rsid w:val="002828BA"/>
    <w:rsid w:val="00282A50"/>
    <w:rsid w:val="002839F9"/>
    <w:rsid w:val="00283B8F"/>
    <w:rsid w:val="00283CED"/>
    <w:rsid w:val="00284383"/>
    <w:rsid w:val="00285985"/>
    <w:rsid w:val="0028699A"/>
    <w:rsid w:val="00286FCC"/>
    <w:rsid w:val="002919F1"/>
    <w:rsid w:val="00293845"/>
    <w:rsid w:val="00293B38"/>
    <w:rsid w:val="00293D6C"/>
    <w:rsid w:val="00295BE0"/>
    <w:rsid w:val="00296432"/>
    <w:rsid w:val="00297FAD"/>
    <w:rsid w:val="002A0F3B"/>
    <w:rsid w:val="002A4409"/>
    <w:rsid w:val="002A62E4"/>
    <w:rsid w:val="002A67C9"/>
    <w:rsid w:val="002A6FD8"/>
    <w:rsid w:val="002A70C1"/>
    <w:rsid w:val="002A71C3"/>
    <w:rsid w:val="002A7844"/>
    <w:rsid w:val="002A7AF1"/>
    <w:rsid w:val="002B5E40"/>
    <w:rsid w:val="002B7AB9"/>
    <w:rsid w:val="002B7DB2"/>
    <w:rsid w:val="002B7EAA"/>
    <w:rsid w:val="002C0BB7"/>
    <w:rsid w:val="002C0E21"/>
    <w:rsid w:val="002C16CC"/>
    <w:rsid w:val="002C2B48"/>
    <w:rsid w:val="002C3AC9"/>
    <w:rsid w:val="002C4106"/>
    <w:rsid w:val="002C70E8"/>
    <w:rsid w:val="002C7102"/>
    <w:rsid w:val="002D211B"/>
    <w:rsid w:val="002D2206"/>
    <w:rsid w:val="002D31D2"/>
    <w:rsid w:val="002D36FF"/>
    <w:rsid w:val="002D4268"/>
    <w:rsid w:val="002D6A49"/>
    <w:rsid w:val="002E0CC3"/>
    <w:rsid w:val="002E4745"/>
    <w:rsid w:val="002E52A4"/>
    <w:rsid w:val="002E5333"/>
    <w:rsid w:val="002E543A"/>
    <w:rsid w:val="002F0B3D"/>
    <w:rsid w:val="002F16AC"/>
    <w:rsid w:val="002F321C"/>
    <w:rsid w:val="002F5612"/>
    <w:rsid w:val="002F708C"/>
    <w:rsid w:val="002F7CAD"/>
    <w:rsid w:val="002F7FC6"/>
    <w:rsid w:val="00300FBD"/>
    <w:rsid w:val="003010D7"/>
    <w:rsid w:val="0030247D"/>
    <w:rsid w:val="00302574"/>
    <w:rsid w:val="00302597"/>
    <w:rsid w:val="003028B8"/>
    <w:rsid w:val="00302D24"/>
    <w:rsid w:val="0030385E"/>
    <w:rsid w:val="00306449"/>
    <w:rsid w:val="00306A7D"/>
    <w:rsid w:val="003074F2"/>
    <w:rsid w:val="0031053A"/>
    <w:rsid w:val="00311B07"/>
    <w:rsid w:val="00311D6C"/>
    <w:rsid w:val="0031273F"/>
    <w:rsid w:val="003140D5"/>
    <w:rsid w:val="00315019"/>
    <w:rsid w:val="00315F62"/>
    <w:rsid w:val="00315FF3"/>
    <w:rsid w:val="00317CAA"/>
    <w:rsid w:val="00321502"/>
    <w:rsid w:val="003224A5"/>
    <w:rsid w:val="00323CD7"/>
    <w:rsid w:val="00325830"/>
    <w:rsid w:val="00326DAA"/>
    <w:rsid w:val="00327AC1"/>
    <w:rsid w:val="003305D2"/>
    <w:rsid w:val="00332753"/>
    <w:rsid w:val="003369F2"/>
    <w:rsid w:val="00337B72"/>
    <w:rsid w:val="00340AA3"/>
    <w:rsid w:val="00340ECC"/>
    <w:rsid w:val="003438AA"/>
    <w:rsid w:val="00344645"/>
    <w:rsid w:val="00345A03"/>
    <w:rsid w:val="0034693C"/>
    <w:rsid w:val="00346D2F"/>
    <w:rsid w:val="00347AD3"/>
    <w:rsid w:val="00347ED6"/>
    <w:rsid w:val="00350C3A"/>
    <w:rsid w:val="003515D3"/>
    <w:rsid w:val="0035380C"/>
    <w:rsid w:val="00353E09"/>
    <w:rsid w:val="003543AA"/>
    <w:rsid w:val="003563FF"/>
    <w:rsid w:val="003573EA"/>
    <w:rsid w:val="00357B7C"/>
    <w:rsid w:val="00362023"/>
    <w:rsid w:val="00363210"/>
    <w:rsid w:val="00364328"/>
    <w:rsid w:val="00364AAE"/>
    <w:rsid w:val="00364B1C"/>
    <w:rsid w:val="00365AD1"/>
    <w:rsid w:val="003675C2"/>
    <w:rsid w:val="00367E78"/>
    <w:rsid w:val="00370B43"/>
    <w:rsid w:val="00370F57"/>
    <w:rsid w:val="00371037"/>
    <w:rsid w:val="00373628"/>
    <w:rsid w:val="00377108"/>
    <w:rsid w:val="00377383"/>
    <w:rsid w:val="00380371"/>
    <w:rsid w:val="0038060A"/>
    <w:rsid w:val="00381ECE"/>
    <w:rsid w:val="00382A7B"/>
    <w:rsid w:val="00383B72"/>
    <w:rsid w:val="0038469A"/>
    <w:rsid w:val="00386D61"/>
    <w:rsid w:val="00391664"/>
    <w:rsid w:val="00392900"/>
    <w:rsid w:val="003939B9"/>
    <w:rsid w:val="00394DE5"/>
    <w:rsid w:val="0039596A"/>
    <w:rsid w:val="003960BC"/>
    <w:rsid w:val="00396E3C"/>
    <w:rsid w:val="003A03FD"/>
    <w:rsid w:val="003A1D26"/>
    <w:rsid w:val="003A35ED"/>
    <w:rsid w:val="003A3A4E"/>
    <w:rsid w:val="003A4A13"/>
    <w:rsid w:val="003A51AB"/>
    <w:rsid w:val="003A6259"/>
    <w:rsid w:val="003B1A12"/>
    <w:rsid w:val="003B3DD7"/>
    <w:rsid w:val="003B4427"/>
    <w:rsid w:val="003B49DE"/>
    <w:rsid w:val="003B4A9A"/>
    <w:rsid w:val="003B5131"/>
    <w:rsid w:val="003B67DE"/>
    <w:rsid w:val="003C1564"/>
    <w:rsid w:val="003C1ACB"/>
    <w:rsid w:val="003C2F88"/>
    <w:rsid w:val="003C38FA"/>
    <w:rsid w:val="003C489F"/>
    <w:rsid w:val="003C497B"/>
    <w:rsid w:val="003C4DCB"/>
    <w:rsid w:val="003C5084"/>
    <w:rsid w:val="003C55DA"/>
    <w:rsid w:val="003C689A"/>
    <w:rsid w:val="003C6E32"/>
    <w:rsid w:val="003D0057"/>
    <w:rsid w:val="003D0D90"/>
    <w:rsid w:val="003D31DF"/>
    <w:rsid w:val="003D342A"/>
    <w:rsid w:val="003D7E6B"/>
    <w:rsid w:val="003E0002"/>
    <w:rsid w:val="003E1D89"/>
    <w:rsid w:val="003E40AC"/>
    <w:rsid w:val="003E5758"/>
    <w:rsid w:val="003E59D3"/>
    <w:rsid w:val="003F101A"/>
    <w:rsid w:val="003F12DA"/>
    <w:rsid w:val="003F2613"/>
    <w:rsid w:val="003F2BE1"/>
    <w:rsid w:val="003F3B6A"/>
    <w:rsid w:val="003F4D14"/>
    <w:rsid w:val="003F4F73"/>
    <w:rsid w:val="003F5DD4"/>
    <w:rsid w:val="003F6765"/>
    <w:rsid w:val="003F79BD"/>
    <w:rsid w:val="004004E6"/>
    <w:rsid w:val="0040289B"/>
    <w:rsid w:val="00405E65"/>
    <w:rsid w:val="00407810"/>
    <w:rsid w:val="00410BFF"/>
    <w:rsid w:val="00412674"/>
    <w:rsid w:val="00412976"/>
    <w:rsid w:val="004142B7"/>
    <w:rsid w:val="00414906"/>
    <w:rsid w:val="00414CEE"/>
    <w:rsid w:val="00414E72"/>
    <w:rsid w:val="00415A80"/>
    <w:rsid w:val="00415DD0"/>
    <w:rsid w:val="004168B1"/>
    <w:rsid w:val="0041738A"/>
    <w:rsid w:val="00421A16"/>
    <w:rsid w:val="0042287B"/>
    <w:rsid w:val="004233E0"/>
    <w:rsid w:val="00424DFE"/>
    <w:rsid w:val="00426E69"/>
    <w:rsid w:val="0043035A"/>
    <w:rsid w:val="004306CC"/>
    <w:rsid w:val="00430EFA"/>
    <w:rsid w:val="004325DD"/>
    <w:rsid w:val="0043704B"/>
    <w:rsid w:val="00437AAC"/>
    <w:rsid w:val="00441919"/>
    <w:rsid w:val="00441990"/>
    <w:rsid w:val="004424B3"/>
    <w:rsid w:val="00442BC1"/>
    <w:rsid w:val="004449C9"/>
    <w:rsid w:val="0044640B"/>
    <w:rsid w:val="00446FC6"/>
    <w:rsid w:val="00447B78"/>
    <w:rsid w:val="004506E7"/>
    <w:rsid w:val="00451DBE"/>
    <w:rsid w:val="0045266D"/>
    <w:rsid w:val="00456CA8"/>
    <w:rsid w:val="00456E06"/>
    <w:rsid w:val="004571EE"/>
    <w:rsid w:val="0046101C"/>
    <w:rsid w:val="00462CC8"/>
    <w:rsid w:val="00462EF5"/>
    <w:rsid w:val="00463919"/>
    <w:rsid w:val="004647DE"/>
    <w:rsid w:val="004655BD"/>
    <w:rsid w:val="00465D06"/>
    <w:rsid w:val="0046639E"/>
    <w:rsid w:val="00467663"/>
    <w:rsid w:val="00470BAB"/>
    <w:rsid w:val="00475E9E"/>
    <w:rsid w:val="00476143"/>
    <w:rsid w:val="00480E02"/>
    <w:rsid w:val="00482975"/>
    <w:rsid w:val="00483D57"/>
    <w:rsid w:val="0048550D"/>
    <w:rsid w:val="00486881"/>
    <w:rsid w:val="00487F88"/>
    <w:rsid w:val="00490D41"/>
    <w:rsid w:val="00491882"/>
    <w:rsid w:val="00496517"/>
    <w:rsid w:val="00497C44"/>
    <w:rsid w:val="004A2438"/>
    <w:rsid w:val="004A27D0"/>
    <w:rsid w:val="004A2B1F"/>
    <w:rsid w:val="004A2B21"/>
    <w:rsid w:val="004A30D0"/>
    <w:rsid w:val="004A31B5"/>
    <w:rsid w:val="004A4D15"/>
    <w:rsid w:val="004A57E0"/>
    <w:rsid w:val="004A62A1"/>
    <w:rsid w:val="004A7D37"/>
    <w:rsid w:val="004B0A97"/>
    <w:rsid w:val="004B0DA4"/>
    <w:rsid w:val="004B1FD0"/>
    <w:rsid w:val="004B2680"/>
    <w:rsid w:val="004B59AA"/>
    <w:rsid w:val="004C0E12"/>
    <w:rsid w:val="004C1F8A"/>
    <w:rsid w:val="004C20FE"/>
    <w:rsid w:val="004C3837"/>
    <w:rsid w:val="004C4A19"/>
    <w:rsid w:val="004C50C0"/>
    <w:rsid w:val="004C537D"/>
    <w:rsid w:val="004C5DB9"/>
    <w:rsid w:val="004C69F9"/>
    <w:rsid w:val="004C6A02"/>
    <w:rsid w:val="004C6F9A"/>
    <w:rsid w:val="004C76DD"/>
    <w:rsid w:val="004D1E4A"/>
    <w:rsid w:val="004D2F73"/>
    <w:rsid w:val="004D3732"/>
    <w:rsid w:val="004D5B9C"/>
    <w:rsid w:val="004E2451"/>
    <w:rsid w:val="004E292B"/>
    <w:rsid w:val="004E4F0D"/>
    <w:rsid w:val="004F0FB1"/>
    <w:rsid w:val="004F0FF5"/>
    <w:rsid w:val="004F1654"/>
    <w:rsid w:val="004F21DA"/>
    <w:rsid w:val="004F2544"/>
    <w:rsid w:val="004F286F"/>
    <w:rsid w:val="004F318C"/>
    <w:rsid w:val="004F4A2F"/>
    <w:rsid w:val="004F5577"/>
    <w:rsid w:val="004F6C6A"/>
    <w:rsid w:val="004F7D76"/>
    <w:rsid w:val="004F7E71"/>
    <w:rsid w:val="00501246"/>
    <w:rsid w:val="005019EF"/>
    <w:rsid w:val="0050452D"/>
    <w:rsid w:val="00506832"/>
    <w:rsid w:val="00510CC5"/>
    <w:rsid w:val="00510DE5"/>
    <w:rsid w:val="00511429"/>
    <w:rsid w:val="0051501B"/>
    <w:rsid w:val="005153E5"/>
    <w:rsid w:val="0051548E"/>
    <w:rsid w:val="00515857"/>
    <w:rsid w:val="00516639"/>
    <w:rsid w:val="005174F1"/>
    <w:rsid w:val="00517E6F"/>
    <w:rsid w:val="00525803"/>
    <w:rsid w:val="005272DF"/>
    <w:rsid w:val="00527356"/>
    <w:rsid w:val="00527DC7"/>
    <w:rsid w:val="00530110"/>
    <w:rsid w:val="00530D52"/>
    <w:rsid w:val="00532E08"/>
    <w:rsid w:val="005343F0"/>
    <w:rsid w:val="00534AAF"/>
    <w:rsid w:val="0053569D"/>
    <w:rsid w:val="00536172"/>
    <w:rsid w:val="00540537"/>
    <w:rsid w:val="005417D0"/>
    <w:rsid w:val="00541D14"/>
    <w:rsid w:val="00542E47"/>
    <w:rsid w:val="00543052"/>
    <w:rsid w:val="005451B1"/>
    <w:rsid w:val="005469F0"/>
    <w:rsid w:val="00547388"/>
    <w:rsid w:val="0054784D"/>
    <w:rsid w:val="00550B7F"/>
    <w:rsid w:val="00551AA9"/>
    <w:rsid w:val="00551C2F"/>
    <w:rsid w:val="00551FC2"/>
    <w:rsid w:val="005540FA"/>
    <w:rsid w:val="00555AA3"/>
    <w:rsid w:val="0055675B"/>
    <w:rsid w:val="0055712D"/>
    <w:rsid w:val="0055732E"/>
    <w:rsid w:val="005602F8"/>
    <w:rsid w:val="005607F6"/>
    <w:rsid w:val="0056164F"/>
    <w:rsid w:val="00561A78"/>
    <w:rsid w:val="00561F29"/>
    <w:rsid w:val="005624FE"/>
    <w:rsid w:val="00564DFF"/>
    <w:rsid w:val="00565049"/>
    <w:rsid w:val="005663EE"/>
    <w:rsid w:val="00566F6F"/>
    <w:rsid w:val="005676C7"/>
    <w:rsid w:val="00567F6B"/>
    <w:rsid w:val="005723DB"/>
    <w:rsid w:val="005745C1"/>
    <w:rsid w:val="005753E5"/>
    <w:rsid w:val="005759CA"/>
    <w:rsid w:val="0057689F"/>
    <w:rsid w:val="0057693D"/>
    <w:rsid w:val="00577DA4"/>
    <w:rsid w:val="00582223"/>
    <w:rsid w:val="0058244D"/>
    <w:rsid w:val="00582C4F"/>
    <w:rsid w:val="00583C8F"/>
    <w:rsid w:val="00584629"/>
    <w:rsid w:val="0058498C"/>
    <w:rsid w:val="00584B56"/>
    <w:rsid w:val="00585710"/>
    <w:rsid w:val="00586F99"/>
    <w:rsid w:val="005872A7"/>
    <w:rsid w:val="00591D14"/>
    <w:rsid w:val="005921B8"/>
    <w:rsid w:val="0059333A"/>
    <w:rsid w:val="005A1084"/>
    <w:rsid w:val="005A209D"/>
    <w:rsid w:val="005A49FB"/>
    <w:rsid w:val="005A582A"/>
    <w:rsid w:val="005A5C4F"/>
    <w:rsid w:val="005A6DA9"/>
    <w:rsid w:val="005A6F3A"/>
    <w:rsid w:val="005B056E"/>
    <w:rsid w:val="005B0A4D"/>
    <w:rsid w:val="005B3090"/>
    <w:rsid w:val="005B5DAC"/>
    <w:rsid w:val="005B5E3A"/>
    <w:rsid w:val="005B7B3B"/>
    <w:rsid w:val="005C1237"/>
    <w:rsid w:val="005C3B50"/>
    <w:rsid w:val="005C6F3C"/>
    <w:rsid w:val="005C6F94"/>
    <w:rsid w:val="005C702E"/>
    <w:rsid w:val="005C7BDC"/>
    <w:rsid w:val="005D02E2"/>
    <w:rsid w:val="005D3860"/>
    <w:rsid w:val="005D408D"/>
    <w:rsid w:val="005D672C"/>
    <w:rsid w:val="005D6A28"/>
    <w:rsid w:val="005D7964"/>
    <w:rsid w:val="005E0BF7"/>
    <w:rsid w:val="005E3540"/>
    <w:rsid w:val="005E3678"/>
    <w:rsid w:val="005E3AC7"/>
    <w:rsid w:val="005E5908"/>
    <w:rsid w:val="005E5F65"/>
    <w:rsid w:val="005E791A"/>
    <w:rsid w:val="005F1C45"/>
    <w:rsid w:val="005F28ED"/>
    <w:rsid w:val="005F55D2"/>
    <w:rsid w:val="0060075F"/>
    <w:rsid w:val="00601E5E"/>
    <w:rsid w:val="006030D1"/>
    <w:rsid w:val="00603AC6"/>
    <w:rsid w:val="006057B3"/>
    <w:rsid w:val="00605814"/>
    <w:rsid w:val="0060614E"/>
    <w:rsid w:val="00611A21"/>
    <w:rsid w:val="00614791"/>
    <w:rsid w:val="00614F66"/>
    <w:rsid w:val="006156AE"/>
    <w:rsid w:val="00617296"/>
    <w:rsid w:val="00617F55"/>
    <w:rsid w:val="006204EE"/>
    <w:rsid w:val="00621C33"/>
    <w:rsid w:val="006222B3"/>
    <w:rsid w:val="00624575"/>
    <w:rsid w:val="00624603"/>
    <w:rsid w:val="00624C2F"/>
    <w:rsid w:val="00625411"/>
    <w:rsid w:val="00625F00"/>
    <w:rsid w:val="0062651A"/>
    <w:rsid w:val="00627172"/>
    <w:rsid w:val="0063049D"/>
    <w:rsid w:val="00631FEB"/>
    <w:rsid w:val="0063258F"/>
    <w:rsid w:val="00634BC1"/>
    <w:rsid w:val="00635AFC"/>
    <w:rsid w:val="00640B18"/>
    <w:rsid w:val="00640EF5"/>
    <w:rsid w:val="00642E9F"/>
    <w:rsid w:val="006454D4"/>
    <w:rsid w:val="00646B20"/>
    <w:rsid w:val="00646BF7"/>
    <w:rsid w:val="00651931"/>
    <w:rsid w:val="00651CED"/>
    <w:rsid w:val="00653254"/>
    <w:rsid w:val="00653832"/>
    <w:rsid w:val="00654C24"/>
    <w:rsid w:val="00655A8C"/>
    <w:rsid w:val="006574FB"/>
    <w:rsid w:val="006578E1"/>
    <w:rsid w:val="0066028F"/>
    <w:rsid w:val="006605E2"/>
    <w:rsid w:val="0066150F"/>
    <w:rsid w:val="0066196A"/>
    <w:rsid w:val="00662A82"/>
    <w:rsid w:val="006631CE"/>
    <w:rsid w:val="00663843"/>
    <w:rsid w:val="0066397F"/>
    <w:rsid w:val="00666169"/>
    <w:rsid w:val="0066626C"/>
    <w:rsid w:val="006664DF"/>
    <w:rsid w:val="006675C8"/>
    <w:rsid w:val="00670BDC"/>
    <w:rsid w:val="00673E50"/>
    <w:rsid w:val="006765DC"/>
    <w:rsid w:val="0068023D"/>
    <w:rsid w:val="00680603"/>
    <w:rsid w:val="0068165A"/>
    <w:rsid w:val="00681FC8"/>
    <w:rsid w:val="00682ED7"/>
    <w:rsid w:val="00683CE7"/>
    <w:rsid w:val="006843F0"/>
    <w:rsid w:val="00687B10"/>
    <w:rsid w:val="00687BD4"/>
    <w:rsid w:val="006905B9"/>
    <w:rsid w:val="00690913"/>
    <w:rsid w:val="00690B3E"/>
    <w:rsid w:val="006910AA"/>
    <w:rsid w:val="00691D28"/>
    <w:rsid w:val="006924FC"/>
    <w:rsid w:val="00694855"/>
    <w:rsid w:val="0069616D"/>
    <w:rsid w:val="006971DA"/>
    <w:rsid w:val="006975F4"/>
    <w:rsid w:val="006A0B36"/>
    <w:rsid w:val="006A149D"/>
    <w:rsid w:val="006A338C"/>
    <w:rsid w:val="006A373A"/>
    <w:rsid w:val="006A3777"/>
    <w:rsid w:val="006A3C25"/>
    <w:rsid w:val="006A4FBB"/>
    <w:rsid w:val="006A4FDA"/>
    <w:rsid w:val="006A50B6"/>
    <w:rsid w:val="006A7D3B"/>
    <w:rsid w:val="006B1DBC"/>
    <w:rsid w:val="006B3BDA"/>
    <w:rsid w:val="006B4EAE"/>
    <w:rsid w:val="006B6C68"/>
    <w:rsid w:val="006C1870"/>
    <w:rsid w:val="006C4C14"/>
    <w:rsid w:val="006C66D0"/>
    <w:rsid w:val="006D0CA3"/>
    <w:rsid w:val="006D0D06"/>
    <w:rsid w:val="006D1BD4"/>
    <w:rsid w:val="006D5730"/>
    <w:rsid w:val="006D681F"/>
    <w:rsid w:val="006D7832"/>
    <w:rsid w:val="006E4F4C"/>
    <w:rsid w:val="006E5701"/>
    <w:rsid w:val="006E5A46"/>
    <w:rsid w:val="006E6BB5"/>
    <w:rsid w:val="006E7C8E"/>
    <w:rsid w:val="006F1522"/>
    <w:rsid w:val="006F1731"/>
    <w:rsid w:val="006F29C2"/>
    <w:rsid w:val="006F3448"/>
    <w:rsid w:val="006F39A5"/>
    <w:rsid w:val="006F3D51"/>
    <w:rsid w:val="006F4C89"/>
    <w:rsid w:val="006F6ED2"/>
    <w:rsid w:val="006F7453"/>
    <w:rsid w:val="006F755C"/>
    <w:rsid w:val="00701800"/>
    <w:rsid w:val="0070528D"/>
    <w:rsid w:val="007074C6"/>
    <w:rsid w:val="00710E6C"/>
    <w:rsid w:val="00711D81"/>
    <w:rsid w:val="00714101"/>
    <w:rsid w:val="00716249"/>
    <w:rsid w:val="00716C4E"/>
    <w:rsid w:val="007238FA"/>
    <w:rsid w:val="00723A7A"/>
    <w:rsid w:val="00724803"/>
    <w:rsid w:val="00724956"/>
    <w:rsid w:val="00725563"/>
    <w:rsid w:val="007273B0"/>
    <w:rsid w:val="00727E8F"/>
    <w:rsid w:val="00734F6F"/>
    <w:rsid w:val="007365B7"/>
    <w:rsid w:val="00736DB9"/>
    <w:rsid w:val="007376DD"/>
    <w:rsid w:val="00741B72"/>
    <w:rsid w:val="00742965"/>
    <w:rsid w:val="00744ABF"/>
    <w:rsid w:val="00746848"/>
    <w:rsid w:val="00750557"/>
    <w:rsid w:val="007506D6"/>
    <w:rsid w:val="007514DD"/>
    <w:rsid w:val="007547C8"/>
    <w:rsid w:val="00755ED6"/>
    <w:rsid w:val="00756631"/>
    <w:rsid w:val="00756A44"/>
    <w:rsid w:val="00760ED6"/>
    <w:rsid w:val="0076286A"/>
    <w:rsid w:val="007653DD"/>
    <w:rsid w:val="00770E26"/>
    <w:rsid w:val="00772645"/>
    <w:rsid w:val="00773911"/>
    <w:rsid w:val="00773ADC"/>
    <w:rsid w:val="007742B4"/>
    <w:rsid w:val="0077551F"/>
    <w:rsid w:val="007755DB"/>
    <w:rsid w:val="00775660"/>
    <w:rsid w:val="0077613C"/>
    <w:rsid w:val="0077699F"/>
    <w:rsid w:val="00777D8D"/>
    <w:rsid w:val="00777F4B"/>
    <w:rsid w:val="00782343"/>
    <w:rsid w:val="007829E9"/>
    <w:rsid w:val="00782A10"/>
    <w:rsid w:val="00783D75"/>
    <w:rsid w:val="00783E9E"/>
    <w:rsid w:val="007879C2"/>
    <w:rsid w:val="00791E95"/>
    <w:rsid w:val="007926A2"/>
    <w:rsid w:val="00795734"/>
    <w:rsid w:val="007975F0"/>
    <w:rsid w:val="00797A88"/>
    <w:rsid w:val="007A06E5"/>
    <w:rsid w:val="007A253E"/>
    <w:rsid w:val="007A3AC0"/>
    <w:rsid w:val="007A3BBE"/>
    <w:rsid w:val="007A78A1"/>
    <w:rsid w:val="007A7BB0"/>
    <w:rsid w:val="007B3D46"/>
    <w:rsid w:val="007B581E"/>
    <w:rsid w:val="007B5ECA"/>
    <w:rsid w:val="007B74D1"/>
    <w:rsid w:val="007C3C06"/>
    <w:rsid w:val="007C4A23"/>
    <w:rsid w:val="007C4DE2"/>
    <w:rsid w:val="007C4E84"/>
    <w:rsid w:val="007C7581"/>
    <w:rsid w:val="007D13C2"/>
    <w:rsid w:val="007D1E79"/>
    <w:rsid w:val="007D2877"/>
    <w:rsid w:val="007D2AC7"/>
    <w:rsid w:val="007D3787"/>
    <w:rsid w:val="007D47F8"/>
    <w:rsid w:val="007E1E13"/>
    <w:rsid w:val="007E3CD9"/>
    <w:rsid w:val="007E3EBD"/>
    <w:rsid w:val="007E762F"/>
    <w:rsid w:val="007F18AF"/>
    <w:rsid w:val="007F239E"/>
    <w:rsid w:val="007F3277"/>
    <w:rsid w:val="007F5A49"/>
    <w:rsid w:val="007F60E4"/>
    <w:rsid w:val="007F648C"/>
    <w:rsid w:val="007F6885"/>
    <w:rsid w:val="007F6A9B"/>
    <w:rsid w:val="007F77B9"/>
    <w:rsid w:val="007F7E37"/>
    <w:rsid w:val="00800B9A"/>
    <w:rsid w:val="0080155D"/>
    <w:rsid w:val="00801A81"/>
    <w:rsid w:val="00803194"/>
    <w:rsid w:val="008041B9"/>
    <w:rsid w:val="0080455F"/>
    <w:rsid w:val="00805DEA"/>
    <w:rsid w:val="008079EB"/>
    <w:rsid w:val="008116F7"/>
    <w:rsid w:val="00812F8F"/>
    <w:rsid w:val="00814307"/>
    <w:rsid w:val="008148F3"/>
    <w:rsid w:val="0081568E"/>
    <w:rsid w:val="00816196"/>
    <w:rsid w:val="008167AE"/>
    <w:rsid w:val="00816C72"/>
    <w:rsid w:val="0081748E"/>
    <w:rsid w:val="008203B7"/>
    <w:rsid w:val="00820468"/>
    <w:rsid w:val="00822133"/>
    <w:rsid w:val="00822905"/>
    <w:rsid w:val="008230D2"/>
    <w:rsid w:val="0082334C"/>
    <w:rsid w:val="00823DB9"/>
    <w:rsid w:val="00824B85"/>
    <w:rsid w:val="008251CD"/>
    <w:rsid w:val="008253A0"/>
    <w:rsid w:val="00825540"/>
    <w:rsid w:val="0082603D"/>
    <w:rsid w:val="00826A40"/>
    <w:rsid w:val="00826E91"/>
    <w:rsid w:val="00827598"/>
    <w:rsid w:val="0083163B"/>
    <w:rsid w:val="0083377D"/>
    <w:rsid w:val="00834F80"/>
    <w:rsid w:val="00835497"/>
    <w:rsid w:val="00836348"/>
    <w:rsid w:val="008417EC"/>
    <w:rsid w:val="00842BBE"/>
    <w:rsid w:val="00843C07"/>
    <w:rsid w:val="0084534D"/>
    <w:rsid w:val="0084537A"/>
    <w:rsid w:val="00845AB8"/>
    <w:rsid w:val="008473AE"/>
    <w:rsid w:val="008476CD"/>
    <w:rsid w:val="00852223"/>
    <w:rsid w:val="00852E62"/>
    <w:rsid w:val="0085500E"/>
    <w:rsid w:val="008553B5"/>
    <w:rsid w:val="0085621B"/>
    <w:rsid w:val="008574CB"/>
    <w:rsid w:val="00862912"/>
    <w:rsid w:val="00865617"/>
    <w:rsid w:val="0086584A"/>
    <w:rsid w:val="00867B39"/>
    <w:rsid w:val="008704F3"/>
    <w:rsid w:val="00871730"/>
    <w:rsid w:val="00873040"/>
    <w:rsid w:val="008756EA"/>
    <w:rsid w:val="0087578C"/>
    <w:rsid w:val="00877286"/>
    <w:rsid w:val="00881A6D"/>
    <w:rsid w:val="0088263E"/>
    <w:rsid w:val="00883454"/>
    <w:rsid w:val="00890B3D"/>
    <w:rsid w:val="00891792"/>
    <w:rsid w:val="008917FF"/>
    <w:rsid w:val="008929E6"/>
    <w:rsid w:val="00893D35"/>
    <w:rsid w:val="00894999"/>
    <w:rsid w:val="00894FA1"/>
    <w:rsid w:val="0089527B"/>
    <w:rsid w:val="008A1437"/>
    <w:rsid w:val="008A1896"/>
    <w:rsid w:val="008A1EA3"/>
    <w:rsid w:val="008A23AC"/>
    <w:rsid w:val="008A3B59"/>
    <w:rsid w:val="008A4554"/>
    <w:rsid w:val="008A535E"/>
    <w:rsid w:val="008A596B"/>
    <w:rsid w:val="008A6D3E"/>
    <w:rsid w:val="008A70D9"/>
    <w:rsid w:val="008A72E3"/>
    <w:rsid w:val="008A7AFD"/>
    <w:rsid w:val="008B059B"/>
    <w:rsid w:val="008B1F2C"/>
    <w:rsid w:val="008B2182"/>
    <w:rsid w:val="008B24C5"/>
    <w:rsid w:val="008B4DB5"/>
    <w:rsid w:val="008B5FD1"/>
    <w:rsid w:val="008B6D75"/>
    <w:rsid w:val="008C027F"/>
    <w:rsid w:val="008C0832"/>
    <w:rsid w:val="008C1A05"/>
    <w:rsid w:val="008C546C"/>
    <w:rsid w:val="008C5549"/>
    <w:rsid w:val="008D1037"/>
    <w:rsid w:val="008D50C3"/>
    <w:rsid w:val="008D56D0"/>
    <w:rsid w:val="008D5C5C"/>
    <w:rsid w:val="008D7A36"/>
    <w:rsid w:val="008D7F50"/>
    <w:rsid w:val="008E0730"/>
    <w:rsid w:val="008E1022"/>
    <w:rsid w:val="008E1584"/>
    <w:rsid w:val="008E1DFF"/>
    <w:rsid w:val="008E213E"/>
    <w:rsid w:val="008E3227"/>
    <w:rsid w:val="008E3344"/>
    <w:rsid w:val="008E4E08"/>
    <w:rsid w:val="008E53C7"/>
    <w:rsid w:val="008E7BEA"/>
    <w:rsid w:val="008F078F"/>
    <w:rsid w:val="008F1257"/>
    <w:rsid w:val="008F4631"/>
    <w:rsid w:val="008F5C13"/>
    <w:rsid w:val="008F7304"/>
    <w:rsid w:val="009017B4"/>
    <w:rsid w:val="009022E6"/>
    <w:rsid w:val="00902DD7"/>
    <w:rsid w:val="0090302B"/>
    <w:rsid w:val="00903924"/>
    <w:rsid w:val="009057EF"/>
    <w:rsid w:val="00905AAC"/>
    <w:rsid w:val="009118D4"/>
    <w:rsid w:val="00912386"/>
    <w:rsid w:val="0091266C"/>
    <w:rsid w:val="00913797"/>
    <w:rsid w:val="00914A7A"/>
    <w:rsid w:val="00914EC4"/>
    <w:rsid w:val="009162C1"/>
    <w:rsid w:val="00916375"/>
    <w:rsid w:val="00921A67"/>
    <w:rsid w:val="00921F23"/>
    <w:rsid w:val="00921FF6"/>
    <w:rsid w:val="00922065"/>
    <w:rsid w:val="00925748"/>
    <w:rsid w:val="0092646E"/>
    <w:rsid w:val="00927FC8"/>
    <w:rsid w:val="0093127F"/>
    <w:rsid w:val="00931417"/>
    <w:rsid w:val="009316D8"/>
    <w:rsid w:val="0093243D"/>
    <w:rsid w:val="00932F7F"/>
    <w:rsid w:val="00934181"/>
    <w:rsid w:val="00934461"/>
    <w:rsid w:val="00941E9F"/>
    <w:rsid w:val="00942019"/>
    <w:rsid w:val="00943217"/>
    <w:rsid w:val="009447B0"/>
    <w:rsid w:val="00944B01"/>
    <w:rsid w:val="0094533A"/>
    <w:rsid w:val="009468B1"/>
    <w:rsid w:val="00946D98"/>
    <w:rsid w:val="00946F28"/>
    <w:rsid w:val="0095116B"/>
    <w:rsid w:val="0095191D"/>
    <w:rsid w:val="00953BCB"/>
    <w:rsid w:val="00953E2B"/>
    <w:rsid w:val="009554C2"/>
    <w:rsid w:val="00955C6E"/>
    <w:rsid w:val="00955E90"/>
    <w:rsid w:val="00956D82"/>
    <w:rsid w:val="00961DE3"/>
    <w:rsid w:val="00963212"/>
    <w:rsid w:val="0096393A"/>
    <w:rsid w:val="009639C0"/>
    <w:rsid w:val="00964E24"/>
    <w:rsid w:val="0096521F"/>
    <w:rsid w:val="00970B69"/>
    <w:rsid w:val="009726A8"/>
    <w:rsid w:val="00972E48"/>
    <w:rsid w:val="00973257"/>
    <w:rsid w:val="00973A35"/>
    <w:rsid w:val="00974AE6"/>
    <w:rsid w:val="00974D8B"/>
    <w:rsid w:val="009766C5"/>
    <w:rsid w:val="009767F9"/>
    <w:rsid w:val="00976E47"/>
    <w:rsid w:val="00980672"/>
    <w:rsid w:val="009808F8"/>
    <w:rsid w:val="00981ACB"/>
    <w:rsid w:val="00983CA5"/>
    <w:rsid w:val="0098402A"/>
    <w:rsid w:val="009841A2"/>
    <w:rsid w:val="00984272"/>
    <w:rsid w:val="009847FA"/>
    <w:rsid w:val="00984E7B"/>
    <w:rsid w:val="00984FBB"/>
    <w:rsid w:val="00985B2E"/>
    <w:rsid w:val="0098785F"/>
    <w:rsid w:val="00987B62"/>
    <w:rsid w:val="00991AB7"/>
    <w:rsid w:val="00992623"/>
    <w:rsid w:val="00993E11"/>
    <w:rsid w:val="00993E32"/>
    <w:rsid w:val="009943EA"/>
    <w:rsid w:val="00995445"/>
    <w:rsid w:val="009A052F"/>
    <w:rsid w:val="009A0EC8"/>
    <w:rsid w:val="009A3BB5"/>
    <w:rsid w:val="009A7112"/>
    <w:rsid w:val="009A7A65"/>
    <w:rsid w:val="009A7BE8"/>
    <w:rsid w:val="009A7CD0"/>
    <w:rsid w:val="009B1C81"/>
    <w:rsid w:val="009B1FE6"/>
    <w:rsid w:val="009B2A2C"/>
    <w:rsid w:val="009B318B"/>
    <w:rsid w:val="009B4684"/>
    <w:rsid w:val="009B5209"/>
    <w:rsid w:val="009B596A"/>
    <w:rsid w:val="009B5FB2"/>
    <w:rsid w:val="009B602F"/>
    <w:rsid w:val="009B6279"/>
    <w:rsid w:val="009B6E44"/>
    <w:rsid w:val="009B7857"/>
    <w:rsid w:val="009B7934"/>
    <w:rsid w:val="009C00BE"/>
    <w:rsid w:val="009C01BB"/>
    <w:rsid w:val="009C0653"/>
    <w:rsid w:val="009C0A23"/>
    <w:rsid w:val="009C0E9E"/>
    <w:rsid w:val="009C1577"/>
    <w:rsid w:val="009C167C"/>
    <w:rsid w:val="009C22C7"/>
    <w:rsid w:val="009C5E7E"/>
    <w:rsid w:val="009C7899"/>
    <w:rsid w:val="009D035A"/>
    <w:rsid w:val="009D0734"/>
    <w:rsid w:val="009D1784"/>
    <w:rsid w:val="009D3EFB"/>
    <w:rsid w:val="009D484C"/>
    <w:rsid w:val="009D5C80"/>
    <w:rsid w:val="009D6535"/>
    <w:rsid w:val="009D69FB"/>
    <w:rsid w:val="009D7496"/>
    <w:rsid w:val="009D7A0E"/>
    <w:rsid w:val="009E3DB3"/>
    <w:rsid w:val="009E4191"/>
    <w:rsid w:val="009E4E74"/>
    <w:rsid w:val="009E5253"/>
    <w:rsid w:val="009E55EA"/>
    <w:rsid w:val="009E7996"/>
    <w:rsid w:val="009F1BC8"/>
    <w:rsid w:val="009F26A0"/>
    <w:rsid w:val="009F2F0B"/>
    <w:rsid w:val="009F3D09"/>
    <w:rsid w:val="009F429E"/>
    <w:rsid w:val="009F4C13"/>
    <w:rsid w:val="009F57BD"/>
    <w:rsid w:val="00A00B5A"/>
    <w:rsid w:val="00A00D3E"/>
    <w:rsid w:val="00A03617"/>
    <w:rsid w:val="00A0464C"/>
    <w:rsid w:val="00A06FAB"/>
    <w:rsid w:val="00A07D8A"/>
    <w:rsid w:val="00A10A62"/>
    <w:rsid w:val="00A11C1F"/>
    <w:rsid w:val="00A1296C"/>
    <w:rsid w:val="00A13EA6"/>
    <w:rsid w:val="00A1427A"/>
    <w:rsid w:val="00A2176F"/>
    <w:rsid w:val="00A21AB4"/>
    <w:rsid w:val="00A21E8C"/>
    <w:rsid w:val="00A22595"/>
    <w:rsid w:val="00A2279F"/>
    <w:rsid w:val="00A269AB"/>
    <w:rsid w:val="00A274EB"/>
    <w:rsid w:val="00A311FF"/>
    <w:rsid w:val="00A31DE3"/>
    <w:rsid w:val="00A36E5A"/>
    <w:rsid w:val="00A37D09"/>
    <w:rsid w:val="00A409BB"/>
    <w:rsid w:val="00A415A3"/>
    <w:rsid w:val="00A50C95"/>
    <w:rsid w:val="00A50E19"/>
    <w:rsid w:val="00A51B94"/>
    <w:rsid w:val="00A52079"/>
    <w:rsid w:val="00A52126"/>
    <w:rsid w:val="00A529EC"/>
    <w:rsid w:val="00A52EAA"/>
    <w:rsid w:val="00A54CCC"/>
    <w:rsid w:val="00A57065"/>
    <w:rsid w:val="00A60749"/>
    <w:rsid w:val="00A60B42"/>
    <w:rsid w:val="00A61CFF"/>
    <w:rsid w:val="00A63BF1"/>
    <w:rsid w:val="00A63E0D"/>
    <w:rsid w:val="00A6429F"/>
    <w:rsid w:val="00A64F88"/>
    <w:rsid w:val="00A6511F"/>
    <w:rsid w:val="00A71126"/>
    <w:rsid w:val="00A712B8"/>
    <w:rsid w:val="00A742C4"/>
    <w:rsid w:val="00A7474D"/>
    <w:rsid w:val="00A7504E"/>
    <w:rsid w:val="00A81158"/>
    <w:rsid w:val="00A819DF"/>
    <w:rsid w:val="00A8201B"/>
    <w:rsid w:val="00A82271"/>
    <w:rsid w:val="00A830EE"/>
    <w:rsid w:val="00A848DC"/>
    <w:rsid w:val="00A84E54"/>
    <w:rsid w:val="00A91118"/>
    <w:rsid w:val="00A93C8E"/>
    <w:rsid w:val="00A9433C"/>
    <w:rsid w:val="00A96A0B"/>
    <w:rsid w:val="00AA0EBE"/>
    <w:rsid w:val="00AA2DB5"/>
    <w:rsid w:val="00AA6207"/>
    <w:rsid w:val="00AA6C65"/>
    <w:rsid w:val="00AA714F"/>
    <w:rsid w:val="00AA7792"/>
    <w:rsid w:val="00AA7901"/>
    <w:rsid w:val="00AA7DC0"/>
    <w:rsid w:val="00AB1B71"/>
    <w:rsid w:val="00AB243A"/>
    <w:rsid w:val="00AB3B43"/>
    <w:rsid w:val="00AC0D99"/>
    <w:rsid w:val="00AC31E0"/>
    <w:rsid w:val="00AC5234"/>
    <w:rsid w:val="00AC5A81"/>
    <w:rsid w:val="00AD054C"/>
    <w:rsid w:val="00AD0CCF"/>
    <w:rsid w:val="00AD3093"/>
    <w:rsid w:val="00AD3190"/>
    <w:rsid w:val="00AD398B"/>
    <w:rsid w:val="00AD4565"/>
    <w:rsid w:val="00AD57CA"/>
    <w:rsid w:val="00AE0A44"/>
    <w:rsid w:val="00AE3513"/>
    <w:rsid w:val="00AE364F"/>
    <w:rsid w:val="00AE5D4F"/>
    <w:rsid w:val="00AE5F7C"/>
    <w:rsid w:val="00AE601E"/>
    <w:rsid w:val="00AE7264"/>
    <w:rsid w:val="00AF0E8B"/>
    <w:rsid w:val="00AF11CE"/>
    <w:rsid w:val="00AF1882"/>
    <w:rsid w:val="00AF2C95"/>
    <w:rsid w:val="00AF595A"/>
    <w:rsid w:val="00AF7CA0"/>
    <w:rsid w:val="00AF7D3B"/>
    <w:rsid w:val="00B00BA0"/>
    <w:rsid w:val="00B04269"/>
    <w:rsid w:val="00B042F6"/>
    <w:rsid w:val="00B04CE0"/>
    <w:rsid w:val="00B04D8D"/>
    <w:rsid w:val="00B06218"/>
    <w:rsid w:val="00B072C8"/>
    <w:rsid w:val="00B07E11"/>
    <w:rsid w:val="00B1271E"/>
    <w:rsid w:val="00B1276C"/>
    <w:rsid w:val="00B145D5"/>
    <w:rsid w:val="00B1490D"/>
    <w:rsid w:val="00B173D9"/>
    <w:rsid w:val="00B2105F"/>
    <w:rsid w:val="00B22345"/>
    <w:rsid w:val="00B24AE1"/>
    <w:rsid w:val="00B27654"/>
    <w:rsid w:val="00B318C2"/>
    <w:rsid w:val="00B3210E"/>
    <w:rsid w:val="00B3310B"/>
    <w:rsid w:val="00B3698A"/>
    <w:rsid w:val="00B37B4E"/>
    <w:rsid w:val="00B427FF"/>
    <w:rsid w:val="00B44D73"/>
    <w:rsid w:val="00B45503"/>
    <w:rsid w:val="00B4598F"/>
    <w:rsid w:val="00B45CC8"/>
    <w:rsid w:val="00B542F4"/>
    <w:rsid w:val="00B54BBA"/>
    <w:rsid w:val="00B57526"/>
    <w:rsid w:val="00B61626"/>
    <w:rsid w:val="00B61673"/>
    <w:rsid w:val="00B62196"/>
    <w:rsid w:val="00B625CE"/>
    <w:rsid w:val="00B631F5"/>
    <w:rsid w:val="00B63D9E"/>
    <w:rsid w:val="00B6580A"/>
    <w:rsid w:val="00B70181"/>
    <w:rsid w:val="00B76374"/>
    <w:rsid w:val="00B778E4"/>
    <w:rsid w:val="00B8039D"/>
    <w:rsid w:val="00B80D3F"/>
    <w:rsid w:val="00B827F8"/>
    <w:rsid w:val="00B835DC"/>
    <w:rsid w:val="00B849D3"/>
    <w:rsid w:val="00B8644E"/>
    <w:rsid w:val="00B87482"/>
    <w:rsid w:val="00B910BD"/>
    <w:rsid w:val="00B91EE0"/>
    <w:rsid w:val="00B93267"/>
    <w:rsid w:val="00B94EDC"/>
    <w:rsid w:val="00B965B3"/>
    <w:rsid w:val="00B97348"/>
    <w:rsid w:val="00B97403"/>
    <w:rsid w:val="00B97422"/>
    <w:rsid w:val="00BA048B"/>
    <w:rsid w:val="00BA08AF"/>
    <w:rsid w:val="00BA1C31"/>
    <w:rsid w:val="00BA2660"/>
    <w:rsid w:val="00BA4610"/>
    <w:rsid w:val="00BA5F56"/>
    <w:rsid w:val="00BB07B0"/>
    <w:rsid w:val="00BB2C39"/>
    <w:rsid w:val="00BB7188"/>
    <w:rsid w:val="00BB7625"/>
    <w:rsid w:val="00BC097A"/>
    <w:rsid w:val="00BC0B27"/>
    <w:rsid w:val="00BC25AE"/>
    <w:rsid w:val="00BC3657"/>
    <w:rsid w:val="00BC510D"/>
    <w:rsid w:val="00BC732A"/>
    <w:rsid w:val="00BD10F3"/>
    <w:rsid w:val="00BD16CD"/>
    <w:rsid w:val="00BD3234"/>
    <w:rsid w:val="00BD7443"/>
    <w:rsid w:val="00BE20B2"/>
    <w:rsid w:val="00BE33E4"/>
    <w:rsid w:val="00BE345D"/>
    <w:rsid w:val="00BE3485"/>
    <w:rsid w:val="00BE34C9"/>
    <w:rsid w:val="00BE439D"/>
    <w:rsid w:val="00BE619B"/>
    <w:rsid w:val="00BF021E"/>
    <w:rsid w:val="00BF1AA7"/>
    <w:rsid w:val="00BF3594"/>
    <w:rsid w:val="00BF3623"/>
    <w:rsid w:val="00BF44CD"/>
    <w:rsid w:val="00BF4D11"/>
    <w:rsid w:val="00BF515C"/>
    <w:rsid w:val="00BF5798"/>
    <w:rsid w:val="00BF6448"/>
    <w:rsid w:val="00BF79CF"/>
    <w:rsid w:val="00C02AE5"/>
    <w:rsid w:val="00C049F5"/>
    <w:rsid w:val="00C05386"/>
    <w:rsid w:val="00C05ACE"/>
    <w:rsid w:val="00C063A4"/>
    <w:rsid w:val="00C07E99"/>
    <w:rsid w:val="00C11879"/>
    <w:rsid w:val="00C118F4"/>
    <w:rsid w:val="00C11D5D"/>
    <w:rsid w:val="00C123FE"/>
    <w:rsid w:val="00C13386"/>
    <w:rsid w:val="00C151EC"/>
    <w:rsid w:val="00C153BA"/>
    <w:rsid w:val="00C15518"/>
    <w:rsid w:val="00C16B67"/>
    <w:rsid w:val="00C22507"/>
    <w:rsid w:val="00C22872"/>
    <w:rsid w:val="00C2398F"/>
    <w:rsid w:val="00C248C9"/>
    <w:rsid w:val="00C26A91"/>
    <w:rsid w:val="00C3029F"/>
    <w:rsid w:val="00C3068B"/>
    <w:rsid w:val="00C31954"/>
    <w:rsid w:val="00C32E59"/>
    <w:rsid w:val="00C34C5E"/>
    <w:rsid w:val="00C355CB"/>
    <w:rsid w:val="00C35733"/>
    <w:rsid w:val="00C362E2"/>
    <w:rsid w:val="00C37F5D"/>
    <w:rsid w:val="00C404C9"/>
    <w:rsid w:val="00C433BC"/>
    <w:rsid w:val="00C44DB4"/>
    <w:rsid w:val="00C4621D"/>
    <w:rsid w:val="00C46931"/>
    <w:rsid w:val="00C46B28"/>
    <w:rsid w:val="00C47F69"/>
    <w:rsid w:val="00C511FB"/>
    <w:rsid w:val="00C559CB"/>
    <w:rsid w:val="00C55A2A"/>
    <w:rsid w:val="00C61BAA"/>
    <w:rsid w:val="00C61C64"/>
    <w:rsid w:val="00C62236"/>
    <w:rsid w:val="00C62418"/>
    <w:rsid w:val="00C627B0"/>
    <w:rsid w:val="00C62EAC"/>
    <w:rsid w:val="00C63A3A"/>
    <w:rsid w:val="00C63C9F"/>
    <w:rsid w:val="00C65CBA"/>
    <w:rsid w:val="00C673B5"/>
    <w:rsid w:val="00C7105A"/>
    <w:rsid w:val="00C715CB"/>
    <w:rsid w:val="00C7236F"/>
    <w:rsid w:val="00C750AF"/>
    <w:rsid w:val="00C754A8"/>
    <w:rsid w:val="00C758E5"/>
    <w:rsid w:val="00C75D4D"/>
    <w:rsid w:val="00C763E0"/>
    <w:rsid w:val="00C77AF1"/>
    <w:rsid w:val="00C802B5"/>
    <w:rsid w:val="00C81516"/>
    <w:rsid w:val="00C8174D"/>
    <w:rsid w:val="00C8212B"/>
    <w:rsid w:val="00C85D14"/>
    <w:rsid w:val="00C86057"/>
    <w:rsid w:val="00C86873"/>
    <w:rsid w:val="00C876F1"/>
    <w:rsid w:val="00C92623"/>
    <w:rsid w:val="00C92821"/>
    <w:rsid w:val="00C93F52"/>
    <w:rsid w:val="00C94ADF"/>
    <w:rsid w:val="00C9668C"/>
    <w:rsid w:val="00C9744F"/>
    <w:rsid w:val="00CA049B"/>
    <w:rsid w:val="00CA063B"/>
    <w:rsid w:val="00CA16A8"/>
    <w:rsid w:val="00CA1726"/>
    <w:rsid w:val="00CA188F"/>
    <w:rsid w:val="00CA1DF6"/>
    <w:rsid w:val="00CA25E0"/>
    <w:rsid w:val="00CA3A11"/>
    <w:rsid w:val="00CA48C3"/>
    <w:rsid w:val="00CA4E50"/>
    <w:rsid w:val="00CA61F8"/>
    <w:rsid w:val="00CA6417"/>
    <w:rsid w:val="00CA6442"/>
    <w:rsid w:val="00CA6FB5"/>
    <w:rsid w:val="00CA7DCF"/>
    <w:rsid w:val="00CB0A57"/>
    <w:rsid w:val="00CB18D9"/>
    <w:rsid w:val="00CB2420"/>
    <w:rsid w:val="00CB3CDD"/>
    <w:rsid w:val="00CB668B"/>
    <w:rsid w:val="00CB6E5A"/>
    <w:rsid w:val="00CB74F8"/>
    <w:rsid w:val="00CB7F67"/>
    <w:rsid w:val="00CC0680"/>
    <w:rsid w:val="00CC0862"/>
    <w:rsid w:val="00CC0DE9"/>
    <w:rsid w:val="00CC1AD1"/>
    <w:rsid w:val="00CC1D78"/>
    <w:rsid w:val="00CC1F7E"/>
    <w:rsid w:val="00CC5F8F"/>
    <w:rsid w:val="00CD04E0"/>
    <w:rsid w:val="00CD3AC4"/>
    <w:rsid w:val="00CD3F90"/>
    <w:rsid w:val="00CD4270"/>
    <w:rsid w:val="00CD4EA7"/>
    <w:rsid w:val="00CD5044"/>
    <w:rsid w:val="00CD56D6"/>
    <w:rsid w:val="00CD5974"/>
    <w:rsid w:val="00CD5EB5"/>
    <w:rsid w:val="00CD6EAD"/>
    <w:rsid w:val="00CD75F0"/>
    <w:rsid w:val="00CE27CA"/>
    <w:rsid w:val="00CE4A08"/>
    <w:rsid w:val="00CE5A28"/>
    <w:rsid w:val="00CE5D7B"/>
    <w:rsid w:val="00CE78F4"/>
    <w:rsid w:val="00CF0184"/>
    <w:rsid w:val="00CF0414"/>
    <w:rsid w:val="00CF06A7"/>
    <w:rsid w:val="00CF1FB9"/>
    <w:rsid w:val="00CF2CCD"/>
    <w:rsid w:val="00CF3287"/>
    <w:rsid w:val="00CF3C05"/>
    <w:rsid w:val="00CF4481"/>
    <w:rsid w:val="00CF4E67"/>
    <w:rsid w:val="00CF5EB7"/>
    <w:rsid w:val="00CF7339"/>
    <w:rsid w:val="00D0153B"/>
    <w:rsid w:val="00D0184F"/>
    <w:rsid w:val="00D03553"/>
    <w:rsid w:val="00D04662"/>
    <w:rsid w:val="00D04D3A"/>
    <w:rsid w:val="00D05AEB"/>
    <w:rsid w:val="00D0780E"/>
    <w:rsid w:val="00D10A2C"/>
    <w:rsid w:val="00D121EF"/>
    <w:rsid w:val="00D167E7"/>
    <w:rsid w:val="00D16DFB"/>
    <w:rsid w:val="00D1703E"/>
    <w:rsid w:val="00D22158"/>
    <w:rsid w:val="00D22F91"/>
    <w:rsid w:val="00D2331B"/>
    <w:rsid w:val="00D23A53"/>
    <w:rsid w:val="00D23AF2"/>
    <w:rsid w:val="00D23B42"/>
    <w:rsid w:val="00D26595"/>
    <w:rsid w:val="00D27B17"/>
    <w:rsid w:val="00D332D1"/>
    <w:rsid w:val="00D33AE8"/>
    <w:rsid w:val="00D33D28"/>
    <w:rsid w:val="00D3683C"/>
    <w:rsid w:val="00D369EC"/>
    <w:rsid w:val="00D36C1E"/>
    <w:rsid w:val="00D36E22"/>
    <w:rsid w:val="00D373F3"/>
    <w:rsid w:val="00D41B9C"/>
    <w:rsid w:val="00D41F2A"/>
    <w:rsid w:val="00D4239F"/>
    <w:rsid w:val="00D46CF9"/>
    <w:rsid w:val="00D4762F"/>
    <w:rsid w:val="00D47B42"/>
    <w:rsid w:val="00D51D40"/>
    <w:rsid w:val="00D52775"/>
    <w:rsid w:val="00D52E15"/>
    <w:rsid w:val="00D61486"/>
    <w:rsid w:val="00D61B53"/>
    <w:rsid w:val="00D61EFE"/>
    <w:rsid w:val="00D622AF"/>
    <w:rsid w:val="00D64044"/>
    <w:rsid w:val="00D64F91"/>
    <w:rsid w:val="00D675D9"/>
    <w:rsid w:val="00D67763"/>
    <w:rsid w:val="00D67BA3"/>
    <w:rsid w:val="00D70934"/>
    <w:rsid w:val="00D729CB"/>
    <w:rsid w:val="00D73CE6"/>
    <w:rsid w:val="00D7439C"/>
    <w:rsid w:val="00D75077"/>
    <w:rsid w:val="00D76F02"/>
    <w:rsid w:val="00D8289C"/>
    <w:rsid w:val="00D83AB1"/>
    <w:rsid w:val="00D86274"/>
    <w:rsid w:val="00D8680B"/>
    <w:rsid w:val="00D87817"/>
    <w:rsid w:val="00D909C3"/>
    <w:rsid w:val="00D93BE4"/>
    <w:rsid w:val="00D93C06"/>
    <w:rsid w:val="00D94B43"/>
    <w:rsid w:val="00D9636F"/>
    <w:rsid w:val="00DA1782"/>
    <w:rsid w:val="00DA318C"/>
    <w:rsid w:val="00DA3E7B"/>
    <w:rsid w:val="00DA44C0"/>
    <w:rsid w:val="00DA4BE0"/>
    <w:rsid w:val="00DA4CEE"/>
    <w:rsid w:val="00DA64EF"/>
    <w:rsid w:val="00DA78D5"/>
    <w:rsid w:val="00DB0170"/>
    <w:rsid w:val="00DB0BBC"/>
    <w:rsid w:val="00DB18C1"/>
    <w:rsid w:val="00DB3150"/>
    <w:rsid w:val="00DB3312"/>
    <w:rsid w:val="00DB4584"/>
    <w:rsid w:val="00DB5C31"/>
    <w:rsid w:val="00DB61C8"/>
    <w:rsid w:val="00DB646E"/>
    <w:rsid w:val="00DB6C49"/>
    <w:rsid w:val="00DC013C"/>
    <w:rsid w:val="00DC0B9F"/>
    <w:rsid w:val="00DC0C4C"/>
    <w:rsid w:val="00DC3D41"/>
    <w:rsid w:val="00DC5372"/>
    <w:rsid w:val="00DC6568"/>
    <w:rsid w:val="00DD09B2"/>
    <w:rsid w:val="00DD3428"/>
    <w:rsid w:val="00DD3DD5"/>
    <w:rsid w:val="00DD4534"/>
    <w:rsid w:val="00DD487F"/>
    <w:rsid w:val="00DD507C"/>
    <w:rsid w:val="00DD5369"/>
    <w:rsid w:val="00DD5D2E"/>
    <w:rsid w:val="00DD6B5F"/>
    <w:rsid w:val="00DE113B"/>
    <w:rsid w:val="00DE1B22"/>
    <w:rsid w:val="00DE291D"/>
    <w:rsid w:val="00DE2CB2"/>
    <w:rsid w:val="00DE5ED7"/>
    <w:rsid w:val="00DE6E73"/>
    <w:rsid w:val="00DE7000"/>
    <w:rsid w:val="00DE782B"/>
    <w:rsid w:val="00DE78AB"/>
    <w:rsid w:val="00DF0FC0"/>
    <w:rsid w:val="00DF10C8"/>
    <w:rsid w:val="00DF3968"/>
    <w:rsid w:val="00DF58F0"/>
    <w:rsid w:val="00DF5F7C"/>
    <w:rsid w:val="00E03B4E"/>
    <w:rsid w:val="00E05530"/>
    <w:rsid w:val="00E0560F"/>
    <w:rsid w:val="00E101FC"/>
    <w:rsid w:val="00E11090"/>
    <w:rsid w:val="00E120FE"/>
    <w:rsid w:val="00E22CE2"/>
    <w:rsid w:val="00E2411D"/>
    <w:rsid w:val="00E254C5"/>
    <w:rsid w:val="00E26317"/>
    <w:rsid w:val="00E263BE"/>
    <w:rsid w:val="00E277AF"/>
    <w:rsid w:val="00E278EA"/>
    <w:rsid w:val="00E31BCA"/>
    <w:rsid w:val="00E33620"/>
    <w:rsid w:val="00E337E0"/>
    <w:rsid w:val="00E35245"/>
    <w:rsid w:val="00E37293"/>
    <w:rsid w:val="00E40010"/>
    <w:rsid w:val="00E41193"/>
    <w:rsid w:val="00E427BE"/>
    <w:rsid w:val="00E42F2C"/>
    <w:rsid w:val="00E440DD"/>
    <w:rsid w:val="00E456E1"/>
    <w:rsid w:val="00E458B7"/>
    <w:rsid w:val="00E475DC"/>
    <w:rsid w:val="00E47AD3"/>
    <w:rsid w:val="00E50F86"/>
    <w:rsid w:val="00E519F6"/>
    <w:rsid w:val="00E51B94"/>
    <w:rsid w:val="00E52254"/>
    <w:rsid w:val="00E54207"/>
    <w:rsid w:val="00E54213"/>
    <w:rsid w:val="00E5444F"/>
    <w:rsid w:val="00E56B4E"/>
    <w:rsid w:val="00E5710A"/>
    <w:rsid w:val="00E57361"/>
    <w:rsid w:val="00E57653"/>
    <w:rsid w:val="00E60128"/>
    <w:rsid w:val="00E62673"/>
    <w:rsid w:val="00E63A7E"/>
    <w:rsid w:val="00E63B6F"/>
    <w:rsid w:val="00E6457B"/>
    <w:rsid w:val="00E66174"/>
    <w:rsid w:val="00E669C5"/>
    <w:rsid w:val="00E673A7"/>
    <w:rsid w:val="00E70555"/>
    <w:rsid w:val="00E73D49"/>
    <w:rsid w:val="00E74F3D"/>
    <w:rsid w:val="00E762F7"/>
    <w:rsid w:val="00E81B44"/>
    <w:rsid w:val="00E82293"/>
    <w:rsid w:val="00E822A4"/>
    <w:rsid w:val="00E82E03"/>
    <w:rsid w:val="00E83BDB"/>
    <w:rsid w:val="00E842F5"/>
    <w:rsid w:val="00E84765"/>
    <w:rsid w:val="00E85B8A"/>
    <w:rsid w:val="00E9085E"/>
    <w:rsid w:val="00E91612"/>
    <w:rsid w:val="00E93EE0"/>
    <w:rsid w:val="00E95706"/>
    <w:rsid w:val="00E95D52"/>
    <w:rsid w:val="00E95FFE"/>
    <w:rsid w:val="00EA0CCC"/>
    <w:rsid w:val="00EA363B"/>
    <w:rsid w:val="00EA39B9"/>
    <w:rsid w:val="00EA3E1D"/>
    <w:rsid w:val="00EA488E"/>
    <w:rsid w:val="00EB0BC6"/>
    <w:rsid w:val="00EB52C4"/>
    <w:rsid w:val="00EB6329"/>
    <w:rsid w:val="00EB64AC"/>
    <w:rsid w:val="00EC17DD"/>
    <w:rsid w:val="00EC2DBE"/>
    <w:rsid w:val="00EC31AE"/>
    <w:rsid w:val="00EC3B77"/>
    <w:rsid w:val="00EC4193"/>
    <w:rsid w:val="00EC4DB3"/>
    <w:rsid w:val="00EC5CC3"/>
    <w:rsid w:val="00EC78C4"/>
    <w:rsid w:val="00ED01A0"/>
    <w:rsid w:val="00ED4FE8"/>
    <w:rsid w:val="00ED6061"/>
    <w:rsid w:val="00ED6CE5"/>
    <w:rsid w:val="00ED70B5"/>
    <w:rsid w:val="00ED7425"/>
    <w:rsid w:val="00ED7F7E"/>
    <w:rsid w:val="00EE0098"/>
    <w:rsid w:val="00EE25E3"/>
    <w:rsid w:val="00EE299D"/>
    <w:rsid w:val="00EE2FEB"/>
    <w:rsid w:val="00EE32ED"/>
    <w:rsid w:val="00EE3460"/>
    <w:rsid w:val="00EE45D7"/>
    <w:rsid w:val="00EE4746"/>
    <w:rsid w:val="00EE48F3"/>
    <w:rsid w:val="00EE48FB"/>
    <w:rsid w:val="00EE669A"/>
    <w:rsid w:val="00EE66E7"/>
    <w:rsid w:val="00EE708B"/>
    <w:rsid w:val="00EE7FFE"/>
    <w:rsid w:val="00EF02D9"/>
    <w:rsid w:val="00EF13A3"/>
    <w:rsid w:val="00EF18E1"/>
    <w:rsid w:val="00EF1C4E"/>
    <w:rsid w:val="00EF21A2"/>
    <w:rsid w:val="00EF2C10"/>
    <w:rsid w:val="00EF3AFB"/>
    <w:rsid w:val="00EF481A"/>
    <w:rsid w:val="00F045FF"/>
    <w:rsid w:val="00F04CAA"/>
    <w:rsid w:val="00F054F3"/>
    <w:rsid w:val="00F05D8E"/>
    <w:rsid w:val="00F0621F"/>
    <w:rsid w:val="00F11803"/>
    <w:rsid w:val="00F14444"/>
    <w:rsid w:val="00F22060"/>
    <w:rsid w:val="00F221FD"/>
    <w:rsid w:val="00F24EB5"/>
    <w:rsid w:val="00F25416"/>
    <w:rsid w:val="00F2587C"/>
    <w:rsid w:val="00F2661D"/>
    <w:rsid w:val="00F26ECA"/>
    <w:rsid w:val="00F277C8"/>
    <w:rsid w:val="00F27BE3"/>
    <w:rsid w:val="00F303D6"/>
    <w:rsid w:val="00F311C7"/>
    <w:rsid w:val="00F32CA5"/>
    <w:rsid w:val="00F37D81"/>
    <w:rsid w:val="00F43920"/>
    <w:rsid w:val="00F43936"/>
    <w:rsid w:val="00F44570"/>
    <w:rsid w:val="00F44C26"/>
    <w:rsid w:val="00F461ED"/>
    <w:rsid w:val="00F46FF0"/>
    <w:rsid w:val="00F4730F"/>
    <w:rsid w:val="00F5194C"/>
    <w:rsid w:val="00F52378"/>
    <w:rsid w:val="00F55989"/>
    <w:rsid w:val="00F55DA1"/>
    <w:rsid w:val="00F60EF9"/>
    <w:rsid w:val="00F6274F"/>
    <w:rsid w:val="00F63472"/>
    <w:rsid w:val="00F675A5"/>
    <w:rsid w:val="00F70DBF"/>
    <w:rsid w:val="00F72567"/>
    <w:rsid w:val="00F727AC"/>
    <w:rsid w:val="00F73141"/>
    <w:rsid w:val="00F73B25"/>
    <w:rsid w:val="00F74860"/>
    <w:rsid w:val="00F74A6E"/>
    <w:rsid w:val="00F779D3"/>
    <w:rsid w:val="00F809B4"/>
    <w:rsid w:val="00F82D77"/>
    <w:rsid w:val="00F83BC0"/>
    <w:rsid w:val="00F85687"/>
    <w:rsid w:val="00F9070C"/>
    <w:rsid w:val="00F90B2F"/>
    <w:rsid w:val="00F90E01"/>
    <w:rsid w:val="00F91599"/>
    <w:rsid w:val="00F92D71"/>
    <w:rsid w:val="00F92D7D"/>
    <w:rsid w:val="00F933D7"/>
    <w:rsid w:val="00F938C9"/>
    <w:rsid w:val="00F94C31"/>
    <w:rsid w:val="00F94D58"/>
    <w:rsid w:val="00F9614A"/>
    <w:rsid w:val="00FA1389"/>
    <w:rsid w:val="00FA36B3"/>
    <w:rsid w:val="00FA43F5"/>
    <w:rsid w:val="00FA4C4B"/>
    <w:rsid w:val="00FA4D21"/>
    <w:rsid w:val="00FA5535"/>
    <w:rsid w:val="00FA7927"/>
    <w:rsid w:val="00FB0788"/>
    <w:rsid w:val="00FB16F7"/>
    <w:rsid w:val="00FB1C1F"/>
    <w:rsid w:val="00FB2B5C"/>
    <w:rsid w:val="00FB36FD"/>
    <w:rsid w:val="00FB3F76"/>
    <w:rsid w:val="00FB57B1"/>
    <w:rsid w:val="00FB5B20"/>
    <w:rsid w:val="00FB6CE2"/>
    <w:rsid w:val="00FC174D"/>
    <w:rsid w:val="00FC2E8A"/>
    <w:rsid w:val="00FC3D7B"/>
    <w:rsid w:val="00FC4772"/>
    <w:rsid w:val="00FC5D08"/>
    <w:rsid w:val="00FC6AEC"/>
    <w:rsid w:val="00FC74D0"/>
    <w:rsid w:val="00FD0DBE"/>
    <w:rsid w:val="00FD11F6"/>
    <w:rsid w:val="00FD19E0"/>
    <w:rsid w:val="00FD1CD1"/>
    <w:rsid w:val="00FD1CF9"/>
    <w:rsid w:val="00FD26F5"/>
    <w:rsid w:val="00FD4001"/>
    <w:rsid w:val="00FD4B6C"/>
    <w:rsid w:val="00FD4C99"/>
    <w:rsid w:val="00FD5480"/>
    <w:rsid w:val="00FD61EE"/>
    <w:rsid w:val="00FE2CE1"/>
    <w:rsid w:val="00FE4122"/>
    <w:rsid w:val="00FE47BA"/>
    <w:rsid w:val="00FE5617"/>
    <w:rsid w:val="00FE6257"/>
    <w:rsid w:val="00FE71DB"/>
    <w:rsid w:val="00FE7D7F"/>
    <w:rsid w:val="00FF0C24"/>
    <w:rsid w:val="00FF360C"/>
    <w:rsid w:val="00FF7A69"/>
    <w:rsid w:val="0A8FE267"/>
    <w:rsid w:val="122399B1"/>
    <w:rsid w:val="1B6B725B"/>
    <w:rsid w:val="2179E4D7"/>
    <w:rsid w:val="320677A0"/>
    <w:rsid w:val="46FD0A06"/>
    <w:rsid w:val="792CD8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FFA97D95-1C0E-4823-ACB9-48E6F626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BlockheadingChar">
    <w:name w:val="Block heading Char"/>
    <w:link w:val="Blockheading"/>
    <w:locked/>
    <w:rsid w:val="00E762F7"/>
    <w:rPr>
      <w:rFonts w:eastAsiaTheme="majorEastAsia" w:cstheme="majorBidi"/>
      <w:b/>
      <w:iCs/>
      <w:sz w:val="26"/>
    </w:rPr>
  </w:style>
  <w:style w:type="paragraph" w:customStyle="1" w:styleId="Blockheading">
    <w:name w:val="Block heading"/>
    <w:basedOn w:val="Heading4"/>
    <w:next w:val="Normal"/>
    <w:link w:val="BlockheadingChar"/>
    <w:qFormat/>
    <w:rsid w:val="00E762F7"/>
    <w:pPr>
      <w:spacing w:before="0" w:after="240"/>
      <w:outlineLvl w:val="2"/>
    </w:pPr>
    <w:rPr>
      <w:rFonts w:eastAsiaTheme="majorEastAsia" w:cstheme="majorBidi"/>
      <w:bCs w:val="0"/>
      <w:sz w:val="26"/>
      <w:szCs w:val="20"/>
      <w:lang w:eastAsia="en-GB"/>
    </w:rPr>
  </w:style>
  <w:style w:type="character" w:customStyle="1" w:styleId="Text">
    <w:name w:val="Text"/>
    <w:qFormat/>
    <w:rsid w:val="00E762F7"/>
    <w:rPr>
      <w:rFonts w:ascii="Arial" w:hAnsi="Arial"/>
      <w:sz w:val="24"/>
    </w:rPr>
  </w:style>
  <w:style w:type="character" w:customStyle="1" w:styleId="BulletText1Char">
    <w:name w:val="Bullet Text 1 Char"/>
    <w:link w:val="BulletText1"/>
    <w:locked/>
    <w:rsid w:val="00E762F7"/>
  </w:style>
  <w:style w:type="paragraph" w:customStyle="1" w:styleId="BulletText1">
    <w:name w:val="Bullet Text 1"/>
    <w:basedOn w:val="Normal"/>
    <w:link w:val="BulletText1Char"/>
    <w:qFormat/>
    <w:rsid w:val="00E762F7"/>
    <w:pPr>
      <w:numPr>
        <w:numId w:val="8"/>
      </w:numPr>
      <w:spacing w:before="60" w:after="240" w:line="259" w:lineRule="auto"/>
      <w:ind w:left="641" w:hanging="357"/>
      <w:contextualSpacing/>
    </w:pPr>
    <w:rPr>
      <w:sz w:val="20"/>
      <w:szCs w:val="20"/>
      <w:lang w:eastAsia="en-GB"/>
    </w:rPr>
  </w:style>
  <w:style w:type="character" w:customStyle="1" w:styleId="Important">
    <w:name w:val="! Important"/>
    <w:uiPriority w:val="1"/>
    <w:qFormat/>
    <w:rsid w:val="00E762F7"/>
    <w:rPr>
      <w:rFonts w:ascii="Arial" w:hAnsi="Arial" w:cs="Arial" w:hint="default"/>
      <w:b/>
      <w:bCs w:val="0"/>
      <w:i w:val="0"/>
      <w:iCs w:val="0"/>
      <w:color w:val="D9262E"/>
      <w:sz w:val="24"/>
    </w:rPr>
  </w:style>
  <w:style w:type="table" w:customStyle="1" w:styleId="Table">
    <w:name w:val="Table"/>
    <w:basedOn w:val="TableNormal"/>
    <w:uiPriority w:val="99"/>
    <w:rsid w:val="00E762F7"/>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aragraph">
    <w:name w:val="paragraph"/>
    <w:basedOn w:val="Normal"/>
    <w:rsid w:val="00DD487F"/>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DD487F"/>
  </w:style>
  <w:style w:type="character" w:customStyle="1" w:styleId="eop">
    <w:name w:val="eop"/>
    <w:basedOn w:val="DefaultParagraphFont"/>
    <w:rsid w:val="00DD487F"/>
  </w:style>
  <w:style w:type="paragraph" w:customStyle="1" w:styleId="Appmainhead">
    <w:name w:val="App   main head"/>
    <w:basedOn w:val="Normal"/>
    <w:next w:val="Normal"/>
    <w:rsid w:val="00CB7F67"/>
    <w:pPr>
      <w:pageBreakBefore/>
      <w:numPr>
        <w:numId w:val="9"/>
      </w:numPr>
      <w:spacing w:after="360" w:line="300" w:lineRule="atLeast"/>
      <w:jc w:val="center"/>
    </w:pPr>
    <w:rPr>
      <w:rFonts w:ascii="Times New Roman" w:eastAsia="Times New Roman" w:hAnsi="Times New Roman"/>
      <w:b/>
      <w:sz w:val="22"/>
      <w:szCs w:val="20"/>
    </w:rPr>
  </w:style>
  <w:style w:type="paragraph" w:styleId="NoSpacing">
    <w:name w:val="No Spacing"/>
    <w:uiPriority w:val="1"/>
    <w:qFormat/>
    <w:rsid w:val="00551C2F"/>
    <w:rPr>
      <w:rFonts w:eastAsia="Calibri"/>
      <w:sz w:val="24"/>
      <w:szCs w:val="22"/>
      <w:lang w:eastAsia="en-US"/>
    </w:rPr>
  </w:style>
  <w:style w:type="table" w:customStyle="1" w:styleId="TableGrid1">
    <w:name w:val="Table Grid1"/>
    <w:basedOn w:val="TableNormal"/>
    <w:next w:val="TableGrid"/>
    <w:uiPriority w:val="59"/>
    <w:rsid w:val="006454D4"/>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4272"/>
    <w:rPr>
      <w:color w:val="605E5C"/>
      <w:shd w:val="clear" w:color="auto" w:fill="E1DFDD"/>
    </w:rPr>
  </w:style>
  <w:style w:type="paragraph" w:styleId="Revision">
    <w:name w:val="Revision"/>
    <w:hidden/>
    <w:uiPriority w:val="99"/>
    <w:semiHidden/>
    <w:rsid w:val="000C65A4"/>
    <w:rPr>
      <w:sz w:val="24"/>
      <w:szCs w:val="22"/>
      <w:lang w:eastAsia="en-US"/>
    </w:rPr>
  </w:style>
  <w:style w:type="character" w:styleId="Mention">
    <w:name w:val="Mention"/>
    <w:basedOn w:val="DefaultParagraphFont"/>
    <w:uiPriority w:val="99"/>
    <w:unhideWhenUsed/>
    <w:rsid w:val="00BE20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3607">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26690008">
      <w:bodyDiv w:val="1"/>
      <w:marLeft w:val="0"/>
      <w:marRight w:val="0"/>
      <w:marTop w:val="0"/>
      <w:marBottom w:val="0"/>
      <w:divBdr>
        <w:top w:val="none" w:sz="0" w:space="0" w:color="auto"/>
        <w:left w:val="none" w:sz="0" w:space="0" w:color="auto"/>
        <w:bottom w:val="none" w:sz="0" w:space="0" w:color="auto"/>
        <w:right w:val="none" w:sz="0" w:space="0" w:color="auto"/>
      </w:divBdr>
    </w:div>
    <w:div w:id="779450451">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37379126">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174809058">
      <w:bodyDiv w:val="1"/>
      <w:marLeft w:val="0"/>
      <w:marRight w:val="0"/>
      <w:marTop w:val="0"/>
      <w:marBottom w:val="0"/>
      <w:divBdr>
        <w:top w:val="none" w:sz="0" w:space="0" w:color="auto"/>
        <w:left w:val="none" w:sz="0" w:space="0" w:color="auto"/>
        <w:bottom w:val="none" w:sz="0" w:space="0" w:color="auto"/>
        <w:right w:val="none" w:sz="0" w:space="0" w:color="auto"/>
      </w:divBdr>
    </w:div>
    <w:div w:id="1293049885">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natural-englan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ceannet.org/marine_data_standards/medin_data_guideline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modnet-seabedhabitats.eu/default.aspx?page=1693"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CEF03104A3D6D40ABA835D713FE1C08" ma:contentTypeVersion="35" ma:contentTypeDescription="Create a new document." ma:contentTypeScope="" ma:versionID="b31a2524430b1b1c2d8dacb19c72a94c">
  <xsd:schema xmlns:xsd="http://www.w3.org/2001/XMLSchema" xmlns:xs="http://www.w3.org/2001/XMLSchema" xmlns:p="http://schemas.microsoft.com/office/2006/metadata/properties" xmlns:ns1="http://schemas.microsoft.com/sharepoint/v3" xmlns:ns2="662745e8-e224-48e8-a2e3-254862b8c2f5" xmlns:ns3="e2e9d813-f5ea-4273-932b-3b061d14b12e" targetNamespace="http://schemas.microsoft.com/office/2006/metadata/properties" ma:root="true" ma:fieldsID="009c3cac79c3bfd6ac50c578f2eb7f04" ns1:_="" ns2:_="" ns3:_="">
    <xsd:import namespace="http://schemas.microsoft.com/sharepoint/v3"/>
    <xsd:import namespace="662745e8-e224-48e8-a2e3-254862b8c2f5"/>
    <xsd:import namespace="e2e9d813-f5ea-4273-932b-3b061d14b12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LengthInSeconds" minOccurs="0"/>
                <xsd:element ref="ns3:MediaServiceLocation"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GenerationTime" minOccurs="0"/>
                <xsd:element ref="ns3:MediaServiceEventHashCode" minOccurs="0"/>
                <xsd:element ref="ns3:lcf76f155ced4ddcb4097134ff3c332f" minOccurs="0"/>
                <xsd:element ref="ns3:MediaServiceDateTake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af010-a200-4b37-acb4-6661b546428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af010-a200-4b37-acb4-6661b546428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 Northumbria" ma:internalName="Team" ma:readOnly="false">
      <xsd:simpleType>
        <xsd:restriction base="dms:Text"/>
      </xsd:simpleType>
    </xsd:element>
    <xsd:element name="Topic" ma:index="20" nillable="true" ma:displayName="Topic" ma:default="Work Area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e9d813-f5ea-4273-932b-3b061d14b12e" elementFormDefault="qualified">
    <xsd:import namespace="http://schemas.microsoft.com/office/2006/documentManagement/types"/>
    <xsd:import namespace="http://schemas.microsoft.com/office/infopath/2007/PartnerControls"/>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description="" ma:indexed="true" ma:internalName="MediaServiceLocation" ma:readOnly="tru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description="" ma:hidden="true" ma:indexed="true" ma:internalName="MediaServiceDateTake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24</Value>
      <Value>10</Value>
      <Value>43</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1 Northumbria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e2e9d813-f5ea-4273-932b-3b061d14b12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63B3EF1C-00FA-43E6-8D1E-190B96940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e2e9d813-f5ea-4273-932b-3b061d14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7B9FE0-BA13-43EE-90A7-7B3C4ACF6865}">
  <ds:schemaRefs>
    <ds:schemaRef ds:uri="Microsoft.SharePoint.Taxonomy.ContentTypeSync"/>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http://schemas.microsoft.com/sharepoint/v3"/>
    <ds:schemaRef ds:uri="e2e9d813-f5ea-4273-932b-3b061d14b12e"/>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1325</TotalTime>
  <Pages>12</Pages>
  <Words>3599</Words>
  <Characters>20048</Characters>
  <Application>Microsoft Office Word</Application>
  <DocSecurity>0</DocSecurity>
  <Lines>514</Lines>
  <Paragraphs>238</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23409</CharactersWithSpaces>
  <SharedDoc>false</SharedDoc>
  <HyperlinkBase/>
  <HLinks>
    <vt:vector size="18" baseType="variant">
      <vt:variant>
        <vt:i4>4784212</vt:i4>
      </vt:variant>
      <vt:variant>
        <vt:i4>18</vt:i4>
      </vt:variant>
      <vt:variant>
        <vt:i4>0</vt:i4>
      </vt:variant>
      <vt:variant>
        <vt:i4>5</vt:i4>
      </vt:variant>
      <vt:variant>
        <vt:lpwstr>http://www.oceannet.org/marine_data_standards/medin_data_guidelines.html</vt:lpwstr>
      </vt:variant>
      <vt:variant>
        <vt:lpwstr/>
      </vt:variant>
      <vt:variant>
        <vt:i4>3932275</vt:i4>
      </vt:variant>
      <vt:variant>
        <vt:i4>15</vt:i4>
      </vt:variant>
      <vt:variant>
        <vt:i4>0</vt:i4>
      </vt:variant>
      <vt:variant>
        <vt:i4>5</vt:i4>
      </vt:variant>
      <vt:variant>
        <vt:lpwstr>http://www.emodnet-seabedhabitats.eu/default.aspx?page=1693</vt:lpwstr>
      </vt:variant>
      <vt:variant>
        <vt:lpwstr/>
      </vt:variant>
      <vt:variant>
        <vt:i4>5505053</vt:i4>
      </vt:variant>
      <vt:variant>
        <vt:i4>0</vt:i4>
      </vt:variant>
      <vt:variant>
        <vt:i4>0</vt:i4>
      </vt:variant>
      <vt:variant>
        <vt:i4>5</vt:i4>
      </vt:variant>
      <vt:variant>
        <vt:lpwstr>http://www.gov.uk/natural-england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Dan Donald</cp:lastModifiedBy>
  <cp:revision>354</cp:revision>
  <cp:lastPrinted>2018-08-22T06:39:00Z</cp:lastPrinted>
  <dcterms:created xsi:type="dcterms:W3CDTF">2025-10-03T21:57:00Z</dcterms:created>
  <dcterms:modified xsi:type="dcterms:W3CDTF">2025-10-22T10:06:00Z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0x010100A5BF1C78D9F64B679A5EBDE1C6598EBC0100FCEF03104A3D6D40ABA835D713FE1C08</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43;#Internal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24;#Core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