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77777777" w:rsidR="00F72F39" w:rsidRDefault="00F72F39"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406CD2EE" w14:textId="3CE470C5" w:rsidR="00C04337" w:rsidRPr="00CC6E42" w:rsidRDefault="00F361B0" w:rsidP="00C04337">
            <w:pPr>
              <w:pStyle w:val="Cover-ReportTitle"/>
            </w:pPr>
            <w:bookmarkStart w:id="0" w:name="_Hlk163741831"/>
            <w:r>
              <w:t>Competitive Flexible Procedure</w:t>
            </w:r>
            <w:r w:rsidR="00C04337">
              <w:t xml:space="preserve"> </w:t>
            </w:r>
            <w:r>
              <w:t>(P</w:t>
            </w:r>
            <w:r w:rsidR="006461CC">
              <w:t xml:space="preserve">rocurement </w:t>
            </w:r>
            <w:r>
              <w:t>A</w:t>
            </w:r>
            <w:r w:rsidR="006461CC">
              <w:t>ct</w:t>
            </w:r>
            <w:r>
              <w:t> 2023)</w:t>
            </w:r>
          </w:p>
          <w:bookmarkEnd w:id="0"/>
          <w:p w14:paraId="29E4C2EA" w14:textId="1F4A06BB" w:rsidR="00C04337" w:rsidRDefault="001C1B13" w:rsidP="00C04337">
            <w:pPr>
              <w:pStyle w:val="Cover-Subtitle"/>
            </w:pPr>
            <w:r>
              <w:t xml:space="preserve">Invitation to </w:t>
            </w:r>
            <w:r w:rsidR="008E6634">
              <w:t>Participate</w:t>
            </w:r>
            <w:r w:rsidR="002D4D30">
              <w:t xml:space="preserve"> (ITP) Pack</w:t>
            </w:r>
          </w:p>
          <w:p w14:paraId="4816454D" w14:textId="7FFDD741" w:rsidR="00F361B0" w:rsidRDefault="00D6242B" w:rsidP="00F361B0">
            <w:pPr>
              <w:pStyle w:val="Cover-Subtitle"/>
            </w:pPr>
            <w:r>
              <w:t>General Aerospace Legal Advice Panel (GALP) Framework</w:t>
            </w:r>
          </w:p>
          <w:p w14:paraId="18F8CC49" w14:textId="0877208F" w:rsidR="00F72F39" w:rsidRDefault="0085246E" w:rsidP="00C04337">
            <w:pPr>
              <w:pStyle w:val="Cover-Subtitle"/>
            </w:pPr>
            <w:r>
              <w:t>UKEF 0641</w:t>
            </w:r>
          </w:p>
        </w:tc>
      </w:tr>
      <w:tr w:rsidR="00F72F39" w14:paraId="4F90307C" w14:textId="77777777" w:rsidTr="00CB63E6">
        <w:trPr>
          <w:trHeight w:val="1191"/>
        </w:trPr>
        <w:tc>
          <w:tcPr>
            <w:tcW w:w="173" w:type="dxa"/>
          </w:tcPr>
          <w:p w14:paraId="764DC482" w14:textId="77777777" w:rsidR="00F72F39" w:rsidRDefault="00F72F39">
            <w:pPr>
              <w:pBdr>
                <w:top w:val="nil"/>
                <w:left w:val="nil"/>
                <w:bottom w:val="nil"/>
                <w:right w:val="nil"/>
                <w:between w:val="nil"/>
              </w:pBdr>
              <w:rPr>
                <w:color w:val="000000"/>
              </w:rPr>
            </w:pPr>
          </w:p>
        </w:tc>
        <w:tc>
          <w:tcPr>
            <w:tcW w:w="9636" w:type="dxa"/>
          </w:tcPr>
          <w:p w14:paraId="2078A64A" w14:textId="67642B41" w:rsidR="00F72F39" w:rsidRDefault="001A4EB4" w:rsidP="002C710C">
            <w:pPr>
              <w:pStyle w:val="Cover-Date"/>
            </w:pPr>
            <w:r w:rsidRPr="65138758">
              <w:rPr>
                <w:color w:val="0070C0"/>
              </w:rPr>
              <w:t>October</w:t>
            </w:r>
            <w:r w:rsidR="0085246E" w:rsidRPr="00D6242B">
              <w:rPr>
                <w:color w:val="0070C0"/>
              </w:rPr>
              <w:t xml:space="preserve"> 20</w:t>
            </w:r>
            <w:r w:rsidR="001C1B13" w:rsidRPr="00D6242B">
              <w:rPr>
                <w:color w:val="0070C0"/>
              </w:rPr>
              <w:t>2</w:t>
            </w:r>
            <w:r w:rsidR="0085246E" w:rsidRPr="00D6242B">
              <w:rPr>
                <w:color w:val="0070C0"/>
              </w:rPr>
              <w:t>5</w:t>
            </w:r>
            <w:r w:rsidR="00A7344F" w:rsidRPr="00D6242B">
              <w:rPr>
                <w:color w:val="0070C0"/>
              </w:rPr>
              <w:t xml:space="preserve"> </w:t>
            </w:r>
          </w:p>
        </w:tc>
      </w:tr>
    </w:tbl>
    <w:p w14:paraId="69A0E973" w14:textId="77777777" w:rsidR="00F72F39" w:rsidRDefault="00F72F39">
      <w:pPr>
        <w:pBdr>
          <w:top w:val="nil"/>
          <w:left w:val="nil"/>
          <w:bottom w:val="nil"/>
          <w:right w:val="nil"/>
          <w:between w:val="nil"/>
        </w:pBdr>
        <w:rPr>
          <w:color w:val="000000"/>
        </w:rPr>
      </w:pPr>
    </w:p>
    <w:p w14:paraId="5D28C9E6" w14:textId="77777777" w:rsidR="00F72F39" w:rsidRDefault="004E76AE">
      <w:pPr>
        <w:pBdr>
          <w:top w:val="nil"/>
          <w:left w:val="nil"/>
          <w:bottom w:val="nil"/>
          <w:right w:val="nil"/>
          <w:between w:val="nil"/>
        </w:pBdr>
      </w:pPr>
      <w:r>
        <w:br w:type="page"/>
      </w:r>
    </w:p>
    <w:p w14:paraId="46A7ABAB" w14:textId="77777777" w:rsidR="00D35FD0" w:rsidRDefault="00D35FD0">
      <w:pPr>
        <w:pBdr>
          <w:top w:val="nil"/>
          <w:left w:val="nil"/>
          <w:bottom w:val="nil"/>
          <w:right w:val="nil"/>
          <w:between w:val="nil"/>
        </w:pBdr>
        <w:rPr>
          <w:color w:val="000000"/>
        </w:rPr>
        <w:sectPr w:rsidR="00D35FD0" w:rsidSect="001C5F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29719C09" w14:textId="77777777"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Content>
        <w:p w14:paraId="03CDC1BE" w14:textId="4901A750" w:rsidR="004C2D67" w:rsidRDefault="005963DA">
          <w:pPr>
            <w:pStyle w:val="TOC1"/>
            <w:rPr>
              <w:rFonts w:eastAsiaTheme="minorEastAsia" w:cstheme="minorBidi"/>
              <w:b w:val="0"/>
              <w:noProof/>
              <w:kern w:val="2"/>
              <w:lang w:eastAsia="ja-JP"/>
              <w14:ligatures w14:val="standardContextual"/>
            </w:rPr>
          </w:pPr>
          <w:r>
            <w:fldChar w:fldCharType="begin"/>
          </w:r>
          <w:r>
            <w:instrText xml:space="preserve"> TOC \o "1-1" \h \z \t "Heading 2,2" </w:instrText>
          </w:r>
          <w:r>
            <w:fldChar w:fldCharType="separate"/>
          </w:r>
          <w:hyperlink w:anchor="_Toc211930131" w:history="1">
            <w:r w:rsidR="004C2D67" w:rsidRPr="00814410">
              <w:rPr>
                <w:rStyle w:val="Hyperlink"/>
                <w:noProof/>
              </w:rPr>
              <w:t>Deadline for responding to this document</w:t>
            </w:r>
            <w:r w:rsidR="004C2D67">
              <w:rPr>
                <w:noProof/>
                <w:webHidden/>
              </w:rPr>
              <w:tab/>
            </w:r>
            <w:r w:rsidR="004C2D67">
              <w:rPr>
                <w:noProof/>
                <w:webHidden/>
              </w:rPr>
              <w:fldChar w:fldCharType="begin"/>
            </w:r>
            <w:r w:rsidR="004C2D67">
              <w:rPr>
                <w:noProof/>
                <w:webHidden/>
              </w:rPr>
              <w:instrText xml:space="preserve"> PAGEREF _Toc211930131 \h </w:instrText>
            </w:r>
            <w:r w:rsidR="004C2D67">
              <w:rPr>
                <w:noProof/>
                <w:webHidden/>
              </w:rPr>
            </w:r>
            <w:r w:rsidR="004C2D67">
              <w:rPr>
                <w:noProof/>
                <w:webHidden/>
              </w:rPr>
              <w:fldChar w:fldCharType="separate"/>
            </w:r>
            <w:r w:rsidR="004C2D67">
              <w:rPr>
                <w:noProof/>
                <w:webHidden/>
              </w:rPr>
              <w:t>3</w:t>
            </w:r>
            <w:r w:rsidR="004C2D67">
              <w:rPr>
                <w:noProof/>
                <w:webHidden/>
              </w:rPr>
              <w:fldChar w:fldCharType="end"/>
            </w:r>
          </w:hyperlink>
        </w:p>
        <w:p w14:paraId="078E3E57" w14:textId="45BE7608" w:rsidR="004C2D67" w:rsidRDefault="004C2D67">
          <w:pPr>
            <w:pStyle w:val="TOC1"/>
            <w:rPr>
              <w:rFonts w:eastAsiaTheme="minorEastAsia" w:cstheme="minorBidi"/>
              <w:b w:val="0"/>
              <w:noProof/>
              <w:kern w:val="2"/>
              <w:lang w:eastAsia="ja-JP"/>
              <w14:ligatures w14:val="standardContextual"/>
            </w:rPr>
          </w:pPr>
          <w:hyperlink w:anchor="_Toc211930132" w:history="1">
            <w:r w:rsidRPr="00814410">
              <w:rPr>
                <w:rStyle w:val="Hyperlink"/>
                <w:noProof/>
              </w:rPr>
              <w:t>Introduction</w:t>
            </w:r>
            <w:r>
              <w:rPr>
                <w:noProof/>
                <w:webHidden/>
              </w:rPr>
              <w:tab/>
            </w:r>
            <w:r>
              <w:rPr>
                <w:noProof/>
                <w:webHidden/>
              </w:rPr>
              <w:fldChar w:fldCharType="begin"/>
            </w:r>
            <w:r>
              <w:rPr>
                <w:noProof/>
                <w:webHidden/>
              </w:rPr>
              <w:instrText xml:space="preserve"> PAGEREF _Toc211930132 \h </w:instrText>
            </w:r>
            <w:r>
              <w:rPr>
                <w:noProof/>
                <w:webHidden/>
              </w:rPr>
            </w:r>
            <w:r>
              <w:rPr>
                <w:noProof/>
                <w:webHidden/>
              </w:rPr>
              <w:fldChar w:fldCharType="separate"/>
            </w:r>
            <w:r>
              <w:rPr>
                <w:noProof/>
                <w:webHidden/>
              </w:rPr>
              <w:t>4</w:t>
            </w:r>
            <w:r>
              <w:rPr>
                <w:noProof/>
                <w:webHidden/>
              </w:rPr>
              <w:fldChar w:fldCharType="end"/>
            </w:r>
          </w:hyperlink>
        </w:p>
        <w:p w14:paraId="76FA3870" w14:textId="6DBA5E4F" w:rsidR="004C2D67" w:rsidRDefault="004C2D67">
          <w:pPr>
            <w:pStyle w:val="TOC1"/>
            <w:rPr>
              <w:rFonts w:eastAsiaTheme="minorEastAsia" w:cstheme="minorBidi"/>
              <w:b w:val="0"/>
              <w:noProof/>
              <w:kern w:val="2"/>
              <w:lang w:eastAsia="ja-JP"/>
              <w14:ligatures w14:val="standardContextual"/>
            </w:rPr>
          </w:pPr>
          <w:hyperlink w:anchor="_Toc211930133" w:history="1">
            <w:r w:rsidRPr="00814410">
              <w:rPr>
                <w:rStyle w:val="Hyperlink"/>
                <w:noProof/>
              </w:rPr>
              <w:t>Introduction to the Authority</w:t>
            </w:r>
            <w:r>
              <w:rPr>
                <w:noProof/>
                <w:webHidden/>
              </w:rPr>
              <w:tab/>
            </w:r>
            <w:r>
              <w:rPr>
                <w:noProof/>
                <w:webHidden/>
              </w:rPr>
              <w:fldChar w:fldCharType="begin"/>
            </w:r>
            <w:r>
              <w:rPr>
                <w:noProof/>
                <w:webHidden/>
              </w:rPr>
              <w:instrText xml:space="preserve"> PAGEREF _Toc211930133 \h </w:instrText>
            </w:r>
            <w:r>
              <w:rPr>
                <w:noProof/>
                <w:webHidden/>
              </w:rPr>
            </w:r>
            <w:r>
              <w:rPr>
                <w:noProof/>
                <w:webHidden/>
              </w:rPr>
              <w:fldChar w:fldCharType="separate"/>
            </w:r>
            <w:r>
              <w:rPr>
                <w:noProof/>
                <w:webHidden/>
              </w:rPr>
              <w:t>5</w:t>
            </w:r>
            <w:r>
              <w:rPr>
                <w:noProof/>
                <w:webHidden/>
              </w:rPr>
              <w:fldChar w:fldCharType="end"/>
            </w:r>
          </w:hyperlink>
        </w:p>
        <w:p w14:paraId="785420A9" w14:textId="7FDEC7D6" w:rsidR="004C2D67" w:rsidRDefault="004C2D67">
          <w:pPr>
            <w:pStyle w:val="TOC1"/>
            <w:rPr>
              <w:rFonts w:eastAsiaTheme="minorEastAsia" w:cstheme="minorBidi"/>
              <w:b w:val="0"/>
              <w:noProof/>
              <w:kern w:val="2"/>
              <w:lang w:eastAsia="ja-JP"/>
              <w14:ligatures w14:val="standardContextual"/>
            </w:rPr>
          </w:pPr>
          <w:hyperlink w:anchor="_Toc211930134" w:history="1">
            <w:r w:rsidRPr="00814410">
              <w:rPr>
                <w:rStyle w:val="Hyperlink"/>
                <w:noProof/>
              </w:rPr>
              <w:t>Overview of the Authority’s requirement</w:t>
            </w:r>
            <w:r>
              <w:rPr>
                <w:noProof/>
                <w:webHidden/>
              </w:rPr>
              <w:tab/>
            </w:r>
            <w:r>
              <w:rPr>
                <w:noProof/>
                <w:webHidden/>
              </w:rPr>
              <w:fldChar w:fldCharType="begin"/>
            </w:r>
            <w:r>
              <w:rPr>
                <w:noProof/>
                <w:webHidden/>
              </w:rPr>
              <w:instrText xml:space="preserve"> PAGEREF _Toc211930134 \h </w:instrText>
            </w:r>
            <w:r>
              <w:rPr>
                <w:noProof/>
                <w:webHidden/>
              </w:rPr>
            </w:r>
            <w:r>
              <w:rPr>
                <w:noProof/>
                <w:webHidden/>
              </w:rPr>
              <w:fldChar w:fldCharType="separate"/>
            </w:r>
            <w:r>
              <w:rPr>
                <w:noProof/>
                <w:webHidden/>
              </w:rPr>
              <w:t>6</w:t>
            </w:r>
            <w:r>
              <w:rPr>
                <w:noProof/>
                <w:webHidden/>
              </w:rPr>
              <w:fldChar w:fldCharType="end"/>
            </w:r>
          </w:hyperlink>
        </w:p>
        <w:p w14:paraId="4E75FCE3" w14:textId="02D1A2E7" w:rsidR="004C2D67" w:rsidRDefault="004C2D67">
          <w:pPr>
            <w:pStyle w:val="TOC1"/>
            <w:rPr>
              <w:rFonts w:eastAsiaTheme="minorEastAsia" w:cstheme="minorBidi"/>
              <w:b w:val="0"/>
              <w:noProof/>
              <w:kern w:val="2"/>
              <w:lang w:eastAsia="ja-JP"/>
              <w14:ligatures w14:val="standardContextual"/>
            </w:rPr>
          </w:pPr>
          <w:hyperlink w:anchor="_Toc211930135" w:history="1">
            <w:r w:rsidRPr="00814410">
              <w:rPr>
                <w:rStyle w:val="Hyperlink"/>
                <w:noProof/>
              </w:rPr>
              <w:t>Preliminary market engagement</w:t>
            </w:r>
            <w:r>
              <w:rPr>
                <w:noProof/>
                <w:webHidden/>
              </w:rPr>
              <w:tab/>
            </w:r>
            <w:r>
              <w:rPr>
                <w:noProof/>
                <w:webHidden/>
              </w:rPr>
              <w:fldChar w:fldCharType="begin"/>
            </w:r>
            <w:r>
              <w:rPr>
                <w:noProof/>
                <w:webHidden/>
              </w:rPr>
              <w:instrText xml:space="preserve"> PAGEREF _Toc211930135 \h </w:instrText>
            </w:r>
            <w:r>
              <w:rPr>
                <w:noProof/>
                <w:webHidden/>
              </w:rPr>
            </w:r>
            <w:r>
              <w:rPr>
                <w:noProof/>
                <w:webHidden/>
              </w:rPr>
              <w:fldChar w:fldCharType="separate"/>
            </w:r>
            <w:r>
              <w:rPr>
                <w:noProof/>
                <w:webHidden/>
              </w:rPr>
              <w:t>7</w:t>
            </w:r>
            <w:r>
              <w:rPr>
                <w:noProof/>
                <w:webHidden/>
              </w:rPr>
              <w:fldChar w:fldCharType="end"/>
            </w:r>
          </w:hyperlink>
        </w:p>
        <w:p w14:paraId="1F73764B" w14:textId="5C591E49" w:rsidR="004C2D67" w:rsidRDefault="004C2D67">
          <w:pPr>
            <w:pStyle w:val="TOC1"/>
            <w:rPr>
              <w:rFonts w:eastAsiaTheme="minorEastAsia" w:cstheme="minorBidi"/>
              <w:b w:val="0"/>
              <w:noProof/>
              <w:kern w:val="2"/>
              <w:lang w:eastAsia="ja-JP"/>
              <w14:ligatures w14:val="standardContextual"/>
            </w:rPr>
          </w:pPr>
          <w:hyperlink w:anchor="_Toc211930136" w:history="1">
            <w:r w:rsidRPr="00814410">
              <w:rPr>
                <w:rStyle w:val="Hyperlink"/>
                <w:noProof/>
              </w:rPr>
              <w:t>The Procurement process</w:t>
            </w:r>
            <w:r>
              <w:rPr>
                <w:noProof/>
                <w:webHidden/>
              </w:rPr>
              <w:tab/>
            </w:r>
            <w:r>
              <w:rPr>
                <w:noProof/>
                <w:webHidden/>
              </w:rPr>
              <w:fldChar w:fldCharType="begin"/>
            </w:r>
            <w:r>
              <w:rPr>
                <w:noProof/>
                <w:webHidden/>
              </w:rPr>
              <w:instrText xml:space="preserve"> PAGEREF _Toc211930136 \h </w:instrText>
            </w:r>
            <w:r>
              <w:rPr>
                <w:noProof/>
                <w:webHidden/>
              </w:rPr>
            </w:r>
            <w:r>
              <w:rPr>
                <w:noProof/>
                <w:webHidden/>
              </w:rPr>
              <w:fldChar w:fldCharType="separate"/>
            </w:r>
            <w:r>
              <w:rPr>
                <w:noProof/>
                <w:webHidden/>
              </w:rPr>
              <w:t>8</w:t>
            </w:r>
            <w:r>
              <w:rPr>
                <w:noProof/>
                <w:webHidden/>
              </w:rPr>
              <w:fldChar w:fldCharType="end"/>
            </w:r>
          </w:hyperlink>
        </w:p>
        <w:p w14:paraId="2B8DEF51" w14:textId="2A4C85EC" w:rsidR="004C2D67" w:rsidRDefault="004C2D67">
          <w:pPr>
            <w:pStyle w:val="TOC1"/>
            <w:rPr>
              <w:rFonts w:eastAsiaTheme="minorEastAsia" w:cstheme="minorBidi"/>
              <w:b w:val="0"/>
              <w:noProof/>
              <w:kern w:val="2"/>
              <w:lang w:eastAsia="ja-JP"/>
              <w14:ligatures w14:val="standardContextual"/>
            </w:rPr>
          </w:pPr>
          <w:hyperlink w:anchor="_Toc211930137" w:history="1">
            <w:r w:rsidRPr="00814410">
              <w:rPr>
                <w:rStyle w:val="Hyperlink"/>
                <w:noProof/>
              </w:rPr>
              <w:t>Procurement timetable</w:t>
            </w:r>
            <w:r>
              <w:rPr>
                <w:noProof/>
                <w:webHidden/>
              </w:rPr>
              <w:tab/>
            </w:r>
            <w:r>
              <w:rPr>
                <w:noProof/>
                <w:webHidden/>
              </w:rPr>
              <w:fldChar w:fldCharType="begin"/>
            </w:r>
            <w:r>
              <w:rPr>
                <w:noProof/>
                <w:webHidden/>
              </w:rPr>
              <w:instrText xml:space="preserve"> PAGEREF _Toc211930137 \h </w:instrText>
            </w:r>
            <w:r>
              <w:rPr>
                <w:noProof/>
                <w:webHidden/>
              </w:rPr>
            </w:r>
            <w:r>
              <w:rPr>
                <w:noProof/>
                <w:webHidden/>
              </w:rPr>
              <w:fldChar w:fldCharType="separate"/>
            </w:r>
            <w:r>
              <w:rPr>
                <w:noProof/>
                <w:webHidden/>
              </w:rPr>
              <w:t>14</w:t>
            </w:r>
            <w:r>
              <w:rPr>
                <w:noProof/>
                <w:webHidden/>
              </w:rPr>
              <w:fldChar w:fldCharType="end"/>
            </w:r>
          </w:hyperlink>
        </w:p>
        <w:p w14:paraId="7F22C89E" w14:textId="11501583" w:rsidR="004C2D67" w:rsidRDefault="004C2D67">
          <w:pPr>
            <w:pStyle w:val="TOC1"/>
            <w:rPr>
              <w:rFonts w:eastAsiaTheme="minorEastAsia" w:cstheme="minorBidi"/>
              <w:b w:val="0"/>
              <w:noProof/>
              <w:kern w:val="2"/>
              <w:lang w:eastAsia="ja-JP"/>
              <w14:ligatures w14:val="standardContextual"/>
            </w:rPr>
          </w:pPr>
          <w:hyperlink w:anchor="_Toc211930138" w:history="1">
            <w:r w:rsidRPr="00814410">
              <w:rPr>
                <w:rStyle w:val="Hyperlink"/>
                <w:noProof/>
              </w:rPr>
              <w:t>Performance Levels, Service Credits and KPIs</w:t>
            </w:r>
            <w:r>
              <w:rPr>
                <w:noProof/>
                <w:webHidden/>
              </w:rPr>
              <w:tab/>
            </w:r>
            <w:r>
              <w:rPr>
                <w:noProof/>
                <w:webHidden/>
              </w:rPr>
              <w:fldChar w:fldCharType="begin"/>
            </w:r>
            <w:r>
              <w:rPr>
                <w:noProof/>
                <w:webHidden/>
              </w:rPr>
              <w:instrText xml:space="preserve"> PAGEREF _Toc211930138 \h </w:instrText>
            </w:r>
            <w:r>
              <w:rPr>
                <w:noProof/>
                <w:webHidden/>
              </w:rPr>
            </w:r>
            <w:r>
              <w:rPr>
                <w:noProof/>
                <w:webHidden/>
              </w:rPr>
              <w:fldChar w:fldCharType="separate"/>
            </w:r>
            <w:r>
              <w:rPr>
                <w:noProof/>
                <w:webHidden/>
              </w:rPr>
              <w:t>16</w:t>
            </w:r>
            <w:r>
              <w:rPr>
                <w:noProof/>
                <w:webHidden/>
              </w:rPr>
              <w:fldChar w:fldCharType="end"/>
            </w:r>
          </w:hyperlink>
        </w:p>
        <w:p w14:paraId="74775F90" w14:textId="24943E70" w:rsidR="004C2D67" w:rsidRDefault="004C2D67">
          <w:pPr>
            <w:pStyle w:val="TOC1"/>
            <w:rPr>
              <w:rFonts w:eastAsiaTheme="minorEastAsia" w:cstheme="minorBidi"/>
              <w:b w:val="0"/>
              <w:noProof/>
              <w:kern w:val="2"/>
              <w:lang w:eastAsia="ja-JP"/>
              <w14:ligatures w14:val="standardContextual"/>
            </w:rPr>
          </w:pPr>
          <w:hyperlink w:anchor="_Toc211930139" w:history="1">
            <w:r w:rsidRPr="00814410">
              <w:rPr>
                <w:rStyle w:val="Hyperlink"/>
                <w:noProof/>
              </w:rPr>
              <w:t>Contract terms</w:t>
            </w:r>
            <w:r>
              <w:rPr>
                <w:noProof/>
                <w:webHidden/>
              </w:rPr>
              <w:tab/>
            </w:r>
            <w:r>
              <w:rPr>
                <w:noProof/>
                <w:webHidden/>
              </w:rPr>
              <w:fldChar w:fldCharType="begin"/>
            </w:r>
            <w:r>
              <w:rPr>
                <w:noProof/>
                <w:webHidden/>
              </w:rPr>
              <w:instrText xml:space="preserve"> PAGEREF _Toc211930139 \h </w:instrText>
            </w:r>
            <w:r>
              <w:rPr>
                <w:noProof/>
                <w:webHidden/>
              </w:rPr>
            </w:r>
            <w:r>
              <w:rPr>
                <w:noProof/>
                <w:webHidden/>
              </w:rPr>
              <w:fldChar w:fldCharType="separate"/>
            </w:r>
            <w:r>
              <w:rPr>
                <w:noProof/>
                <w:webHidden/>
              </w:rPr>
              <w:t>17</w:t>
            </w:r>
            <w:r>
              <w:rPr>
                <w:noProof/>
                <w:webHidden/>
              </w:rPr>
              <w:fldChar w:fldCharType="end"/>
            </w:r>
          </w:hyperlink>
        </w:p>
        <w:p w14:paraId="229A156B" w14:textId="42250DE1" w:rsidR="004C2D67" w:rsidRDefault="004C2D67">
          <w:pPr>
            <w:pStyle w:val="TOC1"/>
            <w:rPr>
              <w:rFonts w:eastAsiaTheme="minorEastAsia" w:cstheme="minorBidi"/>
              <w:b w:val="0"/>
              <w:noProof/>
              <w:kern w:val="2"/>
              <w:lang w:eastAsia="ja-JP"/>
              <w14:ligatures w14:val="standardContextual"/>
            </w:rPr>
          </w:pPr>
          <w:hyperlink w:anchor="_Toc211930140" w:history="1">
            <w:r w:rsidRPr="00814410">
              <w:rPr>
                <w:rStyle w:val="Hyperlink"/>
                <w:noProof/>
              </w:rPr>
              <w:t>Data room</w:t>
            </w:r>
            <w:r>
              <w:rPr>
                <w:noProof/>
                <w:webHidden/>
              </w:rPr>
              <w:tab/>
            </w:r>
            <w:r>
              <w:rPr>
                <w:noProof/>
                <w:webHidden/>
              </w:rPr>
              <w:fldChar w:fldCharType="begin"/>
            </w:r>
            <w:r>
              <w:rPr>
                <w:noProof/>
                <w:webHidden/>
              </w:rPr>
              <w:instrText xml:space="preserve"> PAGEREF _Toc211930140 \h </w:instrText>
            </w:r>
            <w:r>
              <w:rPr>
                <w:noProof/>
                <w:webHidden/>
              </w:rPr>
            </w:r>
            <w:r>
              <w:rPr>
                <w:noProof/>
                <w:webHidden/>
              </w:rPr>
              <w:fldChar w:fldCharType="separate"/>
            </w:r>
            <w:r>
              <w:rPr>
                <w:noProof/>
                <w:webHidden/>
              </w:rPr>
              <w:t>18</w:t>
            </w:r>
            <w:r>
              <w:rPr>
                <w:noProof/>
                <w:webHidden/>
              </w:rPr>
              <w:fldChar w:fldCharType="end"/>
            </w:r>
          </w:hyperlink>
        </w:p>
        <w:p w14:paraId="0C347853" w14:textId="5E36049D" w:rsidR="004C2D67" w:rsidRDefault="004C2D67">
          <w:pPr>
            <w:pStyle w:val="TOC1"/>
            <w:rPr>
              <w:rFonts w:eastAsiaTheme="minorEastAsia" w:cstheme="minorBidi"/>
              <w:b w:val="0"/>
              <w:noProof/>
              <w:kern w:val="2"/>
              <w:lang w:eastAsia="ja-JP"/>
              <w14:ligatures w14:val="standardContextual"/>
            </w:rPr>
          </w:pPr>
          <w:hyperlink w:anchor="_Toc211930141" w:history="1">
            <w:r w:rsidRPr="00814410">
              <w:rPr>
                <w:rStyle w:val="Hyperlink"/>
                <w:noProof/>
              </w:rPr>
              <w:t>How to respond to this opportunity</w:t>
            </w:r>
            <w:r>
              <w:rPr>
                <w:noProof/>
                <w:webHidden/>
              </w:rPr>
              <w:tab/>
            </w:r>
            <w:r>
              <w:rPr>
                <w:noProof/>
                <w:webHidden/>
              </w:rPr>
              <w:fldChar w:fldCharType="begin"/>
            </w:r>
            <w:r>
              <w:rPr>
                <w:noProof/>
                <w:webHidden/>
              </w:rPr>
              <w:instrText xml:space="preserve"> PAGEREF _Toc211930141 \h </w:instrText>
            </w:r>
            <w:r>
              <w:rPr>
                <w:noProof/>
                <w:webHidden/>
              </w:rPr>
            </w:r>
            <w:r>
              <w:rPr>
                <w:noProof/>
                <w:webHidden/>
              </w:rPr>
              <w:fldChar w:fldCharType="separate"/>
            </w:r>
            <w:r>
              <w:rPr>
                <w:noProof/>
                <w:webHidden/>
              </w:rPr>
              <w:t>19</w:t>
            </w:r>
            <w:r>
              <w:rPr>
                <w:noProof/>
                <w:webHidden/>
              </w:rPr>
              <w:fldChar w:fldCharType="end"/>
            </w:r>
          </w:hyperlink>
        </w:p>
        <w:p w14:paraId="53F8C272" w14:textId="34331957" w:rsidR="004C2D67" w:rsidRDefault="004C2D67">
          <w:pPr>
            <w:pStyle w:val="TOC1"/>
            <w:rPr>
              <w:rFonts w:eastAsiaTheme="minorEastAsia" w:cstheme="minorBidi"/>
              <w:b w:val="0"/>
              <w:noProof/>
              <w:kern w:val="2"/>
              <w:lang w:eastAsia="ja-JP"/>
              <w14:ligatures w14:val="standardContextual"/>
            </w:rPr>
          </w:pPr>
          <w:hyperlink w:anchor="_Toc211930142" w:history="1">
            <w:r w:rsidRPr="00814410">
              <w:rPr>
                <w:rStyle w:val="Hyperlink"/>
                <w:noProof/>
              </w:rPr>
              <w:t>Requests for clarification</w:t>
            </w:r>
            <w:r>
              <w:rPr>
                <w:noProof/>
                <w:webHidden/>
              </w:rPr>
              <w:tab/>
            </w:r>
            <w:r>
              <w:rPr>
                <w:noProof/>
                <w:webHidden/>
              </w:rPr>
              <w:fldChar w:fldCharType="begin"/>
            </w:r>
            <w:r>
              <w:rPr>
                <w:noProof/>
                <w:webHidden/>
              </w:rPr>
              <w:instrText xml:space="preserve"> PAGEREF _Toc211930142 \h </w:instrText>
            </w:r>
            <w:r>
              <w:rPr>
                <w:noProof/>
                <w:webHidden/>
              </w:rPr>
            </w:r>
            <w:r>
              <w:rPr>
                <w:noProof/>
                <w:webHidden/>
              </w:rPr>
              <w:fldChar w:fldCharType="separate"/>
            </w:r>
            <w:r>
              <w:rPr>
                <w:noProof/>
                <w:webHidden/>
              </w:rPr>
              <w:t>20</w:t>
            </w:r>
            <w:r>
              <w:rPr>
                <w:noProof/>
                <w:webHidden/>
              </w:rPr>
              <w:fldChar w:fldCharType="end"/>
            </w:r>
          </w:hyperlink>
        </w:p>
        <w:p w14:paraId="09487565" w14:textId="25809978" w:rsidR="004C2D67" w:rsidRDefault="004C2D67">
          <w:pPr>
            <w:pStyle w:val="TOC1"/>
            <w:rPr>
              <w:rFonts w:eastAsiaTheme="minorEastAsia" w:cstheme="minorBidi"/>
              <w:b w:val="0"/>
              <w:noProof/>
              <w:kern w:val="2"/>
              <w:lang w:eastAsia="ja-JP"/>
              <w14:ligatures w14:val="standardContextual"/>
            </w:rPr>
          </w:pPr>
          <w:hyperlink w:anchor="_Toc211930143" w:history="1">
            <w:r w:rsidRPr="00814410">
              <w:rPr>
                <w:rStyle w:val="Hyperlink"/>
                <w:noProof/>
              </w:rPr>
              <w:t>The assessment process and award criteria</w:t>
            </w:r>
            <w:r>
              <w:rPr>
                <w:noProof/>
                <w:webHidden/>
              </w:rPr>
              <w:tab/>
            </w:r>
            <w:r>
              <w:rPr>
                <w:noProof/>
                <w:webHidden/>
              </w:rPr>
              <w:fldChar w:fldCharType="begin"/>
            </w:r>
            <w:r>
              <w:rPr>
                <w:noProof/>
                <w:webHidden/>
              </w:rPr>
              <w:instrText xml:space="preserve"> PAGEREF _Toc211930143 \h </w:instrText>
            </w:r>
            <w:r>
              <w:rPr>
                <w:noProof/>
                <w:webHidden/>
              </w:rPr>
            </w:r>
            <w:r>
              <w:rPr>
                <w:noProof/>
                <w:webHidden/>
              </w:rPr>
              <w:fldChar w:fldCharType="separate"/>
            </w:r>
            <w:r>
              <w:rPr>
                <w:noProof/>
                <w:webHidden/>
              </w:rPr>
              <w:t>22</w:t>
            </w:r>
            <w:r>
              <w:rPr>
                <w:noProof/>
                <w:webHidden/>
              </w:rPr>
              <w:fldChar w:fldCharType="end"/>
            </w:r>
          </w:hyperlink>
        </w:p>
        <w:p w14:paraId="3BCC5F56" w14:textId="124C3C77" w:rsidR="004C2D67" w:rsidRDefault="004C2D67">
          <w:pPr>
            <w:pStyle w:val="TOC1"/>
            <w:rPr>
              <w:rFonts w:eastAsiaTheme="minorEastAsia" w:cstheme="minorBidi"/>
              <w:b w:val="0"/>
              <w:noProof/>
              <w:kern w:val="2"/>
              <w:lang w:eastAsia="ja-JP"/>
              <w14:ligatures w14:val="standardContextual"/>
            </w:rPr>
          </w:pPr>
          <w:hyperlink w:anchor="_Toc211930144" w:history="1">
            <w:r w:rsidRPr="00814410">
              <w:rPr>
                <w:rStyle w:val="Hyperlink"/>
                <w:noProof/>
              </w:rPr>
              <w:t>Appendix A: ITP terms and conditions</w:t>
            </w:r>
            <w:r>
              <w:rPr>
                <w:noProof/>
                <w:webHidden/>
              </w:rPr>
              <w:tab/>
            </w:r>
            <w:r>
              <w:rPr>
                <w:noProof/>
                <w:webHidden/>
              </w:rPr>
              <w:fldChar w:fldCharType="begin"/>
            </w:r>
            <w:r>
              <w:rPr>
                <w:noProof/>
                <w:webHidden/>
              </w:rPr>
              <w:instrText xml:space="preserve"> PAGEREF _Toc211930144 \h </w:instrText>
            </w:r>
            <w:r>
              <w:rPr>
                <w:noProof/>
                <w:webHidden/>
              </w:rPr>
            </w:r>
            <w:r>
              <w:rPr>
                <w:noProof/>
                <w:webHidden/>
              </w:rPr>
              <w:fldChar w:fldCharType="separate"/>
            </w:r>
            <w:r>
              <w:rPr>
                <w:noProof/>
                <w:webHidden/>
              </w:rPr>
              <w:t>23</w:t>
            </w:r>
            <w:r>
              <w:rPr>
                <w:noProof/>
                <w:webHidden/>
              </w:rPr>
              <w:fldChar w:fldCharType="end"/>
            </w:r>
          </w:hyperlink>
        </w:p>
        <w:p w14:paraId="2A723033" w14:textId="69A75DA1" w:rsidR="004C2D67" w:rsidRDefault="004C2D67">
          <w:pPr>
            <w:pStyle w:val="TOC2"/>
            <w:rPr>
              <w:rFonts w:eastAsiaTheme="minorEastAsia" w:cstheme="minorBidi"/>
              <w:kern w:val="2"/>
              <w:lang w:eastAsia="ja-JP"/>
              <w14:ligatures w14:val="standardContextual"/>
            </w:rPr>
          </w:pPr>
          <w:hyperlink w:anchor="_Toc211930145" w:history="1">
            <w:r w:rsidRPr="00814410">
              <w:rPr>
                <w:rStyle w:val="Hyperlink"/>
              </w:rPr>
              <w:t>Procedural requirements</w:t>
            </w:r>
            <w:r>
              <w:rPr>
                <w:webHidden/>
              </w:rPr>
              <w:tab/>
            </w:r>
            <w:r>
              <w:rPr>
                <w:webHidden/>
              </w:rPr>
              <w:fldChar w:fldCharType="begin"/>
            </w:r>
            <w:r>
              <w:rPr>
                <w:webHidden/>
              </w:rPr>
              <w:instrText xml:space="preserve"> PAGEREF _Toc211930145 \h </w:instrText>
            </w:r>
            <w:r>
              <w:rPr>
                <w:webHidden/>
              </w:rPr>
            </w:r>
            <w:r>
              <w:rPr>
                <w:webHidden/>
              </w:rPr>
              <w:fldChar w:fldCharType="separate"/>
            </w:r>
            <w:r>
              <w:rPr>
                <w:webHidden/>
              </w:rPr>
              <w:t>23</w:t>
            </w:r>
            <w:r>
              <w:rPr>
                <w:webHidden/>
              </w:rPr>
              <w:fldChar w:fldCharType="end"/>
            </w:r>
          </w:hyperlink>
        </w:p>
        <w:p w14:paraId="79AFD2B7" w14:textId="5CFCF071" w:rsidR="004C2D67" w:rsidRDefault="004C2D67">
          <w:pPr>
            <w:pStyle w:val="TOC2"/>
            <w:rPr>
              <w:rFonts w:eastAsiaTheme="minorEastAsia" w:cstheme="minorBidi"/>
              <w:kern w:val="2"/>
              <w:lang w:eastAsia="ja-JP"/>
              <w14:ligatures w14:val="standardContextual"/>
            </w:rPr>
          </w:pPr>
          <w:hyperlink w:anchor="_Toc211930146" w:history="1">
            <w:r w:rsidRPr="00814410">
              <w:rPr>
                <w:rStyle w:val="Hyperlink"/>
              </w:rPr>
              <w:t>Central Digital Platform</w:t>
            </w:r>
            <w:r>
              <w:rPr>
                <w:webHidden/>
              </w:rPr>
              <w:tab/>
            </w:r>
            <w:r>
              <w:rPr>
                <w:webHidden/>
              </w:rPr>
              <w:fldChar w:fldCharType="begin"/>
            </w:r>
            <w:r>
              <w:rPr>
                <w:webHidden/>
              </w:rPr>
              <w:instrText xml:space="preserve"> PAGEREF _Toc211930146 \h </w:instrText>
            </w:r>
            <w:r>
              <w:rPr>
                <w:webHidden/>
              </w:rPr>
            </w:r>
            <w:r>
              <w:rPr>
                <w:webHidden/>
              </w:rPr>
              <w:fldChar w:fldCharType="separate"/>
            </w:r>
            <w:r>
              <w:rPr>
                <w:webHidden/>
              </w:rPr>
              <w:t>23</w:t>
            </w:r>
            <w:r>
              <w:rPr>
                <w:webHidden/>
              </w:rPr>
              <w:fldChar w:fldCharType="end"/>
            </w:r>
          </w:hyperlink>
        </w:p>
        <w:p w14:paraId="6933AD8A" w14:textId="34BD635B" w:rsidR="004C2D67" w:rsidRDefault="004C2D67">
          <w:pPr>
            <w:pStyle w:val="TOC2"/>
            <w:rPr>
              <w:rFonts w:eastAsiaTheme="minorEastAsia" w:cstheme="minorBidi"/>
              <w:kern w:val="2"/>
              <w:lang w:eastAsia="ja-JP"/>
              <w14:ligatures w14:val="standardContextual"/>
            </w:rPr>
          </w:pPr>
          <w:hyperlink w:anchor="_Toc211930147" w:history="1">
            <w:r w:rsidRPr="00814410">
              <w:rPr>
                <w:rStyle w:val="Hyperlink"/>
              </w:rPr>
              <w:t>Modifying the Procurement</w:t>
            </w:r>
            <w:r>
              <w:rPr>
                <w:webHidden/>
              </w:rPr>
              <w:tab/>
            </w:r>
            <w:r>
              <w:rPr>
                <w:webHidden/>
              </w:rPr>
              <w:fldChar w:fldCharType="begin"/>
            </w:r>
            <w:r>
              <w:rPr>
                <w:webHidden/>
              </w:rPr>
              <w:instrText xml:space="preserve"> PAGEREF _Toc211930147 \h </w:instrText>
            </w:r>
            <w:r>
              <w:rPr>
                <w:webHidden/>
              </w:rPr>
            </w:r>
            <w:r>
              <w:rPr>
                <w:webHidden/>
              </w:rPr>
              <w:fldChar w:fldCharType="separate"/>
            </w:r>
            <w:r>
              <w:rPr>
                <w:webHidden/>
              </w:rPr>
              <w:t>23</w:t>
            </w:r>
            <w:r>
              <w:rPr>
                <w:webHidden/>
              </w:rPr>
              <w:fldChar w:fldCharType="end"/>
            </w:r>
          </w:hyperlink>
        </w:p>
        <w:p w14:paraId="7E957918" w14:textId="7AFD04D8" w:rsidR="004C2D67" w:rsidRDefault="004C2D67">
          <w:pPr>
            <w:pStyle w:val="TOC2"/>
            <w:rPr>
              <w:rFonts w:eastAsiaTheme="minorEastAsia" w:cstheme="minorBidi"/>
              <w:kern w:val="2"/>
              <w:lang w:eastAsia="ja-JP"/>
              <w14:ligatures w14:val="standardContextual"/>
            </w:rPr>
          </w:pPr>
          <w:hyperlink w:anchor="_Toc211930148" w:history="1">
            <w:r w:rsidRPr="00814410">
              <w:rPr>
                <w:rStyle w:val="Hyperlink"/>
              </w:rPr>
              <w:t>Confidentiality and publicity</w:t>
            </w:r>
            <w:r>
              <w:rPr>
                <w:webHidden/>
              </w:rPr>
              <w:tab/>
            </w:r>
            <w:r>
              <w:rPr>
                <w:webHidden/>
              </w:rPr>
              <w:fldChar w:fldCharType="begin"/>
            </w:r>
            <w:r>
              <w:rPr>
                <w:webHidden/>
              </w:rPr>
              <w:instrText xml:space="preserve"> PAGEREF _Toc211930148 \h </w:instrText>
            </w:r>
            <w:r>
              <w:rPr>
                <w:webHidden/>
              </w:rPr>
            </w:r>
            <w:r>
              <w:rPr>
                <w:webHidden/>
              </w:rPr>
              <w:fldChar w:fldCharType="separate"/>
            </w:r>
            <w:r>
              <w:rPr>
                <w:webHidden/>
              </w:rPr>
              <w:t>24</w:t>
            </w:r>
            <w:r>
              <w:rPr>
                <w:webHidden/>
              </w:rPr>
              <w:fldChar w:fldCharType="end"/>
            </w:r>
          </w:hyperlink>
        </w:p>
        <w:p w14:paraId="4753987C" w14:textId="0C85C104" w:rsidR="004C2D67" w:rsidRDefault="004C2D67">
          <w:pPr>
            <w:pStyle w:val="TOC2"/>
            <w:rPr>
              <w:rFonts w:eastAsiaTheme="minorEastAsia" w:cstheme="minorBidi"/>
              <w:kern w:val="2"/>
              <w:lang w:eastAsia="ja-JP"/>
              <w14:ligatures w14:val="standardContextual"/>
            </w:rPr>
          </w:pPr>
          <w:hyperlink w:anchor="_Toc211930149" w:history="1">
            <w:r w:rsidRPr="00814410">
              <w:rPr>
                <w:rStyle w:val="Hyperlink"/>
              </w:rPr>
              <w:t>Requirements on sub-contractors and consortium</w:t>
            </w:r>
            <w:r>
              <w:rPr>
                <w:webHidden/>
              </w:rPr>
              <w:tab/>
            </w:r>
            <w:r>
              <w:rPr>
                <w:webHidden/>
              </w:rPr>
              <w:fldChar w:fldCharType="begin"/>
            </w:r>
            <w:r>
              <w:rPr>
                <w:webHidden/>
              </w:rPr>
              <w:instrText xml:space="preserve"> PAGEREF _Toc211930149 \h </w:instrText>
            </w:r>
            <w:r>
              <w:rPr>
                <w:webHidden/>
              </w:rPr>
            </w:r>
            <w:r>
              <w:rPr>
                <w:webHidden/>
              </w:rPr>
              <w:fldChar w:fldCharType="separate"/>
            </w:r>
            <w:r>
              <w:rPr>
                <w:webHidden/>
              </w:rPr>
              <w:t>25</w:t>
            </w:r>
            <w:r>
              <w:rPr>
                <w:webHidden/>
              </w:rPr>
              <w:fldChar w:fldCharType="end"/>
            </w:r>
          </w:hyperlink>
        </w:p>
        <w:p w14:paraId="6D0DB62B" w14:textId="7A4A9297" w:rsidR="004C2D67" w:rsidRDefault="004C2D67">
          <w:pPr>
            <w:pStyle w:val="TOC2"/>
            <w:rPr>
              <w:rFonts w:eastAsiaTheme="minorEastAsia" w:cstheme="minorBidi"/>
              <w:kern w:val="2"/>
              <w:lang w:eastAsia="ja-JP"/>
              <w14:ligatures w14:val="standardContextual"/>
            </w:rPr>
          </w:pPr>
          <w:hyperlink w:anchor="_Toc211930150" w:history="1">
            <w:r w:rsidRPr="00814410">
              <w:rPr>
                <w:rStyle w:val="Hyperlink"/>
              </w:rPr>
              <w:t>Parent company guarantee or other securities</w:t>
            </w:r>
            <w:r>
              <w:rPr>
                <w:webHidden/>
              </w:rPr>
              <w:tab/>
            </w:r>
            <w:r>
              <w:rPr>
                <w:webHidden/>
              </w:rPr>
              <w:fldChar w:fldCharType="begin"/>
            </w:r>
            <w:r>
              <w:rPr>
                <w:webHidden/>
              </w:rPr>
              <w:instrText xml:space="preserve"> PAGEREF _Toc211930150 \h </w:instrText>
            </w:r>
            <w:r>
              <w:rPr>
                <w:webHidden/>
              </w:rPr>
            </w:r>
            <w:r>
              <w:rPr>
                <w:webHidden/>
              </w:rPr>
              <w:fldChar w:fldCharType="separate"/>
            </w:r>
            <w:r>
              <w:rPr>
                <w:webHidden/>
              </w:rPr>
              <w:t>25</w:t>
            </w:r>
            <w:r>
              <w:rPr>
                <w:webHidden/>
              </w:rPr>
              <w:fldChar w:fldCharType="end"/>
            </w:r>
          </w:hyperlink>
        </w:p>
        <w:p w14:paraId="421289C1" w14:textId="3E4F08F4" w:rsidR="004C2D67" w:rsidRDefault="004C2D67">
          <w:pPr>
            <w:pStyle w:val="TOC2"/>
            <w:rPr>
              <w:rFonts w:eastAsiaTheme="minorEastAsia" w:cstheme="minorBidi"/>
              <w:kern w:val="2"/>
              <w:lang w:eastAsia="ja-JP"/>
              <w14:ligatures w14:val="standardContextual"/>
            </w:rPr>
          </w:pPr>
          <w:hyperlink w:anchor="_Toc211930151" w:history="1">
            <w:r w:rsidRPr="00814410">
              <w:rPr>
                <w:rStyle w:val="Hyperlink"/>
              </w:rPr>
              <w:t>Non-collusion, non-canvassing</w:t>
            </w:r>
            <w:r>
              <w:rPr>
                <w:webHidden/>
              </w:rPr>
              <w:tab/>
            </w:r>
            <w:r>
              <w:rPr>
                <w:webHidden/>
              </w:rPr>
              <w:fldChar w:fldCharType="begin"/>
            </w:r>
            <w:r>
              <w:rPr>
                <w:webHidden/>
              </w:rPr>
              <w:instrText xml:space="preserve"> PAGEREF _Toc211930151 \h </w:instrText>
            </w:r>
            <w:r>
              <w:rPr>
                <w:webHidden/>
              </w:rPr>
            </w:r>
            <w:r>
              <w:rPr>
                <w:webHidden/>
              </w:rPr>
              <w:fldChar w:fldCharType="separate"/>
            </w:r>
            <w:r>
              <w:rPr>
                <w:webHidden/>
              </w:rPr>
              <w:t>25</w:t>
            </w:r>
            <w:r>
              <w:rPr>
                <w:webHidden/>
              </w:rPr>
              <w:fldChar w:fldCharType="end"/>
            </w:r>
          </w:hyperlink>
        </w:p>
        <w:p w14:paraId="5C3B8DF3" w14:textId="0E98EC4C" w:rsidR="004C2D67" w:rsidRDefault="004C2D67">
          <w:pPr>
            <w:pStyle w:val="TOC1"/>
            <w:rPr>
              <w:rFonts w:eastAsiaTheme="minorEastAsia" w:cstheme="minorBidi"/>
              <w:b w:val="0"/>
              <w:noProof/>
              <w:kern w:val="2"/>
              <w:lang w:eastAsia="ja-JP"/>
              <w14:ligatures w14:val="standardContextual"/>
            </w:rPr>
          </w:pPr>
          <w:hyperlink w:anchor="_Toc211930152" w:history="1">
            <w:r w:rsidRPr="00814410">
              <w:rPr>
                <w:rStyle w:val="Hyperlink"/>
                <w:noProof/>
              </w:rPr>
              <w:t>Appendix B: The Authority’s detailed requirement</w:t>
            </w:r>
            <w:r>
              <w:rPr>
                <w:noProof/>
                <w:webHidden/>
              </w:rPr>
              <w:tab/>
            </w:r>
            <w:r>
              <w:rPr>
                <w:noProof/>
                <w:webHidden/>
              </w:rPr>
              <w:fldChar w:fldCharType="begin"/>
            </w:r>
            <w:r>
              <w:rPr>
                <w:noProof/>
                <w:webHidden/>
              </w:rPr>
              <w:instrText xml:space="preserve"> PAGEREF _Toc211930152 \h </w:instrText>
            </w:r>
            <w:r>
              <w:rPr>
                <w:noProof/>
                <w:webHidden/>
              </w:rPr>
            </w:r>
            <w:r>
              <w:rPr>
                <w:noProof/>
                <w:webHidden/>
              </w:rPr>
              <w:fldChar w:fldCharType="separate"/>
            </w:r>
            <w:r>
              <w:rPr>
                <w:noProof/>
                <w:webHidden/>
              </w:rPr>
              <w:t>30</w:t>
            </w:r>
            <w:r>
              <w:rPr>
                <w:noProof/>
                <w:webHidden/>
              </w:rPr>
              <w:fldChar w:fldCharType="end"/>
            </w:r>
          </w:hyperlink>
        </w:p>
        <w:p w14:paraId="73C17F23" w14:textId="79FD1CD4" w:rsidR="004C2D67" w:rsidRDefault="004C2D67">
          <w:pPr>
            <w:pStyle w:val="TOC1"/>
            <w:rPr>
              <w:rFonts w:eastAsiaTheme="minorEastAsia" w:cstheme="minorBidi"/>
              <w:b w:val="0"/>
              <w:noProof/>
              <w:kern w:val="2"/>
              <w:lang w:eastAsia="ja-JP"/>
              <w14:ligatures w14:val="standardContextual"/>
            </w:rPr>
          </w:pPr>
          <w:hyperlink w:anchor="_Toc211930153" w:history="1">
            <w:r w:rsidRPr="00814410">
              <w:rPr>
                <w:rStyle w:val="Hyperlink"/>
                <w:noProof/>
              </w:rPr>
              <w:t>Appendix C: Performance Levels, Service Credits and KPIs</w:t>
            </w:r>
            <w:r>
              <w:rPr>
                <w:noProof/>
                <w:webHidden/>
              </w:rPr>
              <w:tab/>
            </w:r>
            <w:r>
              <w:rPr>
                <w:noProof/>
                <w:webHidden/>
              </w:rPr>
              <w:fldChar w:fldCharType="begin"/>
            </w:r>
            <w:r>
              <w:rPr>
                <w:noProof/>
                <w:webHidden/>
              </w:rPr>
              <w:instrText xml:space="preserve"> PAGEREF _Toc211930153 \h </w:instrText>
            </w:r>
            <w:r>
              <w:rPr>
                <w:noProof/>
                <w:webHidden/>
              </w:rPr>
            </w:r>
            <w:r>
              <w:rPr>
                <w:noProof/>
                <w:webHidden/>
              </w:rPr>
              <w:fldChar w:fldCharType="separate"/>
            </w:r>
            <w:r>
              <w:rPr>
                <w:noProof/>
                <w:webHidden/>
              </w:rPr>
              <w:t>31</w:t>
            </w:r>
            <w:r>
              <w:rPr>
                <w:noProof/>
                <w:webHidden/>
              </w:rPr>
              <w:fldChar w:fldCharType="end"/>
            </w:r>
          </w:hyperlink>
        </w:p>
        <w:p w14:paraId="61375614" w14:textId="286E098F" w:rsidR="004C2D67" w:rsidRDefault="004C2D67">
          <w:pPr>
            <w:pStyle w:val="TOC1"/>
            <w:rPr>
              <w:rFonts w:eastAsiaTheme="minorEastAsia" w:cstheme="minorBidi"/>
              <w:b w:val="0"/>
              <w:noProof/>
              <w:kern w:val="2"/>
              <w:lang w:eastAsia="ja-JP"/>
              <w14:ligatures w14:val="standardContextual"/>
            </w:rPr>
          </w:pPr>
          <w:hyperlink w:anchor="_Toc211930154" w:history="1">
            <w:r w:rsidRPr="00814410">
              <w:rPr>
                <w:rStyle w:val="Hyperlink"/>
                <w:noProof/>
              </w:rPr>
              <w:t>Appendix D: The draft contract terms and conditions</w:t>
            </w:r>
            <w:r>
              <w:rPr>
                <w:noProof/>
                <w:webHidden/>
              </w:rPr>
              <w:tab/>
            </w:r>
            <w:r>
              <w:rPr>
                <w:noProof/>
                <w:webHidden/>
              </w:rPr>
              <w:fldChar w:fldCharType="begin"/>
            </w:r>
            <w:r>
              <w:rPr>
                <w:noProof/>
                <w:webHidden/>
              </w:rPr>
              <w:instrText xml:space="preserve"> PAGEREF _Toc211930154 \h </w:instrText>
            </w:r>
            <w:r>
              <w:rPr>
                <w:noProof/>
                <w:webHidden/>
              </w:rPr>
            </w:r>
            <w:r>
              <w:rPr>
                <w:noProof/>
                <w:webHidden/>
              </w:rPr>
              <w:fldChar w:fldCharType="separate"/>
            </w:r>
            <w:r>
              <w:rPr>
                <w:noProof/>
                <w:webHidden/>
              </w:rPr>
              <w:t>32</w:t>
            </w:r>
            <w:r>
              <w:rPr>
                <w:noProof/>
                <w:webHidden/>
              </w:rPr>
              <w:fldChar w:fldCharType="end"/>
            </w:r>
          </w:hyperlink>
        </w:p>
        <w:p w14:paraId="22EE1A8E" w14:textId="3C925151" w:rsidR="004C2D67" w:rsidRDefault="004C2D67">
          <w:pPr>
            <w:pStyle w:val="TOC1"/>
            <w:rPr>
              <w:rFonts w:eastAsiaTheme="minorEastAsia" w:cstheme="minorBidi"/>
              <w:b w:val="0"/>
              <w:noProof/>
              <w:kern w:val="2"/>
              <w:lang w:eastAsia="ja-JP"/>
              <w14:ligatures w14:val="standardContextual"/>
            </w:rPr>
          </w:pPr>
          <w:hyperlink w:anchor="_Toc211930155" w:history="1">
            <w:r w:rsidRPr="00814410">
              <w:rPr>
                <w:rStyle w:val="Hyperlink"/>
                <w:noProof/>
              </w:rPr>
              <w:t>Appendix E: Glossary</w:t>
            </w:r>
            <w:r>
              <w:rPr>
                <w:noProof/>
                <w:webHidden/>
              </w:rPr>
              <w:tab/>
            </w:r>
            <w:r>
              <w:rPr>
                <w:noProof/>
                <w:webHidden/>
              </w:rPr>
              <w:fldChar w:fldCharType="begin"/>
            </w:r>
            <w:r>
              <w:rPr>
                <w:noProof/>
                <w:webHidden/>
              </w:rPr>
              <w:instrText xml:space="preserve"> PAGEREF _Toc211930155 \h </w:instrText>
            </w:r>
            <w:r>
              <w:rPr>
                <w:noProof/>
                <w:webHidden/>
              </w:rPr>
            </w:r>
            <w:r>
              <w:rPr>
                <w:noProof/>
                <w:webHidden/>
              </w:rPr>
              <w:fldChar w:fldCharType="separate"/>
            </w:r>
            <w:r>
              <w:rPr>
                <w:noProof/>
                <w:webHidden/>
              </w:rPr>
              <w:t>33</w:t>
            </w:r>
            <w:r>
              <w:rPr>
                <w:noProof/>
                <w:webHidden/>
              </w:rPr>
              <w:fldChar w:fldCharType="end"/>
            </w:r>
          </w:hyperlink>
        </w:p>
        <w:p w14:paraId="237D7289" w14:textId="2D1F7C19" w:rsidR="004C2D67" w:rsidRDefault="004C2D67">
          <w:pPr>
            <w:pStyle w:val="TOC1"/>
            <w:rPr>
              <w:rFonts w:eastAsiaTheme="minorEastAsia" w:cstheme="minorBidi"/>
              <w:b w:val="0"/>
              <w:noProof/>
              <w:kern w:val="2"/>
              <w:lang w:eastAsia="ja-JP"/>
              <w14:ligatures w14:val="standardContextual"/>
            </w:rPr>
          </w:pPr>
          <w:hyperlink w:anchor="_Toc211930156" w:history="1">
            <w:r w:rsidRPr="00814410">
              <w:rPr>
                <w:rStyle w:val="Hyperlink"/>
                <w:noProof/>
              </w:rPr>
              <w:t>Appendix F: PME RFI</w:t>
            </w:r>
            <w:r>
              <w:rPr>
                <w:noProof/>
                <w:webHidden/>
              </w:rPr>
              <w:tab/>
            </w:r>
            <w:r>
              <w:rPr>
                <w:noProof/>
                <w:webHidden/>
              </w:rPr>
              <w:fldChar w:fldCharType="begin"/>
            </w:r>
            <w:r>
              <w:rPr>
                <w:noProof/>
                <w:webHidden/>
              </w:rPr>
              <w:instrText xml:space="preserve"> PAGEREF _Toc211930156 \h </w:instrText>
            </w:r>
            <w:r>
              <w:rPr>
                <w:noProof/>
                <w:webHidden/>
              </w:rPr>
            </w:r>
            <w:r>
              <w:rPr>
                <w:noProof/>
                <w:webHidden/>
              </w:rPr>
              <w:fldChar w:fldCharType="separate"/>
            </w:r>
            <w:r>
              <w:rPr>
                <w:noProof/>
                <w:webHidden/>
              </w:rPr>
              <w:t>35</w:t>
            </w:r>
            <w:r>
              <w:rPr>
                <w:noProof/>
                <w:webHidden/>
              </w:rPr>
              <w:fldChar w:fldCharType="end"/>
            </w:r>
          </w:hyperlink>
        </w:p>
        <w:p w14:paraId="1E9FA70C" w14:textId="17B27BE8" w:rsidR="004C2D67" w:rsidRDefault="004C2D67">
          <w:pPr>
            <w:pStyle w:val="TOC1"/>
            <w:rPr>
              <w:rFonts w:eastAsiaTheme="minorEastAsia" w:cstheme="minorBidi"/>
              <w:b w:val="0"/>
              <w:noProof/>
              <w:kern w:val="2"/>
              <w:lang w:eastAsia="ja-JP"/>
              <w14:ligatures w14:val="standardContextual"/>
            </w:rPr>
          </w:pPr>
          <w:hyperlink w:anchor="_Toc211930157" w:history="1">
            <w:r w:rsidRPr="00814410">
              <w:rPr>
                <w:rStyle w:val="Hyperlink"/>
                <w:noProof/>
              </w:rPr>
              <w:t>Appendix G: PME RFI Clarification Questions and Authority responses</w:t>
            </w:r>
            <w:r>
              <w:rPr>
                <w:noProof/>
                <w:webHidden/>
              </w:rPr>
              <w:tab/>
            </w:r>
            <w:r>
              <w:rPr>
                <w:noProof/>
                <w:webHidden/>
              </w:rPr>
              <w:fldChar w:fldCharType="begin"/>
            </w:r>
            <w:r>
              <w:rPr>
                <w:noProof/>
                <w:webHidden/>
              </w:rPr>
              <w:instrText xml:space="preserve"> PAGEREF _Toc211930157 \h </w:instrText>
            </w:r>
            <w:r>
              <w:rPr>
                <w:noProof/>
                <w:webHidden/>
              </w:rPr>
            </w:r>
            <w:r>
              <w:rPr>
                <w:noProof/>
                <w:webHidden/>
              </w:rPr>
              <w:fldChar w:fldCharType="separate"/>
            </w:r>
            <w:r>
              <w:rPr>
                <w:noProof/>
                <w:webHidden/>
              </w:rPr>
              <w:t>36</w:t>
            </w:r>
            <w:r>
              <w:rPr>
                <w:noProof/>
                <w:webHidden/>
              </w:rPr>
              <w:fldChar w:fldCharType="end"/>
            </w:r>
          </w:hyperlink>
        </w:p>
        <w:p w14:paraId="6DD83074" w14:textId="305EFFF9" w:rsidR="004C2D67" w:rsidRDefault="004C2D67">
          <w:pPr>
            <w:pStyle w:val="TOC1"/>
            <w:rPr>
              <w:rFonts w:eastAsiaTheme="minorEastAsia" w:cstheme="minorBidi"/>
              <w:b w:val="0"/>
              <w:noProof/>
              <w:kern w:val="2"/>
              <w:lang w:eastAsia="ja-JP"/>
              <w14:ligatures w14:val="standardContextual"/>
            </w:rPr>
          </w:pPr>
          <w:hyperlink w:anchor="_Toc211930158" w:history="1">
            <w:r w:rsidRPr="00814410">
              <w:rPr>
                <w:rStyle w:val="Hyperlink"/>
                <w:noProof/>
              </w:rPr>
              <w:t>Appendix H: PME RFI Authority Update</w:t>
            </w:r>
            <w:r>
              <w:rPr>
                <w:noProof/>
                <w:webHidden/>
              </w:rPr>
              <w:tab/>
            </w:r>
            <w:r>
              <w:rPr>
                <w:noProof/>
                <w:webHidden/>
              </w:rPr>
              <w:fldChar w:fldCharType="begin"/>
            </w:r>
            <w:r>
              <w:rPr>
                <w:noProof/>
                <w:webHidden/>
              </w:rPr>
              <w:instrText xml:space="preserve"> PAGEREF _Toc211930158 \h </w:instrText>
            </w:r>
            <w:r>
              <w:rPr>
                <w:noProof/>
                <w:webHidden/>
              </w:rPr>
            </w:r>
            <w:r>
              <w:rPr>
                <w:noProof/>
                <w:webHidden/>
              </w:rPr>
              <w:fldChar w:fldCharType="separate"/>
            </w:r>
            <w:r>
              <w:rPr>
                <w:noProof/>
                <w:webHidden/>
              </w:rPr>
              <w:t>37</w:t>
            </w:r>
            <w:r>
              <w:rPr>
                <w:noProof/>
                <w:webHidden/>
              </w:rPr>
              <w:fldChar w:fldCharType="end"/>
            </w:r>
          </w:hyperlink>
        </w:p>
        <w:p w14:paraId="19C7BBB8" w14:textId="486D1C10" w:rsidR="004C2D67" w:rsidRDefault="004C2D67">
          <w:pPr>
            <w:pStyle w:val="TOC1"/>
            <w:rPr>
              <w:rFonts w:eastAsiaTheme="minorEastAsia" w:cstheme="minorBidi"/>
              <w:b w:val="0"/>
              <w:noProof/>
              <w:kern w:val="2"/>
              <w:lang w:eastAsia="ja-JP"/>
              <w14:ligatures w14:val="standardContextual"/>
            </w:rPr>
          </w:pPr>
          <w:hyperlink w:anchor="_Toc211930159" w:history="1">
            <w:r w:rsidRPr="00814410">
              <w:rPr>
                <w:rStyle w:val="Hyperlink"/>
                <w:noProof/>
              </w:rPr>
              <w:t>Appendix I: Procurement Specific Questionnaire (PSQ) Guidance Document</w:t>
            </w:r>
            <w:r>
              <w:rPr>
                <w:noProof/>
                <w:webHidden/>
              </w:rPr>
              <w:tab/>
            </w:r>
            <w:r>
              <w:rPr>
                <w:noProof/>
                <w:webHidden/>
              </w:rPr>
              <w:fldChar w:fldCharType="begin"/>
            </w:r>
            <w:r>
              <w:rPr>
                <w:noProof/>
                <w:webHidden/>
              </w:rPr>
              <w:instrText xml:space="preserve"> PAGEREF _Toc211930159 \h </w:instrText>
            </w:r>
            <w:r>
              <w:rPr>
                <w:noProof/>
                <w:webHidden/>
              </w:rPr>
            </w:r>
            <w:r>
              <w:rPr>
                <w:noProof/>
                <w:webHidden/>
              </w:rPr>
              <w:fldChar w:fldCharType="separate"/>
            </w:r>
            <w:r>
              <w:rPr>
                <w:noProof/>
                <w:webHidden/>
              </w:rPr>
              <w:t>38</w:t>
            </w:r>
            <w:r>
              <w:rPr>
                <w:noProof/>
                <w:webHidden/>
              </w:rPr>
              <w:fldChar w:fldCharType="end"/>
            </w:r>
          </w:hyperlink>
        </w:p>
        <w:p w14:paraId="1E7932C6" w14:textId="0277B64F" w:rsidR="004C2D67" w:rsidRDefault="004C2D67">
          <w:pPr>
            <w:pStyle w:val="TOC1"/>
            <w:rPr>
              <w:rFonts w:eastAsiaTheme="minorEastAsia" w:cstheme="minorBidi"/>
              <w:b w:val="0"/>
              <w:noProof/>
              <w:kern w:val="2"/>
              <w:lang w:eastAsia="ja-JP"/>
              <w14:ligatures w14:val="standardContextual"/>
            </w:rPr>
          </w:pPr>
          <w:hyperlink w:anchor="_Toc211930160" w:history="1">
            <w:r w:rsidRPr="00814410">
              <w:rPr>
                <w:rStyle w:val="Hyperlink"/>
                <w:noProof/>
              </w:rPr>
              <w:t>Appendix J: PSQ Supplier Response Document</w:t>
            </w:r>
            <w:r>
              <w:rPr>
                <w:noProof/>
                <w:webHidden/>
              </w:rPr>
              <w:tab/>
            </w:r>
            <w:r>
              <w:rPr>
                <w:noProof/>
                <w:webHidden/>
              </w:rPr>
              <w:fldChar w:fldCharType="begin"/>
            </w:r>
            <w:r>
              <w:rPr>
                <w:noProof/>
                <w:webHidden/>
              </w:rPr>
              <w:instrText xml:space="preserve"> PAGEREF _Toc211930160 \h </w:instrText>
            </w:r>
            <w:r>
              <w:rPr>
                <w:noProof/>
                <w:webHidden/>
              </w:rPr>
            </w:r>
            <w:r>
              <w:rPr>
                <w:noProof/>
                <w:webHidden/>
              </w:rPr>
              <w:fldChar w:fldCharType="separate"/>
            </w:r>
            <w:r>
              <w:rPr>
                <w:noProof/>
                <w:webHidden/>
              </w:rPr>
              <w:t>39</w:t>
            </w:r>
            <w:r>
              <w:rPr>
                <w:noProof/>
                <w:webHidden/>
              </w:rPr>
              <w:fldChar w:fldCharType="end"/>
            </w:r>
          </w:hyperlink>
        </w:p>
        <w:p w14:paraId="110EF0EA" w14:textId="2A9DA0DC" w:rsidR="001434A2" w:rsidRDefault="005963DA" w:rsidP="00E67F97">
          <w:pPr>
            <w:pStyle w:val="TOC1"/>
          </w:pPr>
          <w:r>
            <w:fldChar w:fldCharType="end"/>
          </w:r>
        </w:p>
      </w:sdtContent>
    </w:sdt>
    <w:p w14:paraId="2C8FD9E2" w14:textId="77777777" w:rsidR="00AE2304" w:rsidRPr="001434A2" w:rsidRDefault="00AE2304" w:rsidP="00E67F97">
      <w:pPr>
        <w:pStyle w:val="Heading1"/>
        <w:numPr>
          <w:ilvl w:val="0"/>
          <w:numId w:val="0"/>
        </w:numPr>
      </w:pPr>
      <w:bookmarkStart w:id="1" w:name="_Toc211930131"/>
      <w:r w:rsidRPr="00AE2304">
        <w:t>Deadline for responding to this document</w:t>
      </w:r>
      <w:bookmarkEnd w:id="1"/>
    </w:p>
    <w:p w14:paraId="25A67617" w14:textId="33EA4C71" w:rsidR="00D13322" w:rsidRPr="00AE2304" w:rsidRDefault="00AE2304" w:rsidP="002F4A43">
      <w:pPr>
        <w:pStyle w:val="BodyText1"/>
        <w:numPr>
          <w:ilvl w:val="0"/>
          <w:numId w:val="5"/>
        </w:numPr>
        <w:ind w:left="357" w:hanging="357"/>
        <w:rPr>
          <w:rFonts w:ascii="Arial" w:hAnsi="Arial" w:cs="Arial"/>
        </w:rPr>
      </w:pPr>
      <w:r w:rsidRPr="00AE2304">
        <w:rPr>
          <w:rFonts w:ascii="Arial" w:hAnsi="Arial" w:cs="Arial"/>
        </w:rPr>
        <w:t xml:space="preserve">The </w:t>
      </w:r>
      <w:r w:rsidRPr="002F4A43">
        <w:t>deadline</w:t>
      </w:r>
      <w:r w:rsidRPr="00AE2304">
        <w:rPr>
          <w:rFonts w:ascii="Arial" w:hAnsi="Arial" w:cs="Arial"/>
        </w:rPr>
        <w:t xml:space="preserve"> for responding to this </w:t>
      </w:r>
      <w:r w:rsidR="00F925F8">
        <w:rPr>
          <w:rFonts w:ascii="Arial" w:hAnsi="Arial" w:cs="Arial"/>
        </w:rPr>
        <w:t xml:space="preserve">Invitation to </w:t>
      </w:r>
      <w:r w:rsidR="009B22D0">
        <w:rPr>
          <w:rFonts w:ascii="Arial" w:hAnsi="Arial" w:cs="Arial"/>
        </w:rPr>
        <w:t xml:space="preserve">Participate </w:t>
      </w:r>
      <w:r w:rsidR="00F925F8">
        <w:rPr>
          <w:rFonts w:ascii="Arial" w:hAnsi="Arial" w:cs="Arial"/>
        </w:rPr>
        <w:t>(IT</w:t>
      </w:r>
      <w:r w:rsidR="009B22D0">
        <w:rPr>
          <w:rFonts w:ascii="Arial" w:hAnsi="Arial" w:cs="Arial"/>
        </w:rPr>
        <w:t>P</w:t>
      </w:r>
      <w:r w:rsidR="00F925F8">
        <w:rPr>
          <w:rFonts w:ascii="Arial" w:hAnsi="Arial" w:cs="Arial"/>
        </w:rPr>
        <w:t xml:space="preserve">) </w:t>
      </w:r>
      <w:r w:rsidRPr="00AE2304">
        <w:rPr>
          <w:rFonts w:ascii="Arial" w:hAnsi="Arial" w:cs="Arial"/>
        </w:rPr>
        <w:t xml:space="preserve">is </w:t>
      </w:r>
      <w:r w:rsidR="002819CE" w:rsidRPr="00C2187A">
        <w:rPr>
          <w:rFonts w:ascii="Arial" w:hAnsi="Arial" w:cs="Arial"/>
        </w:rPr>
        <w:t>1</w:t>
      </w:r>
      <w:r w:rsidR="009E2075">
        <w:rPr>
          <w:rFonts w:ascii="Arial" w:hAnsi="Arial" w:cs="Arial"/>
        </w:rPr>
        <w:t>8</w:t>
      </w:r>
      <w:r w:rsidR="002819CE" w:rsidRPr="00C2187A">
        <w:rPr>
          <w:rFonts w:ascii="Arial" w:hAnsi="Arial" w:cs="Arial"/>
        </w:rPr>
        <w:t xml:space="preserve">:00hrs on </w:t>
      </w:r>
      <w:r w:rsidR="009E2075" w:rsidRPr="009E2075">
        <w:rPr>
          <w:rFonts w:ascii="Arial" w:hAnsi="Arial" w:cs="Arial"/>
        </w:rPr>
        <w:t>24</w:t>
      </w:r>
      <w:r w:rsidR="002819CE" w:rsidRPr="009E2075">
        <w:rPr>
          <w:rFonts w:ascii="Arial" w:hAnsi="Arial" w:cs="Arial"/>
        </w:rPr>
        <w:t xml:space="preserve"> Nov</w:t>
      </w:r>
      <w:r w:rsidR="002819CE" w:rsidRPr="00C2187A">
        <w:rPr>
          <w:rFonts w:ascii="Arial" w:hAnsi="Arial" w:cs="Arial"/>
        </w:rPr>
        <w:t xml:space="preserve"> 2025</w:t>
      </w:r>
      <w:r w:rsidR="002819CE">
        <w:rPr>
          <w:rFonts w:ascii="Arial" w:hAnsi="Arial" w:cs="Arial"/>
        </w:rPr>
        <w:t xml:space="preserve">. </w:t>
      </w:r>
      <w:r w:rsidRPr="00AE2304">
        <w:rPr>
          <w:rFonts w:ascii="Arial" w:hAnsi="Arial" w:cs="Arial"/>
        </w:rPr>
        <w:t>See ‘Procurement timetable’ and ‘How to respond to this opportunity’.</w:t>
      </w:r>
    </w:p>
    <w:p w14:paraId="7E0D12AA" w14:textId="77777777" w:rsidR="0070596D" w:rsidRDefault="00AE2304" w:rsidP="00DF644D">
      <w:pPr>
        <w:pStyle w:val="Heading1"/>
        <w:numPr>
          <w:ilvl w:val="0"/>
          <w:numId w:val="0"/>
        </w:numPr>
      </w:pPr>
      <w:bookmarkStart w:id="2" w:name="_Toc211930132"/>
      <w:bookmarkStart w:id="3" w:name="_Toc167865296"/>
      <w:r>
        <w:t>Introduction</w:t>
      </w:r>
      <w:bookmarkEnd w:id="2"/>
    </w:p>
    <w:p w14:paraId="5691FA71" w14:textId="467EC9DE" w:rsidR="00AE2304" w:rsidRPr="00AE2304" w:rsidRDefault="00AE2304" w:rsidP="005963DA">
      <w:pPr>
        <w:pStyle w:val="BodyText1"/>
        <w:numPr>
          <w:ilvl w:val="0"/>
          <w:numId w:val="5"/>
        </w:numPr>
        <w:ind w:left="357" w:hanging="357"/>
      </w:pPr>
      <w:r w:rsidRPr="00AE2304">
        <w:t xml:space="preserve">This Procurement is being conducted in accordance with the </w:t>
      </w:r>
      <w:r w:rsidR="00666FCB">
        <w:t>Procurement Act 2023 (th</w:t>
      </w:r>
      <w:r w:rsidR="0078582F">
        <w:t>e</w:t>
      </w:r>
      <w:r w:rsidR="00666FCB">
        <w:t xml:space="preserve"> </w:t>
      </w:r>
      <w:r w:rsidRPr="00AE2304">
        <w:t>Act</w:t>
      </w:r>
      <w:r w:rsidR="0078582F">
        <w:t>)</w:t>
      </w:r>
      <w:r w:rsidR="00AA7E48">
        <w:t xml:space="preserve"> </w:t>
      </w:r>
      <w:r w:rsidRPr="00AE2304">
        <w:t xml:space="preserve">using the Competitive Flexible Procedure. This document describes how the Procurement will be conducted, including details of the associated Procurement </w:t>
      </w:r>
      <w:r w:rsidR="02B6DF15">
        <w:t>T</w:t>
      </w:r>
      <w:r w:rsidR="18494ED1">
        <w:t xml:space="preserve">imetable, </w:t>
      </w:r>
      <w:r w:rsidRPr="00AE2304">
        <w:t xml:space="preserve">participation and award criteria and how to respond to this opportunity. Suppliers are strongly encouraged to read this document before preparing their submission. </w:t>
      </w:r>
    </w:p>
    <w:p w14:paraId="3941B677" w14:textId="0FA1900B" w:rsidR="00AE2304" w:rsidRPr="00AE2304" w:rsidRDefault="00AE2304" w:rsidP="005963DA">
      <w:pPr>
        <w:pStyle w:val="BodyText1"/>
        <w:numPr>
          <w:ilvl w:val="0"/>
          <w:numId w:val="5"/>
        </w:numPr>
        <w:ind w:left="357" w:hanging="357"/>
      </w:pPr>
      <w:r w:rsidRPr="00AE2304">
        <w:t xml:space="preserve">This document has been prepared to assist Suppliers in deciding whether to participate in this Procurement. </w:t>
      </w:r>
      <w:r w:rsidRPr="002107B6">
        <w:rPr>
          <w:b/>
          <w:bCs/>
        </w:rPr>
        <w:t>Please read this document carefully, as failure to comply with this document may result in exclusion from the Procurement and/or the rejection of any submission.</w:t>
      </w:r>
      <w:r w:rsidR="003F6CC0">
        <w:t xml:space="preserve"> </w:t>
      </w:r>
    </w:p>
    <w:p w14:paraId="2901BEE9" w14:textId="77777777" w:rsidR="00AE2304" w:rsidRPr="00AE2304" w:rsidRDefault="00AE2304" w:rsidP="005963DA">
      <w:pPr>
        <w:pStyle w:val="BodyText1"/>
        <w:numPr>
          <w:ilvl w:val="0"/>
          <w:numId w:val="5"/>
        </w:numPr>
        <w:ind w:left="357" w:hanging="357"/>
      </w:pPr>
      <w:r w:rsidRPr="00AE2304">
        <w:t>This document should be read in conjunction with the Tender Notice and any other Procurement documents which have been made available at this stage of the Procurement.</w:t>
      </w:r>
    </w:p>
    <w:p w14:paraId="4305B5A7" w14:textId="77777777" w:rsidR="00AE2304" w:rsidRPr="00AE2304" w:rsidRDefault="00AE2304" w:rsidP="005963DA">
      <w:pPr>
        <w:pStyle w:val="BodyText1"/>
        <w:numPr>
          <w:ilvl w:val="0"/>
          <w:numId w:val="5"/>
        </w:numPr>
        <w:ind w:left="357" w:hanging="357"/>
      </w:pPr>
      <w:r w:rsidRPr="00AE2304">
        <w:t>The Authority reserves the right to issue updated versions of this document to</w:t>
      </w:r>
      <w:r w:rsidR="003F6CC0">
        <w:t xml:space="preserve"> </w:t>
      </w:r>
      <w:r w:rsidRPr="00AE2304">
        <w:t>Suppliers as and when the need arises, in order to reflect the corresponding stage of the Competitive Flexible Procedure, together with any changes to the Procurement or any other new information.</w:t>
      </w:r>
      <w:r w:rsidR="003F6CC0">
        <w:t xml:space="preserve"> </w:t>
      </w:r>
    </w:p>
    <w:p w14:paraId="4D16ACAC" w14:textId="77777777" w:rsidR="00AE2304" w:rsidRPr="003F6CC0" w:rsidRDefault="00AE2304" w:rsidP="005963DA">
      <w:pPr>
        <w:pStyle w:val="BodyText1"/>
        <w:numPr>
          <w:ilvl w:val="0"/>
          <w:numId w:val="5"/>
        </w:numPr>
        <w:ind w:left="357" w:hanging="357"/>
        <w:rPr>
          <w:b/>
          <w:bCs/>
        </w:rPr>
      </w:pPr>
      <w:r w:rsidRPr="003F6CC0">
        <w:rPr>
          <w:b/>
          <w:bCs/>
        </w:rPr>
        <w:t xml:space="preserve">Please read and ensure compliance with the Procurement terms and conditions contained in Appendix A. </w:t>
      </w:r>
    </w:p>
    <w:p w14:paraId="79EB16A0" w14:textId="77777777" w:rsidR="00AE2304" w:rsidRPr="00AE2304" w:rsidRDefault="00AE2304" w:rsidP="005963DA">
      <w:pPr>
        <w:pStyle w:val="BodyText1"/>
        <w:numPr>
          <w:ilvl w:val="0"/>
          <w:numId w:val="5"/>
        </w:numPr>
        <w:ind w:left="357" w:hanging="357"/>
      </w:pPr>
      <w:r w:rsidRPr="00AE2304">
        <w:t>Common terms and expressions shall have the meanings ascribed to them in the glossary in Appendix E.</w:t>
      </w:r>
    </w:p>
    <w:p w14:paraId="4ACFF7A7" w14:textId="77777777" w:rsidR="00AE2304" w:rsidRPr="00AE2304" w:rsidRDefault="00AE2304" w:rsidP="005963DA">
      <w:pPr>
        <w:pStyle w:val="BodyText1"/>
        <w:numPr>
          <w:ilvl w:val="0"/>
          <w:numId w:val="5"/>
        </w:numPr>
        <w:ind w:left="357" w:hanging="357"/>
      </w:pPr>
      <w:r w:rsidRPr="00AE2304">
        <w:t>All references to a ‘section’ are to a section in the Act unless otherwise stated.</w:t>
      </w:r>
    </w:p>
    <w:p w14:paraId="275CA15A" w14:textId="77777777" w:rsidR="00AE2304" w:rsidRPr="00AE2304" w:rsidRDefault="00AE2304" w:rsidP="005963DA">
      <w:pPr>
        <w:pStyle w:val="BodyText1"/>
        <w:numPr>
          <w:ilvl w:val="0"/>
          <w:numId w:val="5"/>
        </w:numPr>
        <w:ind w:left="357" w:hanging="357"/>
      </w:pPr>
      <w:r w:rsidRPr="00AE2304">
        <w:t>All references to a ‘paragraph’, ‘appendix’ or ‘annex’ are to a paragraph, appendix or annex of this document unless otherwise stated.</w:t>
      </w:r>
    </w:p>
    <w:p w14:paraId="27A6D1D0" w14:textId="77777777" w:rsidR="00AE2304" w:rsidRDefault="00AE2304" w:rsidP="44802323">
      <w:pPr>
        <w:pStyle w:val="BodyText1"/>
        <w:numPr>
          <w:ilvl w:val="0"/>
          <w:numId w:val="5"/>
        </w:numPr>
        <w:ind w:left="357" w:hanging="357"/>
        <w:rPr>
          <w:b/>
          <w:bCs/>
          <w:highlight w:val="yellow"/>
        </w:rPr>
      </w:pPr>
      <w:r>
        <w:t xml:space="preserve">All references to dates and times within this document shall be interpreted in accordance with the United Kingdom time zones applicable at the date of the Procurement (i.e. GMT/BST). </w:t>
      </w:r>
    </w:p>
    <w:p w14:paraId="45CBE36A" w14:textId="77777777" w:rsidR="00D13322" w:rsidRDefault="002107B6" w:rsidP="00DF644D">
      <w:pPr>
        <w:pStyle w:val="Heading1"/>
        <w:numPr>
          <w:ilvl w:val="0"/>
          <w:numId w:val="0"/>
        </w:numPr>
      </w:pPr>
      <w:bookmarkStart w:id="4" w:name="_Toc211930133"/>
      <w:bookmarkEnd w:id="3"/>
      <w:r>
        <w:t>Introduction to the Authority</w:t>
      </w:r>
      <w:bookmarkEnd w:id="4"/>
    </w:p>
    <w:p w14:paraId="79F497C3" w14:textId="3278FF8D" w:rsidR="00F83135" w:rsidRDefault="00F83135" w:rsidP="00F83135">
      <w:pPr>
        <w:pStyle w:val="BodyText1"/>
        <w:numPr>
          <w:ilvl w:val="0"/>
          <w:numId w:val="5"/>
        </w:numPr>
      </w:pPr>
      <w:r>
        <w:t>UK Export Finance (UKEF) is a UK government ministerial department and the nation’s export credit agency (ECA). The Authority helps exporters access working capital and manage the risk of not getting paid by offering a government guarantee. The Authority partners with private sector finance providers to grow UK exports and international trade</w:t>
      </w:r>
      <w:r w:rsidR="0067452B">
        <w:t xml:space="preserve">, </w:t>
      </w:r>
      <w:r>
        <w:t>support</w:t>
      </w:r>
      <w:r w:rsidR="0067452B">
        <w:t>ing</w:t>
      </w:r>
      <w:r>
        <w:t xml:space="preserve"> companies of all sizes and sectors across the UK.   </w:t>
      </w:r>
    </w:p>
    <w:p w14:paraId="396112C3" w14:textId="6172F92A" w:rsidR="00F83135" w:rsidRDefault="00F83135" w:rsidP="00F83135">
      <w:pPr>
        <w:pStyle w:val="BodyText1"/>
        <w:numPr>
          <w:ilvl w:val="0"/>
          <w:numId w:val="5"/>
        </w:numPr>
      </w:pPr>
      <w:r>
        <w:t xml:space="preserve">The Authority’s Mission is to: ‘advance prosperity by ensuring no viable UK export fails for lack of finance or insurance, doing that sustainably and at no net cost to the taxpayer.’  </w:t>
      </w:r>
    </w:p>
    <w:p w14:paraId="39E044F5" w14:textId="5C19A7D7" w:rsidR="001151C6" w:rsidRPr="001151C6" w:rsidRDefault="00F83135" w:rsidP="00F83135">
      <w:pPr>
        <w:pStyle w:val="BodyText1"/>
        <w:numPr>
          <w:ilvl w:val="0"/>
          <w:numId w:val="5"/>
        </w:numPr>
      </w:pPr>
      <w:r>
        <w:t>Further information can be found about the department on their website: https://www.ukexportfinance.gov.uk  </w:t>
      </w:r>
    </w:p>
    <w:p w14:paraId="6BC2309C" w14:textId="4614FB97" w:rsidR="00D13322" w:rsidRDefault="002107B6" w:rsidP="00DF644D">
      <w:pPr>
        <w:pStyle w:val="Heading1"/>
        <w:numPr>
          <w:ilvl w:val="0"/>
          <w:numId w:val="0"/>
        </w:numPr>
      </w:pPr>
      <w:bookmarkStart w:id="5" w:name="_Toc211930134"/>
      <w:r>
        <w:t>Overview of the Authority’s requirement</w:t>
      </w:r>
      <w:bookmarkEnd w:id="5"/>
    </w:p>
    <w:p w14:paraId="778776C5" w14:textId="1F982BCA" w:rsidR="00495867" w:rsidRDefault="00AB103B" w:rsidP="00F26711">
      <w:pPr>
        <w:pStyle w:val="BodyText1"/>
        <w:numPr>
          <w:ilvl w:val="0"/>
          <w:numId w:val="5"/>
        </w:numPr>
        <w:ind w:left="357" w:hanging="357"/>
      </w:pPr>
      <w:r w:rsidRPr="00AB103B">
        <w:t xml:space="preserve">UKEF has a requirement to procure services of external legal counsel to advise it in relation to the financial support it provides </w:t>
      </w:r>
      <w:r w:rsidR="377FB7D7">
        <w:t>for transactions in</w:t>
      </w:r>
      <w:r w:rsidRPr="00AB103B">
        <w:t xml:space="preserve"> the aerospace sector.</w:t>
      </w:r>
      <w:r>
        <w:t xml:space="preserve"> </w:t>
      </w:r>
      <w:r w:rsidRPr="00AB103B">
        <w:t>Th</w:t>
      </w:r>
      <w:r w:rsidR="4E844A86">
        <w:t>ese</w:t>
      </w:r>
      <w:r w:rsidRPr="00AB103B">
        <w:t xml:space="preserve"> include</w:t>
      </w:r>
      <w:r w:rsidR="00495867">
        <w:t xml:space="preserve">, but </w:t>
      </w:r>
      <w:r w:rsidR="24522141">
        <w:t>are</w:t>
      </w:r>
      <w:r w:rsidR="00495867">
        <w:t xml:space="preserve"> not limited to,</w:t>
      </w:r>
      <w:r>
        <w:t xml:space="preserve"> </w:t>
      </w:r>
      <w:r w:rsidR="00495867" w:rsidRPr="00495867">
        <w:t>transactions for the financing of</w:t>
      </w:r>
      <w:r w:rsidR="00495867">
        <w:t>:</w:t>
      </w:r>
    </w:p>
    <w:p w14:paraId="7FD9A7AB" w14:textId="49FEFB18" w:rsidR="00495867" w:rsidRDefault="5A51D0A4" w:rsidP="00495867">
      <w:pPr>
        <w:pStyle w:val="BodyText1"/>
        <w:numPr>
          <w:ilvl w:val="1"/>
          <w:numId w:val="5"/>
        </w:numPr>
      </w:pPr>
      <w:r>
        <w:t>Airbus aircraft</w:t>
      </w:r>
      <w:r w:rsidR="698E525A">
        <w:t>,</w:t>
      </w:r>
      <w:r>
        <w:t xml:space="preserve"> where UKEF </w:t>
      </w:r>
      <w:r w:rsidR="0329D9A7">
        <w:t>alone provides ECA</w:t>
      </w:r>
      <w:r>
        <w:t xml:space="preserve"> support</w:t>
      </w:r>
      <w:r w:rsidR="0D652F18">
        <w:t xml:space="preserve"> </w:t>
      </w:r>
      <w:r w:rsidR="33B03317">
        <w:t>and/or relevant legal services are not procured through</w:t>
      </w:r>
      <w:r w:rsidR="00558B0D">
        <w:t xml:space="preserve"> a</w:t>
      </w:r>
      <w:r w:rsidR="33B03317">
        <w:t xml:space="preserve"> separate coordinated ECA framework for legal services relating to transactions jointly supported by UKEF, Bpifrance Assurance Export and Euler Hermes Aktiengesellschaft</w:t>
      </w:r>
      <w:r>
        <w:t xml:space="preserve">; </w:t>
      </w:r>
    </w:p>
    <w:p w14:paraId="17BBB237" w14:textId="5EBB5CCE" w:rsidR="00495867" w:rsidRDefault="1EA0CFFF" w:rsidP="00495867">
      <w:pPr>
        <w:pStyle w:val="BodyText1"/>
        <w:numPr>
          <w:ilvl w:val="1"/>
          <w:numId w:val="5"/>
        </w:numPr>
      </w:pPr>
      <w:r>
        <w:t xml:space="preserve">commercial </w:t>
      </w:r>
      <w:r w:rsidR="00495867" w:rsidRPr="00495867">
        <w:t>aircraft produced by other manufacturers (e.g., Boeing)</w:t>
      </w:r>
      <w:r w:rsidR="00495867">
        <w:t>;</w:t>
      </w:r>
      <w:r w:rsidR="00495867" w:rsidRPr="00495867">
        <w:t xml:space="preserve"> </w:t>
      </w:r>
      <w:r w:rsidR="00576A12">
        <w:t>and</w:t>
      </w:r>
    </w:p>
    <w:p w14:paraId="27449E24" w14:textId="4B6C5A39" w:rsidR="00AB103B" w:rsidRDefault="00495867" w:rsidP="00495867">
      <w:pPr>
        <w:pStyle w:val="BodyText1"/>
        <w:numPr>
          <w:ilvl w:val="1"/>
          <w:numId w:val="5"/>
        </w:numPr>
      </w:pPr>
      <w:r w:rsidRPr="00495867">
        <w:t>aircraft engines</w:t>
      </w:r>
      <w:r w:rsidR="20C40369">
        <w:t>, business jets, helicopters, flight simulators</w:t>
      </w:r>
      <w:r w:rsidRPr="00495867">
        <w:t xml:space="preserve"> or other aerospace assets, services </w:t>
      </w:r>
      <w:r w:rsidR="719E271E">
        <w:t>and/or</w:t>
      </w:r>
      <w:r w:rsidRPr="00495867">
        <w:t xml:space="preserve"> projects</w:t>
      </w:r>
      <w:r w:rsidR="7AA28255">
        <w:t>,</w:t>
      </w:r>
    </w:p>
    <w:p w14:paraId="5814C976" w14:textId="1C4500AE" w:rsidR="00AB103B" w:rsidRDefault="00576A12" w:rsidP="00816F11">
      <w:pPr>
        <w:pStyle w:val="BodyText1"/>
        <w:ind w:left="357"/>
      </w:pPr>
      <w:r>
        <w:t>i</w:t>
      </w:r>
      <w:r w:rsidR="00495867">
        <w:t xml:space="preserve">ncluding </w:t>
      </w:r>
      <w:r w:rsidR="79CCB4A8">
        <w:t>by way of</w:t>
      </w:r>
      <w:r w:rsidR="00495867">
        <w:t xml:space="preserve"> </w:t>
      </w:r>
      <w:r w:rsidR="79CCB4A8">
        <w:t>leasing, structured finance, capital market</w:t>
      </w:r>
      <w:r w:rsidR="00E74395">
        <w:t>s</w:t>
      </w:r>
      <w:r w:rsidR="79CCB4A8">
        <w:t xml:space="preserve"> financing and Islamic financing and covering all aspects an</w:t>
      </w:r>
      <w:r w:rsidR="4E49F92A">
        <w:t>d</w:t>
      </w:r>
      <w:r w:rsidR="79CCB4A8">
        <w:t xml:space="preserve"> stages of such transactions,</w:t>
      </w:r>
      <w:r w:rsidR="00495867" w:rsidRPr="00495867">
        <w:t xml:space="preserve"> including </w:t>
      </w:r>
      <w:r w:rsidR="1EB6AED4">
        <w:t xml:space="preserve">underwriting, </w:t>
      </w:r>
      <w:r w:rsidR="0034572D">
        <w:t>relevant</w:t>
      </w:r>
      <w:r w:rsidR="1EB6AED4">
        <w:t xml:space="preserve"> </w:t>
      </w:r>
      <w:r w:rsidR="0034572D">
        <w:t xml:space="preserve">local law advice, </w:t>
      </w:r>
      <w:r w:rsidR="1EB6AED4">
        <w:t xml:space="preserve">negotiation of documentation, </w:t>
      </w:r>
      <w:r w:rsidR="00495867" w:rsidRPr="00495867">
        <w:t>restructuring</w:t>
      </w:r>
      <w:r w:rsidR="00746625">
        <w:t>, disputes, recoveries</w:t>
      </w:r>
      <w:r w:rsidR="00495867" w:rsidRPr="00495867">
        <w:t xml:space="preserve"> and post-issue work</w:t>
      </w:r>
      <w:r w:rsidR="00495867">
        <w:t>.</w:t>
      </w:r>
    </w:p>
    <w:p w14:paraId="5A2EFFB7" w14:textId="2E1BBD6E" w:rsidR="00FF4AE4" w:rsidRDefault="006C216B" w:rsidP="00F26711">
      <w:pPr>
        <w:pStyle w:val="BodyText1"/>
        <w:numPr>
          <w:ilvl w:val="0"/>
          <w:numId w:val="5"/>
        </w:numPr>
        <w:ind w:left="357" w:hanging="357"/>
      </w:pPr>
      <w:r>
        <w:t xml:space="preserve"> </w:t>
      </w:r>
      <w:r w:rsidR="00FF5EA5">
        <w:t>In order to facilitate this, UKEF is looking to reprocure the General A</w:t>
      </w:r>
      <w:r w:rsidR="00117BDC">
        <w:t>erospace</w:t>
      </w:r>
      <w:r w:rsidR="00FF5EA5">
        <w:t xml:space="preserve"> Legal Panel Framework Contract, which is due to expire on 26</w:t>
      </w:r>
      <w:r w:rsidR="00FF5EA5" w:rsidRPr="00FF5EA5">
        <w:rPr>
          <w:vertAlign w:val="superscript"/>
        </w:rPr>
        <w:t>th</w:t>
      </w:r>
      <w:r w:rsidR="00FF5EA5">
        <w:t xml:space="preserve"> May 2</w:t>
      </w:r>
      <w:r w:rsidR="00806748">
        <w:t>02</w:t>
      </w:r>
      <w:r w:rsidR="00FF5EA5">
        <w:t xml:space="preserve">6. </w:t>
      </w:r>
    </w:p>
    <w:p w14:paraId="5005018C" w14:textId="4FE3332C" w:rsidR="00F26711" w:rsidRDefault="006C216B" w:rsidP="00F26711">
      <w:pPr>
        <w:pStyle w:val="BodyText1"/>
        <w:numPr>
          <w:ilvl w:val="0"/>
          <w:numId w:val="5"/>
        </w:numPr>
        <w:ind w:left="357" w:hanging="357"/>
      </w:pPr>
      <w:r>
        <w:t xml:space="preserve">Full details of the Authority’s requirements can be found </w:t>
      </w:r>
      <w:r w:rsidR="006C7C04">
        <w:t>at</w:t>
      </w:r>
      <w:r w:rsidR="00C2187A">
        <w:t xml:space="preserve"> </w:t>
      </w:r>
      <w:r w:rsidR="006C7C04">
        <w:t xml:space="preserve">Framework </w:t>
      </w:r>
      <w:r w:rsidR="00C2187A">
        <w:t>Schedule</w:t>
      </w:r>
      <w:r w:rsidR="006C7C04">
        <w:t xml:space="preserve"> 1 (Specification) in</w:t>
      </w:r>
      <w:r w:rsidR="00C2187A">
        <w:t xml:space="preserve"> </w:t>
      </w:r>
      <w:r w:rsidR="00F26711" w:rsidRPr="00F26711">
        <w:t>Appendix D: The draft contract terms</w:t>
      </w:r>
      <w:r w:rsidR="00F26711">
        <w:t>.</w:t>
      </w:r>
    </w:p>
    <w:p w14:paraId="251463FE" w14:textId="77777777" w:rsidR="00D13322" w:rsidRDefault="002107B6" w:rsidP="00DF644D">
      <w:pPr>
        <w:pStyle w:val="Heading1"/>
        <w:numPr>
          <w:ilvl w:val="0"/>
          <w:numId w:val="0"/>
        </w:numPr>
      </w:pPr>
      <w:bookmarkStart w:id="6" w:name="_Toc211930135"/>
      <w:r>
        <w:t>Preliminary market engagement</w:t>
      </w:r>
      <w:bookmarkEnd w:id="6"/>
    </w:p>
    <w:p w14:paraId="2C6FDCB1" w14:textId="77777777" w:rsidR="00DB17F9" w:rsidRDefault="001C1DCF" w:rsidP="001151C6">
      <w:pPr>
        <w:pStyle w:val="BodyText1"/>
        <w:numPr>
          <w:ilvl w:val="0"/>
          <w:numId w:val="5"/>
        </w:numPr>
        <w:ind w:left="357" w:hanging="357"/>
      </w:pPr>
      <w:bookmarkStart w:id="7" w:name="_Toc167865316"/>
      <w:r>
        <w:t xml:space="preserve"> The Authority issued a Pr</w:t>
      </w:r>
      <w:r w:rsidR="005F1E56">
        <w:t>eliminary Market Engagement</w:t>
      </w:r>
      <w:r w:rsidR="00DB17F9">
        <w:t xml:space="preserve"> (PME)</w:t>
      </w:r>
      <w:r w:rsidR="005F1E56">
        <w:t xml:space="preserve"> Notice on </w:t>
      </w:r>
      <w:r w:rsidR="008A3C50" w:rsidRPr="008A3C50">
        <w:t>17 July 2025</w:t>
      </w:r>
      <w:r w:rsidR="00DB17F9">
        <w:t xml:space="preserve"> in relation to the GALP requirement.</w:t>
      </w:r>
      <w:r w:rsidR="008A3C50">
        <w:t xml:space="preserve"> </w:t>
      </w:r>
    </w:p>
    <w:p w14:paraId="3315CC8A" w14:textId="4A5FDEE5" w:rsidR="00CC3DE6" w:rsidRDefault="00077D46" w:rsidP="001151C6">
      <w:pPr>
        <w:pStyle w:val="BodyText1"/>
        <w:numPr>
          <w:ilvl w:val="0"/>
          <w:numId w:val="5"/>
        </w:numPr>
        <w:ind w:left="357" w:hanging="357"/>
      </w:pPr>
      <w:r>
        <w:t xml:space="preserve">This PME </w:t>
      </w:r>
      <w:r w:rsidR="00074354">
        <w:t>was seeking responses to a Request for Information (RFI) from Industry regarding the framework</w:t>
      </w:r>
      <w:r w:rsidR="00CC3DE6">
        <w:t xml:space="preserve">, with topics including the specification, risk and </w:t>
      </w:r>
      <w:r w:rsidR="00D42780">
        <w:t>industry capability</w:t>
      </w:r>
      <w:r w:rsidR="00074354">
        <w:t>.</w:t>
      </w:r>
      <w:r w:rsidR="00BB114A">
        <w:t xml:space="preserve"> The purpose of the RFI was to seek Industry input </w:t>
      </w:r>
      <w:r w:rsidR="0066059D">
        <w:t>prior to the finalisation of documentation and the procurement process.</w:t>
      </w:r>
      <w:r w:rsidR="00074354">
        <w:t xml:space="preserve"> </w:t>
      </w:r>
    </w:p>
    <w:p w14:paraId="01EFB781" w14:textId="38675CA0" w:rsidR="00077D46" w:rsidRDefault="00074354" w:rsidP="001151C6">
      <w:pPr>
        <w:pStyle w:val="BodyText1"/>
        <w:numPr>
          <w:ilvl w:val="0"/>
          <w:numId w:val="5"/>
        </w:numPr>
        <w:ind w:left="357" w:hanging="357"/>
      </w:pPr>
      <w:r>
        <w:t>The RFI can be found at</w:t>
      </w:r>
      <w:r w:rsidR="00CC3DE6">
        <w:t xml:space="preserve"> Appendix </w:t>
      </w:r>
      <w:r w:rsidR="007E4675">
        <w:t>F</w:t>
      </w:r>
      <w:r w:rsidR="006A099E">
        <w:t xml:space="preserve"> – UKEF</w:t>
      </w:r>
      <w:r w:rsidR="00A01524">
        <w:t>_</w:t>
      </w:r>
      <w:r w:rsidR="006A099E">
        <w:t>0641</w:t>
      </w:r>
      <w:r w:rsidR="00A01524">
        <w:t>_</w:t>
      </w:r>
      <w:r w:rsidR="006A099E">
        <w:t>GALP</w:t>
      </w:r>
      <w:r w:rsidR="00A01524">
        <w:t>_</w:t>
      </w:r>
      <w:r w:rsidR="006A099E">
        <w:t>RFI</w:t>
      </w:r>
      <w:r w:rsidR="00A01524">
        <w:t>_</w:t>
      </w:r>
      <w:r w:rsidR="00BD34F0">
        <w:t xml:space="preserve">Final with Clarification Questions and responses asked during the process being found at Appendix </w:t>
      </w:r>
      <w:r w:rsidR="007E4675">
        <w:t>G</w:t>
      </w:r>
      <w:r w:rsidR="00FF525A">
        <w:t xml:space="preserve"> – UKEF</w:t>
      </w:r>
      <w:r w:rsidR="0094597D">
        <w:t>_</w:t>
      </w:r>
      <w:r w:rsidR="00FF525A">
        <w:t>0641</w:t>
      </w:r>
      <w:r w:rsidR="0094597D">
        <w:t>_</w:t>
      </w:r>
      <w:r w:rsidR="00FF525A">
        <w:t>GALP</w:t>
      </w:r>
      <w:r w:rsidR="0094597D">
        <w:t>_RFI_Clar</w:t>
      </w:r>
      <w:r w:rsidR="00BB114A">
        <w:t xml:space="preserve">ifications_Log_V0.2. </w:t>
      </w:r>
    </w:p>
    <w:p w14:paraId="36F27493" w14:textId="2614E151" w:rsidR="00245C93" w:rsidRDefault="00245C93" w:rsidP="001151C6">
      <w:pPr>
        <w:pStyle w:val="BodyText1"/>
        <w:numPr>
          <w:ilvl w:val="0"/>
          <w:numId w:val="5"/>
        </w:numPr>
        <w:ind w:left="357" w:hanging="357"/>
      </w:pPr>
      <w:r>
        <w:t xml:space="preserve">Following the review of the responses to the RFI, UKEF issued a letter to all suppliers who registered an interest in the PME and received a copy of the RFI. A copy of this letter can be found at </w:t>
      </w:r>
      <w:r w:rsidRPr="00CC1162">
        <w:t xml:space="preserve">Appendix </w:t>
      </w:r>
      <w:r w:rsidR="007E4675" w:rsidRPr="00CC1162">
        <w:t>H</w:t>
      </w:r>
      <w:r w:rsidRPr="00CC1162">
        <w:t xml:space="preserve"> </w:t>
      </w:r>
      <w:r w:rsidR="00C5243C" w:rsidRPr="00CC1162">
        <w:t>–</w:t>
      </w:r>
      <w:r w:rsidRPr="00CC1162">
        <w:t xml:space="preserve"> </w:t>
      </w:r>
      <w:r w:rsidR="00C5243C" w:rsidRPr="00CC1162">
        <w:t>UKEF</w:t>
      </w:r>
      <w:r w:rsidR="00C5243C">
        <w:t>_0641_GALP_RFI_UKEF_Update</w:t>
      </w:r>
    </w:p>
    <w:p w14:paraId="1A4CBD13" w14:textId="1DED44D2" w:rsidR="004D0266" w:rsidRDefault="00DB17F9" w:rsidP="001151C6">
      <w:pPr>
        <w:pStyle w:val="BodyText1"/>
        <w:numPr>
          <w:ilvl w:val="0"/>
          <w:numId w:val="5"/>
        </w:numPr>
        <w:ind w:left="357" w:hanging="357"/>
      </w:pPr>
      <w:r>
        <w:t>T</w:t>
      </w:r>
      <w:r w:rsidR="008A3C50">
        <w:t>he notice identifier</w:t>
      </w:r>
      <w:r>
        <w:t xml:space="preserve"> for this PME notice is </w:t>
      </w:r>
      <w:r w:rsidRPr="00DB17F9">
        <w:t>2025/S 000-040914</w:t>
      </w:r>
      <w:r>
        <w:t xml:space="preserve"> should suppliers wish to view the information in full.</w:t>
      </w:r>
      <w:r w:rsidR="007C39C0">
        <w:t xml:space="preserve"> It can be found on the Find a Tender site here: </w:t>
      </w:r>
      <w:hyperlink r:id="rId18" w:history="1">
        <w:r w:rsidR="007C39C0" w:rsidRPr="007D42F6">
          <w:rPr>
            <w:rStyle w:val="Hyperlink"/>
          </w:rPr>
          <w:t>https://www.find-tender.service.gov.uk/Notice/040914-2025</w:t>
        </w:r>
      </w:hyperlink>
      <w:r w:rsidR="007C39C0">
        <w:t xml:space="preserve"> </w:t>
      </w:r>
    </w:p>
    <w:p w14:paraId="0CFE456B" w14:textId="77777777" w:rsidR="00D13322" w:rsidRDefault="002107B6" w:rsidP="00DF644D">
      <w:pPr>
        <w:pStyle w:val="Heading1"/>
        <w:numPr>
          <w:ilvl w:val="0"/>
          <w:numId w:val="0"/>
        </w:numPr>
      </w:pPr>
      <w:bookmarkStart w:id="8" w:name="_Toc211930136"/>
      <w:bookmarkEnd w:id="7"/>
      <w:r>
        <w:t>The Procurement process</w:t>
      </w:r>
      <w:bookmarkEnd w:id="8"/>
    </w:p>
    <w:p w14:paraId="748845C2" w14:textId="46E0B629" w:rsidR="00B7634E" w:rsidRDefault="00B7634E" w:rsidP="00104A20">
      <w:pPr>
        <w:pStyle w:val="ListParagraph"/>
        <w:keepNext/>
        <w:numPr>
          <w:ilvl w:val="0"/>
          <w:numId w:val="5"/>
        </w:numPr>
        <w:pBdr>
          <w:top w:val="nil"/>
          <w:left w:val="nil"/>
          <w:bottom w:val="nil"/>
          <w:right w:val="nil"/>
          <w:between w:val="nil"/>
        </w:pBdr>
        <w:suppressAutoHyphens/>
        <w:spacing w:after="240"/>
        <w:rPr>
          <w:rFonts w:ascii="Arial" w:hAnsi="Arial" w:cs="Arial"/>
          <w:color w:val="000000"/>
        </w:rPr>
      </w:pPr>
      <w:r w:rsidRPr="00104A20">
        <w:rPr>
          <w:rFonts w:ascii="Arial" w:hAnsi="Arial" w:cs="Arial"/>
          <w:b/>
          <w:bCs/>
          <w:color w:val="000000"/>
        </w:rPr>
        <w:t>This competitive flexible procedure will be conducted in three (3) stages.</w:t>
      </w:r>
      <w:r w:rsidRPr="00104A20">
        <w:rPr>
          <w:rFonts w:ascii="Arial" w:hAnsi="Arial" w:cs="Arial"/>
          <w:color w:val="000000"/>
        </w:rPr>
        <w:t xml:space="preserve"> The three (3) stages are described in more detail below.</w:t>
      </w:r>
    </w:p>
    <w:p w14:paraId="2A9F08D8" w14:textId="77777777" w:rsidR="00E31386" w:rsidRPr="00104A20" w:rsidRDefault="00E31386" w:rsidP="00E31386">
      <w:pPr>
        <w:pStyle w:val="ListParagraph"/>
        <w:keepNext/>
        <w:pBdr>
          <w:top w:val="nil"/>
          <w:left w:val="nil"/>
          <w:bottom w:val="nil"/>
          <w:right w:val="nil"/>
          <w:between w:val="nil"/>
        </w:pBdr>
        <w:suppressAutoHyphens/>
        <w:spacing w:after="240"/>
        <w:rPr>
          <w:rFonts w:ascii="Arial" w:hAnsi="Arial" w:cs="Arial"/>
          <w:color w:val="000000"/>
        </w:rPr>
      </w:pPr>
    </w:p>
    <w:p w14:paraId="2AE92A6D" w14:textId="3ADC9301" w:rsidR="00B7634E" w:rsidRPr="00E31386" w:rsidRDefault="00B7634E" w:rsidP="00E31386">
      <w:pPr>
        <w:pStyle w:val="ListParagraph"/>
        <w:keepNext/>
        <w:keepLines/>
        <w:numPr>
          <w:ilvl w:val="0"/>
          <w:numId w:val="5"/>
        </w:numPr>
        <w:spacing w:after="120"/>
        <w:outlineLvl w:val="2"/>
        <w:rPr>
          <w:b/>
          <w:color w:val="005ABB" w:themeColor="accent2"/>
          <w:szCs w:val="28"/>
        </w:rPr>
      </w:pPr>
      <w:r w:rsidRPr="00E31386">
        <w:rPr>
          <w:b/>
          <w:color w:val="005ABB" w:themeColor="accent2"/>
          <w:szCs w:val="28"/>
        </w:rPr>
        <w:t xml:space="preserve">Stage 1: Invitation to participate </w:t>
      </w:r>
    </w:p>
    <w:p w14:paraId="4E0D5051" w14:textId="322A72DE" w:rsidR="00B7634E" w:rsidRPr="007F41B7" w:rsidRDefault="00B7634E" w:rsidP="007F41B7">
      <w:pPr>
        <w:numPr>
          <w:ilvl w:val="1"/>
          <w:numId w:val="5"/>
        </w:numPr>
        <w:pBdr>
          <w:top w:val="nil"/>
          <w:left w:val="nil"/>
          <w:bottom w:val="nil"/>
          <w:right w:val="nil"/>
          <w:between w:val="nil"/>
        </w:pBdr>
        <w:suppressAutoHyphens/>
        <w:spacing w:after="240"/>
        <w:rPr>
          <w:rFonts w:ascii="Arial" w:hAnsi="Arial" w:cs="Arial"/>
          <w:color w:val="000000"/>
        </w:rPr>
      </w:pPr>
      <w:r w:rsidRPr="4757B756">
        <w:rPr>
          <w:rFonts w:ascii="Arial" w:hAnsi="Arial" w:cs="Arial"/>
          <w:color w:val="000000" w:themeColor="text2"/>
        </w:rPr>
        <w:t>Stage 1</w:t>
      </w:r>
      <w:r w:rsidR="003B685F" w:rsidRPr="4757B756">
        <w:rPr>
          <w:rFonts w:ascii="Arial" w:hAnsi="Arial" w:cs="Arial"/>
          <w:color w:val="000000" w:themeColor="text2"/>
        </w:rPr>
        <w:t xml:space="preserve"> </w:t>
      </w:r>
      <w:r w:rsidR="00F20C2F" w:rsidRPr="4757B756">
        <w:rPr>
          <w:rFonts w:ascii="Arial" w:hAnsi="Arial" w:cs="Arial"/>
          <w:color w:val="000000" w:themeColor="text2"/>
        </w:rPr>
        <w:t xml:space="preserve">is </w:t>
      </w:r>
      <w:r w:rsidR="003B685F" w:rsidRPr="4757B756">
        <w:rPr>
          <w:rFonts w:ascii="Arial" w:hAnsi="Arial" w:cs="Arial"/>
          <w:color w:val="000000" w:themeColor="text2"/>
        </w:rPr>
        <w:t>commenced with the issuing of a Tender Notice</w:t>
      </w:r>
      <w:r w:rsidR="0000334A" w:rsidRPr="4757B756">
        <w:rPr>
          <w:rFonts w:ascii="Arial" w:hAnsi="Arial" w:cs="Arial"/>
          <w:color w:val="000000" w:themeColor="text2"/>
        </w:rPr>
        <w:t xml:space="preserve"> associated with </w:t>
      </w:r>
      <w:r w:rsidR="00E64ADA" w:rsidRPr="4757B756">
        <w:rPr>
          <w:rFonts w:ascii="Arial" w:hAnsi="Arial" w:cs="Arial"/>
          <w:color w:val="000000" w:themeColor="text2"/>
        </w:rPr>
        <w:t>the procurement identifier (</w:t>
      </w:r>
      <w:r w:rsidR="0000334A" w:rsidRPr="4757B756">
        <w:rPr>
          <w:rFonts w:ascii="Arial" w:hAnsi="Arial" w:cs="Arial"/>
          <w:color w:val="000000" w:themeColor="text2"/>
        </w:rPr>
        <w:t>OCID</w:t>
      </w:r>
      <w:r w:rsidR="00E64ADA" w:rsidRPr="4757B756">
        <w:rPr>
          <w:rFonts w:ascii="Arial" w:hAnsi="Arial" w:cs="Arial"/>
          <w:color w:val="000000" w:themeColor="text2"/>
        </w:rPr>
        <w:t>)</w:t>
      </w:r>
      <w:r w:rsidR="0000334A" w:rsidRPr="4757B756">
        <w:rPr>
          <w:rFonts w:ascii="Arial" w:hAnsi="Arial" w:cs="Arial"/>
          <w:color w:val="000000" w:themeColor="text2"/>
        </w:rPr>
        <w:t>:</w:t>
      </w:r>
      <w:r w:rsidR="00342E5D" w:rsidRPr="00342E5D">
        <w:t xml:space="preserve"> </w:t>
      </w:r>
      <w:r w:rsidR="00342E5D" w:rsidRPr="4757B756">
        <w:rPr>
          <w:rFonts w:ascii="Arial" w:hAnsi="Arial" w:cs="Arial"/>
          <w:color w:val="000000" w:themeColor="text2"/>
        </w:rPr>
        <w:t>ocds-h6vhtk-05071d</w:t>
      </w:r>
      <w:r w:rsidRPr="4757B756">
        <w:rPr>
          <w:rFonts w:ascii="Arial" w:hAnsi="Arial" w:cs="Arial"/>
          <w:color w:val="000000" w:themeColor="text2"/>
        </w:rPr>
        <w:t xml:space="preserve"> and the publication of this document. </w:t>
      </w:r>
    </w:p>
    <w:p w14:paraId="6FCF2085" w14:textId="18B9F226" w:rsidR="00B7634E" w:rsidRPr="006F6D67" w:rsidRDefault="00B7634E" w:rsidP="00E31386">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This document includes a </w:t>
      </w:r>
      <w:r w:rsidR="00CC64A2">
        <w:rPr>
          <w:rFonts w:ascii="Arial" w:hAnsi="Arial" w:cs="Arial"/>
          <w:color w:val="000000"/>
        </w:rPr>
        <w:t>P</w:t>
      </w:r>
      <w:r w:rsidRPr="006F6D67">
        <w:rPr>
          <w:rFonts w:ascii="Arial" w:hAnsi="Arial" w:cs="Arial"/>
          <w:color w:val="000000"/>
        </w:rPr>
        <w:t xml:space="preserve">rocurement </w:t>
      </w:r>
      <w:r w:rsidR="00CC64A2">
        <w:rPr>
          <w:rFonts w:ascii="Arial" w:hAnsi="Arial" w:cs="Arial"/>
          <w:color w:val="000000"/>
        </w:rPr>
        <w:t>S</w:t>
      </w:r>
      <w:r w:rsidRPr="006F6D67">
        <w:rPr>
          <w:rFonts w:ascii="Arial" w:hAnsi="Arial" w:cs="Arial"/>
          <w:color w:val="000000"/>
        </w:rPr>
        <w:t xml:space="preserve">pecific </w:t>
      </w:r>
      <w:r w:rsidR="00CC64A2">
        <w:rPr>
          <w:rFonts w:ascii="Arial" w:hAnsi="Arial" w:cs="Arial"/>
          <w:color w:val="000000"/>
        </w:rPr>
        <w:t>Q</w:t>
      </w:r>
      <w:r w:rsidRPr="006F6D67">
        <w:rPr>
          <w:rFonts w:ascii="Arial" w:hAnsi="Arial" w:cs="Arial"/>
          <w:color w:val="000000"/>
        </w:rPr>
        <w:t xml:space="preserve">uestionnaire (PSQ) at Appendix </w:t>
      </w:r>
      <w:r w:rsidR="0059529E">
        <w:rPr>
          <w:rFonts w:ascii="Arial" w:hAnsi="Arial" w:cs="Arial"/>
          <w:color w:val="000000"/>
        </w:rPr>
        <w:t>J</w:t>
      </w:r>
      <w:r w:rsidR="00713625">
        <w:rPr>
          <w:rFonts w:ascii="Arial" w:hAnsi="Arial" w:cs="Arial"/>
          <w:color w:val="000000"/>
        </w:rPr>
        <w:t xml:space="preserve"> </w:t>
      </w:r>
      <w:r w:rsidRPr="006F6D67">
        <w:rPr>
          <w:rFonts w:ascii="Arial" w:hAnsi="Arial" w:cs="Arial"/>
          <w:color w:val="000000"/>
        </w:rPr>
        <w:t xml:space="preserve">which all Suppliers are required to complete and return in accordance with the Procurement Timetable and instructions within this document. </w:t>
      </w:r>
    </w:p>
    <w:p w14:paraId="781F7A23" w14:textId="45B06954" w:rsidR="00B7634E" w:rsidRPr="006F6D67" w:rsidRDefault="00B7634E" w:rsidP="00E31386">
      <w:pPr>
        <w:numPr>
          <w:ilvl w:val="1"/>
          <w:numId w:val="5"/>
        </w:numPr>
        <w:pBdr>
          <w:top w:val="nil"/>
          <w:left w:val="nil"/>
          <w:bottom w:val="nil"/>
          <w:right w:val="nil"/>
          <w:between w:val="nil"/>
        </w:pBdr>
        <w:suppressAutoHyphens/>
        <w:spacing w:after="240"/>
        <w:rPr>
          <w:rFonts w:ascii="Arial" w:hAnsi="Arial" w:cs="Arial"/>
          <w:color w:val="000000"/>
        </w:rPr>
      </w:pPr>
      <w:r w:rsidRPr="703F1AA8">
        <w:rPr>
          <w:rFonts w:ascii="Arial" w:hAnsi="Arial" w:cs="Arial"/>
          <w:color w:val="000000" w:themeColor="text2"/>
        </w:rPr>
        <w:t>The Authority will use this stage to confirm that n</w:t>
      </w:r>
      <w:r w:rsidR="59E803BF" w:rsidRPr="4757B756">
        <w:rPr>
          <w:rFonts w:ascii="Arial" w:hAnsi="Arial" w:cs="Arial"/>
          <w:color w:val="000000" w:themeColor="text2"/>
        </w:rPr>
        <w:t>one of</w:t>
      </w:r>
      <w:r w:rsidRPr="703F1AA8">
        <w:rPr>
          <w:rFonts w:ascii="Arial" w:hAnsi="Arial" w:cs="Arial"/>
          <w:color w:val="000000" w:themeColor="text2"/>
        </w:rPr>
        <w:t xml:space="preserve"> the Supplier</w:t>
      </w:r>
      <w:r w:rsidR="00220C8D">
        <w:rPr>
          <w:rFonts w:ascii="Arial" w:hAnsi="Arial" w:cs="Arial"/>
          <w:color w:val="000000" w:themeColor="text2"/>
        </w:rPr>
        <w:t>s</w:t>
      </w:r>
      <w:r w:rsidRPr="703F1AA8">
        <w:rPr>
          <w:rFonts w:ascii="Arial" w:hAnsi="Arial" w:cs="Arial"/>
          <w:color w:val="000000" w:themeColor="text2"/>
        </w:rPr>
        <w:t xml:space="preserve">, any related persons within its corporate group, associated persons relied on to meet the conditions of participation, or proposed sub-contractors are listed on the Cabinet Office debarment list. To the extent that any such entities are listed on the debarment list, the Authority will consider whether to exclude the Supplier from participating in the Procurement in accordance with its obligations under the Act.  </w:t>
      </w:r>
    </w:p>
    <w:p w14:paraId="6A9D793D" w14:textId="66A21F3D" w:rsidR="00B7634E" w:rsidRPr="006F6D67" w:rsidRDefault="00B7634E" w:rsidP="00E31386">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In addition, the Authority will consider whether any Supplier or related persons within its corporate group, associated persons relied on to meet the conditions of participation, or proposed sub-contractors are excluded or excludable Suppliers, and before the Authority determines that a Supplier is an excluded or excludable Supplier, it will provide the Supplier reasonable opportunity to make representations and provide evidence as is proportionate in the circumstances. If the Supplier is an excluded or excludable Supplier only by virtue of an associated person or proposed sub-contractor, the Authority will notify the Supplier of its intention to exclude the Supplier and provide the Supplier with reasonable opportunity to replace the associated person or sub-contractor. If</w:t>
      </w:r>
      <w:r w:rsidR="0000334A">
        <w:rPr>
          <w:rFonts w:ascii="Arial" w:hAnsi="Arial" w:cs="Arial"/>
          <w:color w:val="000000"/>
        </w:rPr>
        <w:t xml:space="preserve">, </w:t>
      </w:r>
      <w:r w:rsidRPr="006F6D67">
        <w:rPr>
          <w:rFonts w:ascii="Arial" w:hAnsi="Arial" w:cs="Arial"/>
          <w:color w:val="000000"/>
        </w:rPr>
        <w:t>as a consequence of this process</w:t>
      </w:r>
      <w:r w:rsidR="0000334A">
        <w:rPr>
          <w:rFonts w:ascii="Arial" w:hAnsi="Arial" w:cs="Arial"/>
          <w:color w:val="000000"/>
        </w:rPr>
        <w:t>,</w:t>
      </w:r>
      <w:r w:rsidRPr="006F6D67">
        <w:rPr>
          <w:rFonts w:ascii="Arial" w:hAnsi="Arial" w:cs="Arial"/>
          <w:color w:val="000000"/>
        </w:rPr>
        <w:t xml:space="preserve"> the Authority excludes the Supplier from participating in the Procurement, or is aware of an associated person or sub-contract having been replaced, it will give notice of this fact within 30 days of its decision to the Procurement Review Unit (PRU).</w:t>
      </w:r>
    </w:p>
    <w:p w14:paraId="1A69910A" w14:textId="77777777" w:rsidR="00264126" w:rsidRDefault="00B7634E" w:rsidP="00F47B54">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The Authority will also undertake a review of the completed PSQ with reference to any information held on the Central Digital Platform. Responses to any conditions of participation will be assessed in accordance with the selection process and any selection criteria as set out in the Tender Notice, PSQ and described in this document. </w:t>
      </w:r>
    </w:p>
    <w:p w14:paraId="1444B73E" w14:textId="661065C3" w:rsidR="00D17BB4" w:rsidRDefault="00E76F7B" w:rsidP="44802323">
      <w:pPr>
        <w:numPr>
          <w:ilvl w:val="1"/>
          <w:numId w:val="5"/>
        </w:numPr>
        <w:pBdr>
          <w:top w:val="nil"/>
          <w:left w:val="nil"/>
          <w:bottom w:val="nil"/>
          <w:right w:val="nil"/>
          <w:between w:val="nil"/>
        </w:pBdr>
        <w:suppressAutoHyphens/>
        <w:spacing w:after="240"/>
        <w:rPr>
          <w:rFonts w:ascii="Arial" w:hAnsi="Arial" w:cs="Arial"/>
          <w:color w:val="000000"/>
        </w:rPr>
      </w:pPr>
      <w:r w:rsidRPr="44802323">
        <w:rPr>
          <w:rFonts w:ascii="Arial" w:hAnsi="Arial" w:cs="Arial"/>
          <w:color w:val="000000" w:themeColor="text2"/>
        </w:rPr>
        <w:t xml:space="preserve">Subject to </w:t>
      </w:r>
      <w:r w:rsidR="001D780F" w:rsidRPr="44802323">
        <w:rPr>
          <w:rFonts w:ascii="Arial" w:hAnsi="Arial" w:cs="Arial"/>
          <w:color w:val="000000" w:themeColor="text2"/>
        </w:rPr>
        <w:t>paragraph</w:t>
      </w:r>
      <w:r w:rsidRPr="44802323">
        <w:rPr>
          <w:rFonts w:ascii="Arial" w:hAnsi="Arial" w:cs="Arial"/>
          <w:color w:val="000000" w:themeColor="text2"/>
        </w:rPr>
        <w:t xml:space="preserve"> </w:t>
      </w:r>
      <w:r w:rsidR="05E8C084" w:rsidRPr="44802323">
        <w:rPr>
          <w:rFonts w:ascii="Arial" w:hAnsi="Arial" w:cs="Arial"/>
          <w:color w:val="000000" w:themeColor="text2"/>
        </w:rPr>
        <w:t>23</w:t>
      </w:r>
      <w:r w:rsidR="00637659" w:rsidRPr="44802323">
        <w:rPr>
          <w:rFonts w:ascii="Arial" w:hAnsi="Arial" w:cs="Arial"/>
          <w:color w:val="000000" w:themeColor="text2"/>
        </w:rPr>
        <w:t>(</w:t>
      </w:r>
      <w:r w:rsidRPr="44802323">
        <w:rPr>
          <w:rFonts w:ascii="Arial" w:hAnsi="Arial" w:cs="Arial"/>
          <w:color w:val="000000" w:themeColor="text2"/>
        </w:rPr>
        <w:t>h</w:t>
      </w:r>
      <w:r w:rsidR="05EC8722" w:rsidRPr="44802323">
        <w:rPr>
          <w:rFonts w:ascii="Arial" w:hAnsi="Arial" w:cs="Arial"/>
          <w:color w:val="000000" w:themeColor="text2"/>
        </w:rPr>
        <w:t>)</w:t>
      </w:r>
      <w:r w:rsidR="37041542" w:rsidRPr="44802323">
        <w:rPr>
          <w:rFonts w:ascii="Arial" w:hAnsi="Arial" w:cs="Arial"/>
          <w:color w:val="000000" w:themeColor="text2"/>
        </w:rPr>
        <w:t xml:space="preserve"> and 23(i</w:t>
      </w:r>
      <w:r w:rsidR="00637659" w:rsidRPr="44802323">
        <w:rPr>
          <w:rFonts w:ascii="Arial" w:hAnsi="Arial" w:cs="Arial"/>
          <w:color w:val="000000" w:themeColor="text2"/>
        </w:rPr>
        <w:t>)</w:t>
      </w:r>
      <w:r w:rsidRPr="44802323">
        <w:rPr>
          <w:rFonts w:ascii="Arial" w:hAnsi="Arial" w:cs="Arial"/>
          <w:color w:val="000000" w:themeColor="text2"/>
        </w:rPr>
        <w:t>, t</w:t>
      </w:r>
      <w:r w:rsidR="00B7634E" w:rsidRPr="44802323">
        <w:rPr>
          <w:rFonts w:ascii="Arial" w:hAnsi="Arial" w:cs="Arial"/>
          <w:color w:val="000000" w:themeColor="text2"/>
        </w:rPr>
        <w:t xml:space="preserve">he assessment of these responses will identify </w:t>
      </w:r>
      <w:r w:rsidR="00F47B54" w:rsidRPr="44802323">
        <w:rPr>
          <w:rFonts w:ascii="Arial" w:hAnsi="Arial" w:cs="Arial"/>
          <w:color w:val="000000" w:themeColor="text2"/>
        </w:rPr>
        <w:t>a maximum number of ten (</w:t>
      </w:r>
      <w:r w:rsidR="00B7634E" w:rsidRPr="44802323">
        <w:rPr>
          <w:rFonts w:ascii="Arial" w:hAnsi="Arial" w:cs="Arial"/>
          <w:color w:val="000000" w:themeColor="text2"/>
        </w:rPr>
        <w:t>10</w:t>
      </w:r>
      <w:r w:rsidR="00F47B54" w:rsidRPr="44802323">
        <w:rPr>
          <w:rFonts w:ascii="Arial" w:hAnsi="Arial" w:cs="Arial"/>
          <w:color w:val="000000" w:themeColor="text2"/>
        </w:rPr>
        <w:t>)</w:t>
      </w:r>
      <w:r w:rsidR="00B7634E" w:rsidRPr="44802323">
        <w:rPr>
          <w:rFonts w:ascii="Arial" w:hAnsi="Arial" w:cs="Arial"/>
          <w:color w:val="000000" w:themeColor="text2"/>
        </w:rPr>
        <w:t xml:space="preserve"> Suppliers to be invited to participate in Stage 2.</w:t>
      </w:r>
      <w:r w:rsidR="00D17BB4" w:rsidRPr="44802323">
        <w:rPr>
          <w:rFonts w:ascii="Arial" w:hAnsi="Arial" w:cs="Arial"/>
          <w:color w:val="000000" w:themeColor="text2"/>
        </w:rPr>
        <w:t xml:space="preserve"> </w:t>
      </w:r>
    </w:p>
    <w:p w14:paraId="364101FC" w14:textId="10E468AE" w:rsidR="00B7634E" w:rsidRDefault="00D17BB4" w:rsidP="00F47B54">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 xml:space="preserve">Further details on how this assessment will be completed can be found in </w:t>
      </w:r>
      <w:r w:rsidRPr="00D17BB4">
        <w:rPr>
          <w:rFonts w:ascii="Arial" w:hAnsi="Arial" w:cs="Arial"/>
          <w:color w:val="000000"/>
        </w:rPr>
        <w:t xml:space="preserve">Appendix I: </w:t>
      </w:r>
      <w:r w:rsidR="00A21086">
        <w:rPr>
          <w:rFonts w:ascii="Arial" w:hAnsi="Arial" w:cs="Arial"/>
          <w:color w:val="000000"/>
        </w:rPr>
        <w:t>Pro</w:t>
      </w:r>
      <w:r w:rsidR="0043372A">
        <w:rPr>
          <w:rFonts w:ascii="Arial" w:hAnsi="Arial" w:cs="Arial"/>
          <w:color w:val="000000"/>
        </w:rPr>
        <w:t>curement</w:t>
      </w:r>
      <w:r w:rsidR="00A21086">
        <w:rPr>
          <w:rFonts w:ascii="Arial" w:hAnsi="Arial" w:cs="Arial"/>
          <w:color w:val="000000"/>
        </w:rPr>
        <w:t xml:space="preserve"> </w:t>
      </w:r>
      <w:r w:rsidR="00D707C4">
        <w:rPr>
          <w:rFonts w:ascii="Arial" w:hAnsi="Arial" w:cs="Arial"/>
          <w:color w:val="000000"/>
        </w:rPr>
        <w:t xml:space="preserve">Specific </w:t>
      </w:r>
      <w:r w:rsidRPr="00D17BB4">
        <w:rPr>
          <w:rFonts w:ascii="Arial" w:hAnsi="Arial" w:cs="Arial"/>
          <w:color w:val="000000"/>
        </w:rPr>
        <w:t>Questionnaire (PSQ) Guidance Document</w:t>
      </w:r>
      <w:r>
        <w:rPr>
          <w:rFonts w:ascii="Arial" w:hAnsi="Arial" w:cs="Arial"/>
          <w:color w:val="000000"/>
        </w:rPr>
        <w:t>.</w:t>
      </w:r>
    </w:p>
    <w:p w14:paraId="6D36A064" w14:textId="27D9C120" w:rsidR="00142FE5" w:rsidRPr="006F6D67" w:rsidRDefault="00142FE5" w:rsidP="00F47B54">
      <w:pPr>
        <w:numPr>
          <w:ilvl w:val="1"/>
          <w:numId w:val="5"/>
        </w:numPr>
        <w:pBdr>
          <w:top w:val="nil"/>
          <w:left w:val="nil"/>
          <w:bottom w:val="nil"/>
          <w:right w:val="nil"/>
          <w:between w:val="nil"/>
        </w:pBdr>
        <w:suppressAutoHyphens/>
        <w:spacing w:after="240"/>
        <w:rPr>
          <w:rFonts w:ascii="Arial" w:hAnsi="Arial" w:cs="Arial"/>
          <w:color w:val="000000"/>
        </w:rPr>
      </w:pPr>
      <w:r w:rsidRPr="4757B756">
        <w:rPr>
          <w:rFonts w:ascii="Arial" w:hAnsi="Arial" w:cs="Arial"/>
          <w:color w:val="000000" w:themeColor="text2"/>
        </w:rPr>
        <w:t>Should there be a tie in scores for 10</w:t>
      </w:r>
      <w:r w:rsidRPr="4757B756">
        <w:rPr>
          <w:rFonts w:ascii="Arial" w:hAnsi="Arial" w:cs="Arial"/>
          <w:color w:val="000000" w:themeColor="text2"/>
          <w:vertAlign w:val="superscript"/>
        </w:rPr>
        <w:t>th</w:t>
      </w:r>
      <w:r w:rsidRPr="4757B756">
        <w:rPr>
          <w:rFonts w:ascii="Arial" w:hAnsi="Arial" w:cs="Arial"/>
          <w:color w:val="000000" w:themeColor="text2"/>
        </w:rPr>
        <w:t xml:space="preserve"> place, the Authority reserves the right to take more than ten (10) suppliers through to Stage 2. </w:t>
      </w:r>
    </w:p>
    <w:p w14:paraId="1A8830C8" w14:textId="4414DDFF" w:rsidR="1DAD2587" w:rsidRDefault="1DAD2587" w:rsidP="4757B756">
      <w:pPr>
        <w:numPr>
          <w:ilvl w:val="1"/>
          <w:numId w:val="5"/>
        </w:numPr>
        <w:pBdr>
          <w:top w:val="nil"/>
          <w:left w:val="nil"/>
          <w:bottom w:val="nil"/>
          <w:right w:val="nil"/>
          <w:between w:val="nil"/>
        </w:pBdr>
        <w:spacing w:after="240"/>
        <w:rPr>
          <w:rFonts w:ascii="Arial" w:hAnsi="Arial" w:cs="Arial"/>
          <w:color w:val="000000" w:themeColor="text2"/>
        </w:rPr>
      </w:pPr>
      <w:r w:rsidRPr="4757B756">
        <w:rPr>
          <w:rFonts w:ascii="Arial" w:hAnsi="Arial" w:cs="Arial"/>
          <w:color w:val="000000" w:themeColor="text2"/>
        </w:rPr>
        <w:t xml:space="preserve">Notwithstanding paragraph 23(f), the Authority reserves the right to take more than ten (10) compliant </w:t>
      </w:r>
      <w:r w:rsidR="7AE11045" w:rsidRPr="4757B756">
        <w:rPr>
          <w:rFonts w:ascii="Arial" w:hAnsi="Arial" w:cs="Arial"/>
          <w:color w:val="000000" w:themeColor="text2"/>
        </w:rPr>
        <w:t>suppliers through to Stage 2 if it deems reasonable to do so.</w:t>
      </w:r>
      <w:r w:rsidRPr="4757B756">
        <w:rPr>
          <w:rFonts w:ascii="Arial" w:hAnsi="Arial" w:cs="Arial"/>
          <w:color w:val="000000" w:themeColor="text2"/>
        </w:rPr>
        <w:t xml:space="preserve"> </w:t>
      </w:r>
    </w:p>
    <w:p w14:paraId="7AD4043F" w14:textId="77777777" w:rsidR="00D17BB4" w:rsidRDefault="00B7634E" w:rsidP="00F47B54">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Stage 1 will complete with Suppliers being notified in writing of whether or not they have been successfully shortlisted to participate in Stage 2. </w:t>
      </w:r>
    </w:p>
    <w:p w14:paraId="76F5FECE" w14:textId="33A277A0" w:rsidR="00B7634E" w:rsidRPr="006F6D67" w:rsidRDefault="00B7634E" w:rsidP="00A9362B">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Suppliers not invited to Stage 2 will be provided with a written explanation of the reasons why they have not been shortlisted to participate in Stage 2.</w:t>
      </w:r>
    </w:p>
    <w:p w14:paraId="563D1201" w14:textId="77777777" w:rsidR="00B7634E" w:rsidRPr="006F6D67" w:rsidRDefault="00B7634E" w:rsidP="00F47B54">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Suppliers should note that the Authority reserves the right to re-assess any response to the PSQ, in light of any new relevant information that comes to the Authority’s attention. Please refer to the ‘Supplier eligibility’ provisions in Appendix A: Procurement terms and conditions.</w:t>
      </w:r>
    </w:p>
    <w:p w14:paraId="7FE8A33A" w14:textId="1A75F5EB" w:rsidR="00B7634E" w:rsidRPr="00E31386" w:rsidRDefault="00B7634E" w:rsidP="00E31386">
      <w:pPr>
        <w:pStyle w:val="ListParagraph"/>
        <w:keepNext/>
        <w:keepLines/>
        <w:numPr>
          <w:ilvl w:val="0"/>
          <w:numId w:val="5"/>
        </w:numPr>
        <w:spacing w:after="120"/>
        <w:outlineLvl w:val="2"/>
        <w:rPr>
          <w:b/>
          <w:color w:val="005ABB" w:themeColor="accent2"/>
          <w:szCs w:val="28"/>
        </w:rPr>
      </w:pPr>
      <w:r w:rsidRPr="00E31386">
        <w:rPr>
          <w:b/>
          <w:color w:val="005ABB" w:themeColor="accent2"/>
          <w:szCs w:val="28"/>
        </w:rPr>
        <w:t>Stage 2: Invitation to submit a tender</w:t>
      </w:r>
      <w:r w:rsidR="004149C3">
        <w:rPr>
          <w:b/>
          <w:color w:val="005ABB" w:themeColor="accent2"/>
          <w:szCs w:val="28"/>
        </w:rPr>
        <w:t xml:space="preserve"> (written)</w:t>
      </w:r>
    </w:p>
    <w:p w14:paraId="1ACAD35F" w14:textId="070869D0" w:rsidR="00B7634E" w:rsidRPr="006F6D67" w:rsidRDefault="00B7634E" w:rsidP="00F47B54">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Stage 2 will commence with the issuing of a letter inviting Suppliers that have been successfully shortlisted at Stage 1 to </w:t>
      </w:r>
      <w:r w:rsidR="007B391E">
        <w:rPr>
          <w:rFonts w:ascii="Arial" w:hAnsi="Arial" w:cs="Arial"/>
          <w:color w:val="000000"/>
        </w:rPr>
        <w:t>submit a response to Stage 2: Invitation to submit a tender</w:t>
      </w:r>
      <w:r w:rsidR="00E4470E">
        <w:rPr>
          <w:rFonts w:ascii="Arial" w:hAnsi="Arial" w:cs="Arial"/>
          <w:color w:val="000000"/>
        </w:rPr>
        <w:t xml:space="preserve"> (ITT)</w:t>
      </w:r>
      <w:r w:rsidRPr="006F6D67">
        <w:rPr>
          <w:rFonts w:ascii="Arial" w:hAnsi="Arial" w:cs="Arial"/>
          <w:color w:val="000000"/>
        </w:rPr>
        <w:t xml:space="preserve">. </w:t>
      </w:r>
    </w:p>
    <w:p w14:paraId="721B9B2E" w14:textId="685DA9DD" w:rsidR="00B7634E" w:rsidRPr="006F6D67" w:rsidRDefault="00B00652" w:rsidP="00F47B54">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ITT responses</w:t>
      </w:r>
      <w:r w:rsidR="00B7634E" w:rsidRPr="006F6D67">
        <w:rPr>
          <w:rFonts w:ascii="Arial" w:hAnsi="Arial" w:cs="Arial"/>
          <w:color w:val="000000"/>
        </w:rPr>
        <w:t xml:space="preserve"> must be submitted in accordance with the timetable and instructions set out in </w:t>
      </w:r>
      <w:r w:rsidR="004149C3">
        <w:rPr>
          <w:rFonts w:ascii="Arial" w:hAnsi="Arial" w:cs="Arial"/>
          <w:color w:val="000000"/>
        </w:rPr>
        <w:t>the ITT</w:t>
      </w:r>
      <w:r w:rsidR="004149C3" w:rsidRPr="006F6D67">
        <w:rPr>
          <w:rFonts w:ascii="Arial" w:hAnsi="Arial" w:cs="Arial"/>
          <w:color w:val="000000"/>
        </w:rPr>
        <w:t xml:space="preserve"> </w:t>
      </w:r>
      <w:r w:rsidR="00B7634E" w:rsidRPr="006F6D67">
        <w:rPr>
          <w:rFonts w:ascii="Arial" w:hAnsi="Arial" w:cs="Arial"/>
          <w:color w:val="000000"/>
        </w:rPr>
        <w:t>document</w:t>
      </w:r>
      <w:r w:rsidR="004149C3">
        <w:rPr>
          <w:rFonts w:ascii="Arial" w:hAnsi="Arial" w:cs="Arial"/>
          <w:color w:val="000000"/>
        </w:rPr>
        <w:t>ation</w:t>
      </w:r>
      <w:r w:rsidR="00B7634E" w:rsidRPr="006F6D67">
        <w:rPr>
          <w:rFonts w:ascii="Arial" w:hAnsi="Arial" w:cs="Arial"/>
          <w:color w:val="000000"/>
        </w:rPr>
        <w:t xml:space="preserve"> and any additional information provided</w:t>
      </w:r>
      <w:r w:rsidR="002A5404">
        <w:rPr>
          <w:rFonts w:ascii="Arial" w:hAnsi="Arial" w:cs="Arial"/>
          <w:color w:val="000000"/>
        </w:rPr>
        <w:t xml:space="preserve">, but will include responses to the written </w:t>
      </w:r>
      <w:r w:rsidR="001B5152">
        <w:rPr>
          <w:rFonts w:ascii="Arial" w:hAnsi="Arial" w:cs="Arial"/>
          <w:color w:val="000000"/>
        </w:rPr>
        <w:t xml:space="preserve">elements (technical and social value) only. </w:t>
      </w:r>
    </w:p>
    <w:p w14:paraId="281D3257" w14:textId="5ABA6D73" w:rsidR="00B7634E" w:rsidRDefault="00B7634E" w:rsidP="000E5D93">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After the deadline for </w:t>
      </w:r>
      <w:r w:rsidR="002632D2">
        <w:rPr>
          <w:rFonts w:ascii="Arial" w:hAnsi="Arial" w:cs="Arial"/>
          <w:color w:val="000000"/>
        </w:rPr>
        <w:t>ITT submissions</w:t>
      </w:r>
      <w:r w:rsidRPr="006F6D67">
        <w:rPr>
          <w:rFonts w:ascii="Arial" w:hAnsi="Arial" w:cs="Arial"/>
          <w:color w:val="000000"/>
        </w:rPr>
        <w:t>, the Authority will consider, in respect of each Supplier that submitted a tender, whether the Supplier or any related persons within its corporate group, associated persons relied on to meet the conditions of participation, or proposed sub-contractors, are excluded or excludable Suppliers and will consider whether to disregard the tender submitted in accordance with its obligations under the Act. If the Supplier is an excluded or excludable Supplier only by virtue of an associated person or proposed sub-contractor, the Authority will notify the Supplier of its intention to disregard its tender and provide the Supplier with reasonable opportunity to replace the associated person or sub-contractor. If as a consequence of this process the Authority disregards a tender from an excluded or excludable Supplier,</w:t>
      </w:r>
      <w:r w:rsidR="00220C8D">
        <w:rPr>
          <w:rFonts w:ascii="Arial" w:hAnsi="Arial" w:cs="Arial"/>
          <w:color w:val="000000"/>
        </w:rPr>
        <w:t xml:space="preserve"> </w:t>
      </w:r>
      <w:r w:rsidRPr="006F6D67">
        <w:rPr>
          <w:rFonts w:ascii="Arial" w:hAnsi="Arial" w:cs="Arial"/>
          <w:color w:val="000000"/>
        </w:rPr>
        <w:t>or is aware of an associated person or sub-contractor having been replaced, it will give notice of this fact within 30 days of its decision to the Procurement Review Unit (PRU).</w:t>
      </w:r>
    </w:p>
    <w:p w14:paraId="480A3B99" w14:textId="77777777" w:rsidR="0017570A" w:rsidRDefault="0017570A" w:rsidP="0017570A">
      <w:pPr>
        <w:numPr>
          <w:ilvl w:val="1"/>
          <w:numId w:val="5"/>
        </w:numPr>
        <w:pBdr>
          <w:top w:val="nil"/>
          <w:left w:val="nil"/>
          <w:bottom w:val="nil"/>
          <w:right w:val="nil"/>
          <w:between w:val="nil"/>
        </w:pBdr>
        <w:suppressAutoHyphens/>
        <w:spacing w:after="120"/>
        <w:rPr>
          <w:rFonts w:ascii="Arial" w:hAnsi="Arial" w:cs="Arial"/>
          <w:color w:val="000000"/>
        </w:rPr>
      </w:pPr>
      <w:r w:rsidRPr="006F6D67">
        <w:rPr>
          <w:rFonts w:ascii="Arial" w:hAnsi="Arial" w:cs="Arial"/>
          <w:color w:val="000000"/>
        </w:rPr>
        <w:t>The Authority may also disregard a tender:</w:t>
      </w:r>
      <w:r>
        <w:rPr>
          <w:rFonts w:ascii="Arial" w:hAnsi="Arial" w:cs="Arial"/>
          <w:color w:val="000000"/>
        </w:rPr>
        <w:t xml:space="preserve"> </w:t>
      </w:r>
    </w:p>
    <w:p w14:paraId="4B9D32F0" w14:textId="77777777" w:rsidR="0017570A" w:rsidRPr="00F14CC2" w:rsidRDefault="0017570A" w:rsidP="0017570A">
      <w:pPr>
        <w:numPr>
          <w:ilvl w:val="2"/>
          <w:numId w:val="5"/>
        </w:numPr>
        <w:pBdr>
          <w:top w:val="nil"/>
          <w:left w:val="nil"/>
          <w:bottom w:val="nil"/>
          <w:right w:val="nil"/>
          <w:between w:val="nil"/>
        </w:pBdr>
        <w:suppressAutoHyphens/>
        <w:spacing w:after="120"/>
        <w:rPr>
          <w:rFonts w:ascii="Arial" w:hAnsi="Arial" w:cs="Arial"/>
          <w:color w:val="000000"/>
        </w:rPr>
      </w:pPr>
      <w:r w:rsidRPr="00F14CC2">
        <w:rPr>
          <w:rFonts w:ascii="Arial" w:hAnsi="Arial" w:cs="Arial"/>
          <w:color w:val="000000"/>
        </w:rPr>
        <w:t>from a Supplier that is not a United Kingdom Supplier or a treaty state Supplier or that intends to sub-contract the performance of all or part of the Contract to a Supplier that is not a United Kingdom Supplier or a treaty state Supplier; or</w:t>
      </w:r>
    </w:p>
    <w:p w14:paraId="68B7F4F5" w14:textId="77777777" w:rsidR="0017570A" w:rsidRDefault="0017570A" w:rsidP="0017570A">
      <w:pPr>
        <w:numPr>
          <w:ilvl w:val="2"/>
          <w:numId w:val="5"/>
        </w:numPr>
        <w:pBdr>
          <w:top w:val="nil"/>
          <w:left w:val="nil"/>
          <w:bottom w:val="nil"/>
          <w:right w:val="nil"/>
          <w:between w:val="nil"/>
        </w:pBdr>
        <w:suppressAutoHyphens/>
        <w:spacing w:after="120"/>
        <w:rPr>
          <w:rFonts w:ascii="Arial" w:hAnsi="Arial" w:cs="Arial"/>
          <w:color w:val="000000"/>
        </w:rPr>
      </w:pPr>
      <w:r w:rsidRPr="00956AFE">
        <w:rPr>
          <w:rFonts w:ascii="Arial" w:hAnsi="Arial" w:cs="Arial"/>
          <w:color w:val="000000"/>
        </w:rPr>
        <w:t xml:space="preserve">if the tender breaches a procedural requirement set out in the Tender Notice or associated tender documents; or </w:t>
      </w:r>
    </w:p>
    <w:p w14:paraId="1D5D8A85" w14:textId="77777777" w:rsidR="00CE6B7D" w:rsidRPr="00710CDF" w:rsidRDefault="00B7634E" w:rsidP="00956AFE">
      <w:pPr>
        <w:numPr>
          <w:ilvl w:val="1"/>
          <w:numId w:val="5"/>
        </w:numPr>
        <w:pBdr>
          <w:top w:val="nil"/>
          <w:left w:val="nil"/>
          <w:bottom w:val="nil"/>
          <w:right w:val="nil"/>
          <w:between w:val="nil"/>
        </w:pBdr>
        <w:suppressAutoHyphens/>
        <w:spacing w:after="120"/>
        <w:rPr>
          <w:rFonts w:ascii="Arial" w:hAnsi="Arial" w:cs="Arial"/>
          <w:color w:val="000000"/>
        </w:rPr>
      </w:pPr>
      <w:r w:rsidRPr="00710CDF">
        <w:rPr>
          <w:rFonts w:ascii="Arial" w:hAnsi="Arial" w:cs="Arial"/>
          <w:color w:val="000000"/>
        </w:rPr>
        <w:t xml:space="preserve">The Authority will conduct an </w:t>
      </w:r>
      <w:r w:rsidR="00711686" w:rsidRPr="00710CDF">
        <w:rPr>
          <w:rFonts w:ascii="Arial" w:hAnsi="Arial" w:cs="Arial"/>
          <w:color w:val="000000"/>
        </w:rPr>
        <w:t>evaluation</w:t>
      </w:r>
      <w:r w:rsidRPr="00710CDF">
        <w:rPr>
          <w:rFonts w:ascii="Arial" w:hAnsi="Arial" w:cs="Arial"/>
          <w:color w:val="000000"/>
        </w:rPr>
        <w:t xml:space="preserve"> of all </w:t>
      </w:r>
      <w:r w:rsidR="001568E9" w:rsidRPr="00710CDF">
        <w:rPr>
          <w:rFonts w:ascii="Arial" w:hAnsi="Arial" w:cs="Arial"/>
          <w:color w:val="000000"/>
        </w:rPr>
        <w:t>ITT submissions</w:t>
      </w:r>
      <w:r w:rsidR="00CE6B7D" w:rsidRPr="00710CDF">
        <w:rPr>
          <w:rFonts w:ascii="Arial" w:hAnsi="Arial" w:cs="Arial"/>
          <w:color w:val="000000"/>
        </w:rPr>
        <w:t xml:space="preserve"> in accordance with the criteria outlined in the ITT documentation</w:t>
      </w:r>
      <w:r w:rsidR="00963F3F" w:rsidRPr="00710CDF">
        <w:rPr>
          <w:rFonts w:ascii="Arial" w:hAnsi="Arial" w:cs="Arial"/>
          <w:color w:val="000000"/>
        </w:rPr>
        <w:t xml:space="preserve">. </w:t>
      </w:r>
    </w:p>
    <w:p w14:paraId="5431CADF" w14:textId="74D2AB96" w:rsidR="00142FE5" w:rsidRPr="00710CDF" w:rsidRDefault="00963F3F" w:rsidP="00CE6B7D">
      <w:pPr>
        <w:numPr>
          <w:ilvl w:val="2"/>
          <w:numId w:val="5"/>
        </w:numPr>
        <w:pBdr>
          <w:top w:val="nil"/>
          <w:left w:val="nil"/>
          <w:bottom w:val="nil"/>
          <w:right w:val="nil"/>
          <w:between w:val="nil"/>
        </w:pBdr>
        <w:suppressAutoHyphens/>
        <w:spacing w:after="120"/>
        <w:rPr>
          <w:rFonts w:ascii="Arial" w:hAnsi="Arial" w:cs="Arial"/>
          <w:color w:val="000000"/>
        </w:rPr>
      </w:pPr>
      <w:r w:rsidRPr="4757B756">
        <w:rPr>
          <w:rFonts w:ascii="Arial" w:hAnsi="Arial" w:cs="Arial"/>
          <w:color w:val="000000" w:themeColor="text2"/>
        </w:rPr>
        <w:t xml:space="preserve">This evaluation will comprise of </w:t>
      </w:r>
      <w:r w:rsidR="00DB0EA9" w:rsidRPr="4757B756">
        <w:rPr>
          <w:rFonts w:ascii="Arial" w:hAnsi="Arial" w:cs="Arial"/>
          <w:color w:val="000000" w:themeColor="text2"/>
        </w:rPr>
        <w:t xml:space="preserve">a minimum of two (2) commercial evaluators for the </w:t>
      </w:r>
      <w:r w:rsidR="00B46EE0" w:rsidRPr="4757B756">
        <w:rPr>
          <w:rFonts w:ascii="Arial" w:hAnsi="Arial" w:cs="Arial"/>
          <w:color w:val="000000" w:themeColor="text2"/>
        </w:rPr>
        <w:t>compliance</w:t>
      </w:r>
      <w:r w:rsidR="00DB0EA9" w:rsidRPr="4757B756">
        <w:rPr>
          <w:rFonts w:ascii="Arial" w:hAnsi="Arial" w:cs="Arial"/>
          <w:color w:val="000000" w:themeColor="text2"/>
        </w:rPr>
        <w:t xml:space="preserve"> section and </w:t>
      </w:r>
      <w:r w:rsidR="004149C3" w:rsidRPr="4757B756">
        <w:rPr>
          <w:rFonts w:ascii="Arial" w:hAnsi="Arial" w:cs="Arial"/>
          <w:color w:val="000000" w:themeColor="text2"/>
        </w:rPr>
        <w:t xml:space="preserve">three </w:t>
      </w:r>
      <w:r w:rsidR="00DB0EA9" w:rsidRPr="4757B756">
        <w:rPr>
          <w:rFonts w:ascii="Arial" w:hAnsi="Arial" w:cs="Arial"/>
          <w:color w:val="000000" w:themeColor="text2"/>
        </w:rPr>
        <w:t>(</w:t>
      </w:r>
      <w:r w:rsidR="004149C3" w:rsidRPr="4757B756">
        <w:rPr>
          <w:rFonts w:ascii="Arial" w:hAnsi="Arial" w:cs="Arial"/>
          <w:color w:val="000000" w:themeColor="text2"/>
        </w:rPr>
        <w:t>3</w:t>
      </w:r>
      <w:r w:rsidR="00DB0EA9" w:rsidRPr="4757B756">
        <w:rPr>
          <w:rFonts w:ascii="Arial" w:hAnsi="Arial" w:cs="Arial"/>
          <w:color w:val="000000" w:themeColor="text2"/>
        </w:rPr>
        <w:t xml:space="preserve">) </w:t>
      </w:r>
      <w:r w:rsidR="009B0910" w:rsidRPr="4757B756">
        <w:rPr>
          <w:rFonts w:ascii="Arial" w:hAnsi="Arial" w:cs="Arial"/>
          <w:color w:val="000000" w:themeColor="text2"/>
        </w:rPr>
        <w:t xml:space="preserve">technical experts evaluating </w:t>
      </w:r>
      <w:r w:rsidR="00E30769" w:rsidRPr="4757B756">
        <w:rPr>
          <w:rFonts w:ascii="Arial" w:hAnsi="Arial" w:cs="Arial"/>
          <w:color w:val="000000" w:themeColor="text2"/>
        </w:rPr>
        <w:t xml:space="preserve">the technical criteria. </w:t>
      </w:r>
    </w:p>
    <w:p w14:paraId="319B1B71" w14:textId="4103B482" w:rsidR="00E30769" w:rsidRPr="00710CDF" w:rsidRDefault="00E30769" w:rsidP="00CE6B7D">
      <w:pPr>
        <w:numPr>
          <w:ilvl w:val="2"/>
          <w:numId w:val="5"/>
        </w:numPr>
        <w:pBdr>
          <w:top w:val="nil"/>
          <w:left w:val="nil"/>
          <w:bottom w:val="nil"/>
          <w:right w:val="nil"/>
          <w:between w:val="nil"/>
        </w:pBdr>
        <w:suppressAutoHyphens/>
        <w:spacing w:after="120"/>
        <w:rPr>
          <w:rFonts w:ascii="Arial" w:hAnsi="Arial" w:cs="Arial"/>
          <w:color w:val="000000"/>
        </w:rPr>
      </w:pPr>
      <w:r w:rsidRPr="00710CDF">
        <w:rPr>
          <w:rFonts w:ascii="Arial" w:hAnsi="Arial" w:cs="Arial"/>
          <w:color w:val="000000"/>
        </w:rPr>
        <w:t>Each evaluator will conduct their evaluation individually</w:t>
      </w:r>
      <w:r w:rsidR="00FF579F" w:rsidRPr="00710CDF">
        <w:rPr>
          <w:rFonts w:ascii="Arial" w:hAnsi="Arial" w:cs="Arial"/>
          <w:color w:val="000000"/>
        </w:rPr>
        <w:t xml:space="preserve">. Once completed, a moderation meeting will be held where the panel shall reach a consensus on the results, providing a moderated score. </w:t>
      </w:r>
    </w:p>
    <w:p w14:paraId="3B4F2FBB" w14:textId="165C4986" w:rsidR="00E23751" w:rsidRPr="00AE1EF1" w:rsidRDefault="00835015" w:rsidP="00AE1EF1">
      <w:pPr>
        <w:numPr>
          <w:ilvl w:val="2"/>
          <w:numId w:val="5"/>
        </w:numPr>
        <w:pBdr>
          <w:top w:val="nil"/>
          <w:left w:val="nil"/>
          <w:bottom w:val="nil"/>
          <w:right w:val="nil"/>
          <w:between w:val="nil"/>
        </w:pBdr>
        <w:suppressAutoHyphens/>
        <w:spacing w:after="240"/>
        <w:rPr>
          <w:rFonts w:ascii="Arial" w:hAnsi="Arial" w:cs="Arial"/>
          <w:color w:val="000000"/>
        </w:rPr>
      </w:pPr>
      <w:r w:rsidRPr="00710CDF">
        <w:rPr>
          <w:rFonts w:ascii="Arial" w:hAnsi="Arial" w:cs="Arial"/>
          <w:color w:val="000000"/>
        </w:rPr>
        <w:t xml:space="preserve">This moderated score will then be multiplied by the question weighting to generate a weighted score. This will be used to calculate the final score for the supplier as per paragraph </w:t>
      </w:r>
      <w:r w:rsidR="00EE660A" w:rsidRPr="00710CDF">
        <w:rPr>
          <w:rFonts w:ascii="Arial" w:hAnsi="Arial" w:cs="Arial"/>
          <w:color w:val="000000"/>
        </w:rPr>
        <w:t>2</w:t>
      </w:r>
      <w:r w:rsidR="00EE660A">
        <w:rPr>
          <w:rFonts w:ascii="Arial" w:hAnsi="Arial" w:cs="Arial"/>
          <w:color w:val="000000"/>
        </w:rPr>
        <w:t>5</w:t>
      </w:r>
      <w:r w:rsidR="00807DBE">
        <w:rPr>
          <w:rFonts w:ascii="Arial" w:hAnsi="Arial" w:cs="Arial"/>
          <w:color w:val="000000"/>
        </w:rPr>
        <w:t>(</w:t>
      </w:r>
      <w:r w:rsidRPr="00710CDF">
        <w:rPr>
          <w:rFonts w:ascii="Arial" w:hAnsi="Arial" w:cs="Arial"/>
          <w:color w:val="000000"/>
        </w:rPr>
        <w:t>e</w:t>
      </w:r>
      <w:r w:rsidR="00F22E5E">
        <w:rPr>
          <w:rFonts w:ascii="Arial" w:hAnsi="Arial" w:cs="Arial"/>
          <w:color w:val="000000"/>
        </w:rPr>
        <w:t>)</w:t>
      </w:r>
      <w:r w:rsidRPr="00710CDF">
        <w:rPr>
          <w:rFonts w:ascii="Arial" w:hAnsi="Arial" w:cs="Arial"/>
          <w:color w:val="000000"/>
        </w:rPr>
        <w:t>.</w:t>
      </w:r>
    </w:p>
    <w:p w14:paraId="093D07CC" w14:textId="164E7CC9" w:rsidR="00DF6756" w:rsidRPr="00710CDF" w:rsidRDefault="00E34C2A" w:rsidP="00461F53">
      <w:pPr>
        <w:numPr>
          <w:ilvl w:val="1"/>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W</w:t>
      </w:r>
      <w:r w:rsidR="00DF6756" w:rsidRPr="00710CDF">
        <w:rPr>
          <w:rFonts w:ascii="Arial" w:hAnsi="Arial" w:cs="Arial"/>
          <w:color w:val="000000"/>
        </w:rPr>
        <w:t>eighted scores will be added together to generate a Stage 2 score</w:t>
      </w:r>
      <w:r w:rsidR="00B44451">
        <w:rPr>
          <w:rFonts w:ascii="Arial" w:hAnsi="Arial" w:cs="Arial"/>
          <w:color w:val="000000"/>
        </w:rPr>
        <w:t>, which will be made up of the written technical and social value scores</w:t>
      </w:r>
      <w:r w:rsidR="00DF6756" w:rsidRPr="00710CDF">
        <w:rPr>
          <w:rFonts w:ascii="Arial" w:hAnsi="Arial" w:cs="Arial"/>
          <w:color w:val="000000"/>
        </w:rPr>
        <w:t xml:space="preserve">. </w:t>
      </w:r>
    </w:p>
    <w:p w14:paraId="2354D39E" w14:textId="3DB2DFAB" w:rsidR="00D82583" w:rsidRDefault="006F4738" w:rsidP="00D82583">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 xml:space="preserve">Subject to paragraph </w:t>
      </w:r>
      <w:r w:rsidR="00EE660A">
        <w:rPr>
          <w:rFonts w:ascii="Arial" w:hAnsi="Arial" w:cs="Arial"/>
          <w:color w:val="000000"/>
        </w:rPr>
        <w:t>24</w:t>
      </w:r>
      <w:r>
        <w:rPr>
          <w:rFonts w:ascii="Arial" w:hAnsi="Arial" w:cs="Arial"/>
          <w:color w:val="000000"/>
        </w:rPr>
        <w:t>(</w:t>
      </w:r>
      <w:r w:rsidR="003F1AD3">
        <w:rPr>
          <w:rFonts w:ascii="Arial" w:hAnsi="Arial" w:cs="Arial"/>
          <w:color w:val="000000"/>
        </w:rPr>
        <w:t>i</w:t>
      </w:r>
      <w:r>
        <w:rPr>
          <w:rFonts w:ascii="Arial" w:hAnsi="Arial" w:cs="Arial"/>
          <w:color w:val="000000"/>
        </w:rPr>
        <w:t>)</w:t>
      </w:r>
      <w:r w:rsidR="00753ED8">
        <w:rPr>
          <w:rFonts w:ascii="Arial" w:hAnsi="Arial" w:cs="Arial"/>
          <w:color w:val="000000"/>
        </w:rPr>
        <w:t xml:space="preserve"> and 24(j</w:t>
      </w:r>
      <w:r>
        <w:rPr>
          <w:rFonts w:ascii="Arial" w:hAnsi="Arial" w:cs="Arial"/>
          <w:color w:val="000000"/>
        </w:rPr>
        <w:t>)</w:t>
      </w:r>
      <w:r w:rsidR="00637659">
        <w:rPr>
          <w:rFonts w:ascii="Arial" w:hAnsi="Arial" w:cs="Arial"/>
          <w:color w:val="000000"/>
        </w:rPr>
        <w:t>, t</w:t>
      </w:r>
      <w:r w:rsidR="00EE63EC" w:rsidRPr="006F6D67">
        <w:rPr>
          <w:rFonts w:ascii="Arial" w:hAnsi="Arial" w:cs="Arial"/>
          <w:color w:val="000000"/>
        </w:rPr>
        <w:t xml:space="preserve">he </w:t>
      </w:r>
      <w:r w:rsidR="00DF6756">
        <w:rPr>
          <w:rFonts w:ascii="Arial" w:hAnsi="Arial" w:cs="Arial"/>
          <w:color w:val="000000"/>
        </w:rPr>
        <w:t>Stage 2 score</w:t>
      </w:r>
      <w:r w:rsidR="00EE63EC" w:rsidRPr="006F6D67">
        <w:rPr>
          <w:rFonts w:ascii="Arial" w:hAnsi="Arial" w:cs="Arial"/>
          <w:color w:val="000000"/>
        </w:rPr>
        <w:t xml:space="preserve"> will identify </w:t>
      </w:r>
      <w:r w:rsidR="00EE63EC">
        <w:rPr>
          <w:rFonts w:ascii="Arial" w:hAnsi="Arial" w:cs="Arial"/>
          <w:color w:val="000000"/>
        </w:rPr>
        <w:t>a maximum number of eight (8)</w:t>
      </w:r>
      <w:r w:rsidR="00EE63EC" w:rsidRPr="006F6D67">
        <w:rPr>
          <w:rFonts w:ascii="Arial" w:hAnsi="Arial" w:cs="Arial"/>
          <w:color w:val="000000"/>
        </w:rPr>
        <w:t xml:space="preserve"> Suppliers to be invited to participate in Stage </w:t>
      </w:r>
      <w:r w:rsidR="00DF6756">
        <w:rPr>
          <w:rFonts w:ascii="Arial" w:hAnsi="Arial" w:cs="Arial"/>
          <w:color w:val="000000"/>
        </w:rPr>
        <w:t>3</w:t>
      </w:r>
      <w:r w:rsidR="001A411C">
        <w:rPr>
          <w:rFonts w:ascii="Arial" w:hAnsi="Arial" w:cs="Arial"/>
          <w:color w:val="000000"/>
        </w:rPr>
        <w:t>.</w:t>
      </w:r>
      <w:r w:rsidR="00DF6756">
        <w:rPr>
          <w:rFonts w:ascii="Arial" w:hAnsi="Arial" w:cs="Arial"/>
          <w:color w:val="000000"/>
        </w:rPr>
        <w:t xml:space="preserve"> </w:t>
      </w:r>
    </w:p>
    <w:p w14:paraId="3786BD63" w14:textId="022B9A96" w:rsidR="00EE63EC" w:rsidRPr="00D82583" w:rsidRDefault="00D82583" w:rsidP="00D82583">
      <w:pPr>
        <w:numPr>
          <w:ilvl w:val="1"/>
          <w:numId w:val="5"/>
        </w:numPr>
        <w:pBdr>
          <w:top w:val="nil"/>
          <w:left w:val="nil"/>
          <w:bottom w:val="nil"/>
          <w:right w:val="nil"/>
          <w:between w:val="nil"/>
        </w:pBdr>
        <w:suppressAutoHyphens/>
        <w:spacing w:after="240"/>
        <w:rPr>
          <w:rFonts w:ascii="Arial" w:hAnsi="Arial" w:cs="Arial"/>
          <w:color w:val="000000"/>
        </w:rPr>
      </w:pPr>
      <w:r w:rsidRPr="21D48FD9">
        <w:rPr>
          <w:rFonts w:ascii="Arial" w:hAnsi="Arial" w:cs="Arial"/>
          <w:color w:val="000000" w:themeColor="text2"/>
        </w:rPr>
        <w:t>Supplier</w:t>
      </w:r>
      <w:r w:rsidR="6F65AAD6" w:rsidRPr="21D48FD9">
        <w:rPr>
          <w:rFonts w:ascii="Arial" w:hAnsi="Arial" w:cs="Arial"/>
          <w:color w:val="000000" w:themeColor="text2"/>
        </w:rPr>
        <w:t>s</w:t>
      </w:r>
      <w:r w:rsidRPr="21D48FD9">
        <w:rPr>
          <w:rFonts w:ascii="Arial" w:hAnsi="Arial" w:cs="Arial"/>
          <w:color w:val="000000" w:themeColor="text2"/>
        </w:rPr>
        <w:t xml:space="preserve"> </w:t>
      </w:r>
      <w:r w:rsidR="00DF6756" w:rsidRPr="21D48FD9">
        <w:rPr>
          <w:rFonts w:ascii="Arial" w:hAnsi="Arial" w:cs="Arial"/>
          <w:color w:val="000000" w:themeColor="text2"/>
        </w:rPr>
        <w:t>wi</w:t>
      </w:r>
      <w:r w:rsidR="00AB3199" w:rsidRPr="21D48FD9">
        <w:rPr>
          <w:rFonts w:ascii="Arial" w:hAnsi="Arial" w:cs="Arial"/>
          <w:color w:val="000000" w:themeColor="text2"/>
        </w:rPr>
        <w:t>ll be ranked</w:t>
      </w:r>
      <w:r w:rsidR="00DF6756" w:rsidRPr="21D48FD9">
        <w:rPr>
          <w:rFonts w:ascii="Arial" w:hAnsi="Arial" w:cs="Arial"/>
          <w:color w:val="000000" w:themeColor="text2"/>
        </w:rPr>
        <w:t xml:space="preserve"> </w:t>
      </w:r>
      <w:r w:rsidR="00AB3199" w:rsidRPr="21D48FD9">
        <w:rPr>
          <w:rFonts w:ascii="Arial" w:hAnsi="Arial" w:cs="Arial"/>
          <w:color w:val="000000" w:themeColor="text2"/>
        </w:rPr>
        <w:t>from highest to lowest Stage 2 score, with the</w:t>
      </w:r>
      <w:r w:rsidR="00DF6756" w:rsidRPr="21D48FD9">
        <w:rPr>
          <w:rFonts w:ascii="Arial" w:hAnsi="Arial" w:cs="Arial"/>
          <w:color w:val="000000" w:themeColor="text2"/>
        </w:rPr>
        <w:t xml:space="preserve"> highest scoring </w:t>
      </w:r>
      <w:r w:rsidRPr="21D48FD9">
        <w:rPr>
          <w:rFonts w:ascii="Arial" w:hAnsi="Arial" w:cs="Arial"/>
          <w:color w:val="000000" w:themeColor="text2"/>
        </w:rPr>
        <w:t xml:space="preserve">suppliers who meet the minimum criteria being invited </w:t>
      </w:r>
      <w:r w:rsidR="00AB3199" w:rsidRPr="21D48FD9">
        <w:rPr>
          <w:rFonts w:ascii="Arial" w:hAnsi="Arial" w:cs="Arial"/>
          <w:color w:val="000000" w:themeColor="text2"/>
        </w:rPr>
        <w:t>to Stage 3</w:t>
      </w:r>
      <w:r w:rsidR="006F4738" w:rsidRPr="21D48FD9">
        <w:rPr>
          <w:rFonts w:ascii="Arial" w:hAnsi="Arial" w:cs="Arial"/>
          <w:color w:val="000000" w:themeColor="text2"/>
        </w:rPr>
        <w:t>.</w:t>
      </w:r>
      <w:r w:rsidR="00AB3199" w:rsidRPr="21D48FD9">
        <w:rPr>
          <w:rFonts w:ascii="Arial" w:hAnsi="Arial" w:cs="Arial"/>
          <w:color w:val="000000" w:themeColor="text2"/>
        </w:rPr>
        <w:t xml:space="preserve"> </w:t>
      </w:r>
    </w:p>
    <w:p w14:paraId="1B895663" w14:textId="77777777" w:rsidR="004E2F5B" w:rsidRDefault="00EE63EC" w:rsidP="00EE63EC">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Should there be a tie in scores for 8</w:t>
      </w:r>
      <w:r w:rsidRPr="00142FE5">
        <w:rPr>
          <w:rFonts w:ascii="Arial" w:hAnsi="Arial" w:cs="Arial"/>
          <w:color w:val="000000"/>
          <w:vertAlign w:val="superscript"/>
        </w:rPr>
        <w:t>th</w:t>
      </w:r>
      <w:r>
        <w:rPr>
          <w:rFonts w:ascii="Arial" w:hAnsi="Arial" w:cs="Arial"/>
          <w:color w:val="000000"/>
        </w:rPr>
        <w:t xml:space="preserve"> place, the Authority reserves the right to take more than eight (8) suppliers through to Stage </w:t>
      </w:r>
      <w:r w:rsidR="001A411C">
        <w:rPr>
          <w:rFonts w:ascii="Arial" w:hAnsi="Arial" w:cs="Arial"/>
          <w:color w:val="000000"/>
        </w:rPr>
        <w:t>3</w:t>
      </w:r>
      <w:r>
        <w:rPr>
          <w:rFonts w:ascii="Arial" w:hAnsi="Arial" w:cs="Arial"/>
          <w:color w:val="000000"/>
        </w:rPr>
        <w:t>.</w:t>
      </w:r>
    </w:p>
    <w:p w14:paraId="2470EC0F" w14:textId="0D155C5A" w:rsidR="00EE63EC" w:rsidRPr="006F6D67" w:rsidRDefault="782E1771" w:rsidP="00EE63EC">
      <w:pPr>
        <w:numPr>
          <w:ilvl w:val="1"/>
          <w:numId w:val="5"/>
        </w:numPr>
        <w:pBdr>
          <w:top w:val="nil"/>
          <w:left w:val="nil"/>
          <w:bottom w:val="nil"/>
          <w:right w:val="nil"/>
          <w:between w:val="nil"/>
        </w:pBdr>
        <w:suppressAutoHyphens/>
        <w:spacing w:after="240"/>
        <w:rPr>
          <w:rFonts w:ascii="Arial" w:hAnsi="Arial" w:cs="Arial"/>
          <w:color w:val="000000"/>
        </w:rPr>
      </w:pPr>
      <w:r w:rsidRPr="4757B756">
        <w:rPr>
          <w:rFonts w:ascii="Arial" w:hAnsi="Arial" w:cs="Arial"/>
          <w:color w:val="000000" w:themeColor="text2"/>
        </w:rPr>
        <w:t>Notwithstanding</w:t>
      </w:r>
      <w:r w:rsidR="03845637" w:rsidRPr="4757B756">
        <w:rPr>
          <w:rFonts w:ascii="Arial" w:hAnsi="Arial" w:cs="Arial"/>
          <w:color w:val="000000" w:themeColor="text2"/>
        </w:rPr>
        <w:t xml:space="preserve"> </w:t>
      </w:r>
      <w:r w:rsidRPr="4757B756">
        <w:rPr>
          <w:rFonts w:ascii="Arial" w:hAnsi="Arial" w:cs="Arial"/>
          <w:color w:val="000000" w:themeColor="text2"/>
        </w:rPr>
        <w:t>paragraph 24(i), t</w:t>
      </w:r>
      <w:r w:rsidR="3DF04BCA" w:rsidRPr="4757B756">
        <w:rPr>
          <w:rFonts w:ascii="Arial" w:hAnsi="Arial" w:cs="Arial"/>
          <w:color w:val="000000" w:themeColor="text2"/>
        </w:rPr>
        <w:t xml:space="preserve">he Authority reserves the right to </w:t>
      </w:r>
      <w:r w:rsidR="3E5D9697" w:rsidRPr="4757B756">
        <w:rPr>
          <w:rFonts w:ascii="Arial" w:hAnsi="Arial" w:cs="Arial"/>
          <w:color w:val="000000" w:themeColor="text2"/>
        </w:rPr>
        <w:t xml:space="preserve">take more than eight (8) </w:t>
      </w:r>
      <w:r w:rsidR="0A837138" w:rsidRPr="4757B756">
        <w:rPr>
          <w:rFonts w:ascii="Arial" w:hAnsi="Arial" w:cs="Arial"/>
          <w:color w:val="000000" w:themeColor="text2"/>
        </w:rPr>
        <w:t xml:space="preserve">compliant </w:t>
      </w:r>
      <w:r w:rsidR="3E5D9697" w:rsidRPr="4757B756">
        <w:rPr>
          <w:rFonts w:ascii="Arial" w:hAnsi="Arial" w:cs="Arial"/>
          <w:color w:val="000000" w:themeColor="text2"/>
        </w:rPr>
        <w:t>suppliers</w:t>
      </w:r>
      <w:r w:rsidR="4DA865C2" w:rsidRPr="4757B756">
        <w:rPr>
          <w:rFonts w:ascii="Arial" w:hAnsi="Arial" w:cs="Arial"/>
          <w:color w:val="000000" w:themeColor="text2"/>
        </w:rPr>
        <w:t xml:space="preserve"> </w:t>
      </w:r>
      <w:r w:rsidR="1768B1AF" w:rsidRPr="4757B756">
        <w:rPr>
          <w:rFonts w:ascii="Arial" w:hAnsi="Arial" w:cs="Arial"/>
          <w:color w:val="000000" w:themeColor="text2"/>
        </w:rPr>
        <w:t>through to Stage 3</w:t>
      </w:r>
      <w:r w:rsidR="54BF7617" w:rsidRPr="4757B756">
        <w:rPr>
          <w:rFonts w:ascii="Arial" w:hAnsi="Arial" w:cs="Arial"/>
          <w:color w:val="000000" w:themeColor="text2"/>
        </w:rPr>
        <w:t xml:space="preserve"> if</w:t>
      </w:r>
      <w:r w:rsidR="0E9BA210" w:rsidRPr="4757B756">
        <w:rPr>
          <w:rFonts w:ascii="Arial" w:hAnsi="Arial" w:cs="Arial"/>
          <w:color w:val="000000" w:themeColor="text2"/>
        </w:rPr>
        <w:t xml:space="preserve"> i</w:t>
      </w:r>
      <w:r w:rsidR="04C455E8" w:rsidRPr="4757B756">
        <w:rPr>
          <w:rFonts w:ascii="Arial" w:hAnsi="Arial" w:cs="Arial"/>
          <w:color w:val="000000" w:themeColor="text2"/>
        </w:rPr>
        <w:t xml:space="preserve">t </w:t>
      </w:r>
      <w:r w:rsidR="5B6C43CE" w:rsidRPr="4757B756">
        <w:rPr>
          <w:rFonts w:ascii="Arial" w:hAnsi="Arial" w:cs="Arial"/>
          <w:color w:val="000000" w:themeColor="text2"/>
        </w:rPr>
        <w:t>deems it</w:t>
      </w:r>
      <w:r w:rsidR="04C455E8" w:rsidRPr="4757B756">
        <w:rPr>
          <w:rFonts w:ascii="Arial" w:hAnsi="Arial" w:cs="Arial"/>
          <w:color w:val="000000" w:themeColor="text2"/>
        </w:rPr>
        <w:t xml:space="preserve"> reasonable to do so.</w:t>
      </w:r>
      <w:r w:rsidR="58FB10D1" w:rsidRPr="4757B756">
        <w:rPr>
          <w:rFonts w:ascii="Arial" w:hAnsi="Arial" w:cs="Arial"/>
          <w:color w:val="000000" w:themeColor="text2"/>
        </w:rPr>
        <w:t xml:space="preserve"> </w:t>
      </w:r>
    </w:p>
    <w:p w14:paraId="1B1CB585" w14:textId="3CB4B4E7" w:rsidR="00EE63EC" w:rsidRDefault="00EE63EC" w:rsidP="00EE63EC">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Stage </w:t>
      </w:r>
      <w:r>
        <w:rPr>
          <w:rFonts w:ascii="Arial" w:hAnsi="Arial" w:cs="Arial"/>
          <w:color w:val="000000"/>
        </w:rPr>
        <w:t>2</w:t>
      </w:r>
      <w:r w:rsidRPr="006F6D67">
        <w:rPr>
          <w:rFonts w:ascii="Arial" w:hAnsi="Arial" w:cs="Arial"/>
          <w:color w:val="000000"/>
        </w:rPr>
        <w:t xml:space="preserve"> will complete with Suppliers being notified in writing of </w:t>
      </w:r>
      <w:r w:rsidR="006C7221" w:rsidRPr="006F6D67">
        <w:rPr>
          <w:rFonts w:ascii="Arial" w:hAnsi="Arial" w:cs="Arial"/>
          <w:color w:val="000000"/>
        </w:rPr>
        <w:t>whether</w:t>
      </w:r>
      <w:r w:rsidRPr="006F6D67">
        <w:rPr>
          <w:rFonts w:ascii="Arial" w:hAnsi="Arial" w:cs="Arial"/>
          <w:color w:val="000000"/>
        </w:rPr>
        <w:t xml:space="preserve"> they have been successfully shortlisted to participate in Stage </w:t>
      </w:r>
      <w:r w:rsidR="00AB3199">
        <w:rPr>
          <w:rFonts w:ascii="Arial" w:hAnsi="Arial" w:cs="Arial"/>
          <w:color w:val="000000"/>
        </w:rPr>
        <w:t>3</w:t>
      </w:r>
      <w:r w:rsidRPr="006F6D67">
        <w:rPr>
          <w:rFonts w:ascii="Arial" w:hAnsi="Arial" w:cs="Arial"/>
          <w:color w:val="000000"/>
        </w:rPr>
        <w:t xml:space="preserve">. </w:t>
      </w:r>
    </w:p>
    <w:p w14:paraId="26B5849B" w14:textId="41CC5D9D" w:rsidR="00F14CC2" w:rsidRPr="00AB3199" w:rsidRDefault="00EE63EC" w:rsidP="00F647FC">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Suppliers not invited to Stage </w:t>
      </w:r>
      <w:r w:rsidR="00AB3199">
        <w:rPr>
          <w:rFonts w:ascii="Arial" w:hAnsi="Arial" w:cs="Arial"/>
          <w:color w:val="000000"/>
        </w:rPr>
        <w:t>3</w:t>
      </w:r>
      <w:r w:rsidRPr="006F6D67">
        <w:rPr>
          <w:rFonts w:ascii="Arial" w:hAnsi="Arial" w:cs="Arial"/>
          <w:color w:val="000000"/>
        </w:rPr>
        <w:t xml:space="preserve"> will be provided with a </w:t>
      </w:r>
      <w:r w:rsidR="00F23865">
        <w:rPr>
          <w:rFonts w:ascii="Arial" w:hAnsi="Arial" w:cs="Arial"/>
          <w:color w:val="000000"/>
        </w:rPr>
        <w:t xml:space="preserve">brief </w:t>
      </w:r>
      <w:r w:rsidRPr="006F6D67">
        <w:rPr>
          <w:rFonts w:ascii="Arial" w:hAnsi="Arial" w:cs="Arial"/>
          <w:color w:val="000000"/>
        </w:rPr>
        <w:t xml:space="preserve">written explanation of the reasons why they have not been shortlisted to participate in Stage </w:t>
      </w:r>
      <w:r w:rsidR="00AB3199">
        <w:rPr>
          <w:rFonts w:ascii="Arial" w:hAnsi="Arial" w:cs="Arial"/>
          <w:color w:val="000000"/>
        </w:rPr>
        <w:t>3</w:t>
      </w:r>
      <w:r w:rsidRPr="006F6D67">
        <w:rPr>
          <w:rFonts w:ascii="Arial" w:hAnsi="Arial" w:cs="Arial"/>
          <w:color w:val="000000"/>
        </w:rPr>
        <w:t>.</w:t>
      </w:r>
    </w:p>
    <w:p w14:paraId="7832212D" w14:textId="40EA3CD0" w:rsidR="007B391E" w:rsidRDefault="00B7634E" w:rsidP="00B10E2D">
      <w:pPr>
        <w:pStyle w:val="Heading3"/>
        <w:numPr>
          <w:ilvl w:val="0"/>
          <w:numId w:val="5"/>
        </w:numPr>
        <w:rPr>
          <w:sz w:val="24"/>
          <w:szCs w:val="24"/>
        </w:rPr>
      </w:pPr>
      <w:r w:rsidRPr="00552166">
        <w:rPr>
          <w:sz w:val="24"/>
          <w:szCs w:val="24"/>
        </w:rPr>
        <w:t>Stage 3: Interview</w:t>
      </w:r>
      <w:r w:rsidR="7A17F804" w:rsidRPr="4757B756">
        <w:rPr>
          <w:sz w:val="24"/>
          <w:szCs w:val="24"/>
        </w:rPr>
        <w:t xml:space="preserve"> and Pricing</w:t>
      </w:r>
      <w:r w:rsidR="3EF87F00" w:rsidRPr="4757B756">
        <w:rPr>
          <w:sz w:val="24"/>
          <w:szCs w:val="24"/>
        </w:rPr>
        <w:t xml:space="preserve"> </w:t>
      </w:r>
    </w:p>
    <w:p w14:paraId="4400E6D2" w14:textId="77777777" w:rsidR="00B43563" w:rsidRPr="00B43563" w:rsidRDefault="00B43563" w:rsidP="00B43563"/>
    <w:p w14:paraId="60D61AFC" w14:textId="456F2553" w:rsidR="007B391E" w:rsidRDefault="007B391E" w:rsidP="004E184E">
      <w:pPr>
        <w:numPr>
          <w:ilvl w:val="1"/>
          <w:numId w:val="5"/>
        </w:numPr>
        <w:pBdr>
          <w:top w:val="nil"/>
          <w:left w:val="nil"/>
          <w:bottom w:val="nil"/>
          <w:right w:val="nil"/>
          <w:between w:val="nil"/>
        </w:pBdr>
        <w:suppressAutoHyphens/>
        <w:spacing w:after="240"/>
        <w:rPr>
          <w:rFonts w:ascii="Arial" w:hAnsi="Arial" w:cs="Arial"/>
          <w:color w:val="000000"/>
        </w:rPr>
      </w:pPr>
      <w:r w:rsidRPr="006F6D67">
        <w:rPr>
          <w:rFonts w:ascii="Arial" w:hAnsi="Arial" w:cs="Arial"/>
          <w:color w:val="000000"/>
        </w:rPr>
        <w:t xml:space="preserve">Stage </w:t>
      </w:r>
      <w:r>
        <w:rPr>
          <w:rFonts w:ascii="Arial" w:hAnsi="Arial" w:cs="Arial"/>
          <w:color w:val="000000"/>
        </w:rPr>
        <w:t>3</w:t>
      </w:r>
      <w:r w:rsidRPr="006F6D67">
        <w:rPr>
          <w:rFonts w:ascii="Arial" w:hAnsi="Arial" w:cs="Arial"/>
          <w:color w:val="000000"/>
        </w:rPr>
        <w:t xml:space="preserve"> will commence with the issuing of a letter inviting Suppliers that have been successfully shortlisted at Stage </w:t>
      </w:r>
      <w:r>
        <w:rPr>
          <w:rFonts w:ascii="Arial" w:hAnsi="Arial" w:cs="Arial"/>
          <w:color w:val="000000"/>
        </w:rPr>
        <w:t>3</w:t>
      </w:r>
      <w:r w:rsidRPr="006F6D67">
        <w:rPr>
          <w:rFonts w:ascii="Arial" w:hAnsi="Arial" w:cs="Arial"/>
          <w:color w:val="000000"/>
        </w:rPr>
        <w:t xml:space="preserve"> to </w:t>
      </w:r>
      <w:r w:rsidR="004E184E">
        <w:rPr>
          <w:rFonts w:ascii="Arial" w:hAnsi="Arial" w:cs="Arial"/>
          <w:color w:val="000000"/>
        </w:rPr>
        <w:t xml:space="preserve">attend </w:t>
      </w:r>
      <w:r w:rsidR="00B43563">
        <w:rPr>
          <w:rFonts w:ascii="Arial" w:hAnsi="Arial" w:cs="Arial"/>
          <w:color w:val="000000"/>
        </w:rPr>
        <w:t xml:space="preserve">an </w:t>
      </w:r>
      <w:r w:rsidR="004E184E">
        <w:rPr>
          <w:rFonts w:ascii="Arial" w:hAnsi="Arial" w:cs="Arial"/>
          <w:color w:val="000000"/>
        </w:rPr>
        <w:t>interview</w:t>
      </w:r>
      <w:r w:rsidR="008E4A9D">
        <w:rPr>
          <w:rFonts w:ascii="Arial" w:hAnsi="Arial" w:cs="Arial"/>
          <w:color w:val="000000"/>
        </w:rPr>
        <w:t xml:space="preserve"> </w:t>
      </w:r>
      <w:r w:rsidR="00F90BAF">
        <w:rPr>
          <w:rFonts w:ascii="Arial" w:hAnsi="Arial" w:cs="Arial"/>
          <w:color w:val="000000"/>
        </w:rPr>
        <w:t xml:space="preserve">and submit their </w:t>
      </w:r>
      <w:r w:rsidR="000F2BA1">
        <w:rPr>
          <w:rFonts w:ascii="Arial" w:hAnsi="Arial" w:cs="Arial"/>
          <w:color w:val="000000"/>
        </w:rPr>
        <w:t xml:space="preserve">pricing </w:t>
      </w:r>
      <w:r w:rsidR="008F16EB">
        <w:rPr>
          <w:rFonts w:ascii="Arial" w:hAnsi="Arial" w:cs="Arial"/>
          <w:color w:val="000000"/>
        </w:rPr>
        <w:t>response</w:t>
      </w:r>
      <w:r w:rsidR="0025534C">
        <w:rPr>
          <w:rFonts w:ascii="Arial" w:hAnsi="Arial" w:cs="Arial"/>
          <w:color w:val="000000"/>
        </w:rPr>
        <w:t>.</w:t>
      </w:r>
      <w:r w:rsidR="002361D8">
        <w:rPr>
          <w:rFonts w:ascii="Arial" w:hAnsi="Arial" w:cs="Arial"/>
          <w:color w:val="000000"/>
        </w:rPr>
        <w:t xml:space="preserve">  </w:t>
      </w:r>
      <w:r w:rsidR="008E4A9D">
        <w:rPr>
          <w:rFonts w:ascii="Arial" w:hAnsi="Arial" w:cs="Arial"/>
          <w:color w:val="000000"/>
        </w:rPr>
        <w:t xml:space="preserve"> </w:t>
      </w:r>
      <w:r w:rsidRPr="004E184E">
        <w:rPr>
          <w:rFonts w:ascii="Arial" w:hAnsi="Arial" w:cs="Arial"/>
          <w:color w:val="000000"/>
        </w:rPr>
        <w:t xml:space="preserve"> </w:t>
      </w:r>
    </w:p>
    <w:p w14:paraId="0A3101EF" w14:textId="77777777" w:rsidR="00BB20FF" w:rsidRDefault="001065E2" w:rsidP="004E184E">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 xml:space="preserve">When issuing the Stage 3 invite, the Authority will provide the Supplier with </w:t>
      </w:r>
      <w:r w:rsidR="00BB20FF">
        <w:rPr>
          <w:rFonts w:ascii="Arial" w:hAnsi="Arial" w:cs="Arial"/>
          <w:color w:val="000000"/>
        </w:rPr>
        <w:t>the following:</w:t>
      </w:r>
    </w:p>
    <w:p w14:paraId="45B62830" w14:textId="598AC8AC" w:rsidR="00DC4600" w:rsidRPr="007D3D67" w:rsidRDefault="001065E2" w:rsidP="007D3D67">
      <w:pPr>
        <w:pStyle w:val="ListParagraph"/>
        <w:numPr>
          <w:ilvl w:val="0"/>
          <w:numId w:val="9"/>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a date and time for their interview</w:t>
      </w:r>
      <w:r w:rsidR="00DC4600" w:rsidRPr="007D3D67">
        <w:rPr>
          <w:rFonts w:ascii="Arial" w:hAnsi="Arial" w:cs="Arial"/>
          <w:color w:val="000000"/>
        </w:rPr>
        <w:t>;</w:t>
      </w:r>
    </w:p>
    <w:p w14:paraId="302BCA73" w14:textId="0F8B0663" w:rsidR="00DC4600" w:rsidRPr="007D3D67" w:rsidRDefault="002507B1" w:rsidP="007D3D67">
      <w:pPr>
        <w:pStyle w:val="ListParagraph"/>
        <w:numPr>
          <w:ilvl w:val="0"/>
          <w:numId w:val="9"/>
        </w:numPr>
        <w:pBdr>
          <w:top w:val="nil"/>
          <w:left w:val="nil"/>
          <w:bottom w:val="nil"/>
          <w:right w:val="nil"/>
          <w:between w:val="nil"/>
        </w:pBdr>
        <w:suppressAutoHyphens/>
        <w:spacing w:after="240"/>
        <w:rPr>
          <w:rFonts w:ascii="Arial" w:hAnsi="Arial" w:cs="Arial"/>
          <w:color w:val="000000"/>
        </w:rPr>
      </w:pPr>
      <w:r w:rsidRPr="007D3D67">
        <w:rPr>
          <w:rFonts w:ascii="Arial" w:hAnsi="Arial" w:cs="Arial"/>
          <w:color w:val="000000"/>
        </w:rPr>
        <w:t xml:space="preserve">instructions </w:t>
      </w:r>
      <w:r w:rsidR="0039622C" w:rsidRPr="007D3D67">
        <w:rPr>
          <w:rFonts w:ascii="Arial" w:hAnsi="Arial" w:cs="Arial"/>
          <w:color w:val="000000"/>
        </w:rPr>
        <w:t>to submit</w:t>
      </w:r>
      <w:r w:rsidR="000F77EA">
        <w:rPr>
          <w:rFonts w:ascii="Arial" w:hAnsi="Arial" w:cs="Arial"/>
          <w:color w:val="000000"/>
        </w:rPr>
        <w:t xml:space="preserve"> their Pricing Schedule</w:t>
      </w:r>
      <w:r w:rsidR="00DC4600" w:rsidRPr="007D3D67">
        <w:rPr>
          <w:rFonts w:ascii="Arial" w:hAnsi="Arial" w:cs="Arial"/>
          <w:color w:val="000000"/>
        </w:rPr>
        <w:t>;</w:t>
      </w:r>
    </w:p>
    <w:p w14:paraId="7AED9F2A" w14:textId="1F022EDA" w:rsidR="001065E2" w:rsidRDefault="679C7DE8" w:rsidP="4757B756">
      <w:pPr>
        <w:pStyle w:val="ListParagraph"/>
        <w:numPr>
          <w:ilvl w:val="0"/>
          <w:numId w:val="9"/>
        </w:numPr>
        <w:pBdr>
          <w:top w:val="nil"/>
          <w:left w:val="nil"/>
          <w:bottom w:val="nil"/>
          <w:right w:val="nil"/>
          <w:between w:val="nil"/>
        </w:pBdr>
        <w:suppressAutoHyphens/>
        <w:spacing w:after="240"/>
        <w:rPr>
          <w:rFonts w:ascii="Arial" w:hAnsi="Arial" w:cs="Arial"/>
          <w:color w:val="000000"/>
        </w:rPr>
      </w:pPr>
      <w:r w:rsidRPr="4757B756">
        <w:rPr>
          <w:rFonts w:ascii="Arial" w:hAnsi="Arial" w:cs="Arial"/>
          <w:color w:val="000000" w:themeColor="text2"/>
        </w:rPr>
        <w:t>instructions</w:t>
      </w:r>
      <w:r w:rsidR="2C675954" w:rsidRPr="4757B756">
        <w:rPr>
          <w:rFonts w:ascii="Arial" w:hAnsi="Arial" w:cs="Arial"/>
          <w:color w:val="000000" w:themeColor="text2"/>
        </w:rPr>
        <w:t xml:space="preserve"> to submit a completed Financial Viability Risk Assessment Tool (FVR</w:t>
      </w:r>
      <w:r w:rsidR="5D72B742" w:rsidRPr="4757B756">
        <w:rPr>
          <w:rFonts w:ascii="Arial" w:hAnsi="Arial" w:cs="Arial"/>
          <w:color w:val="000000" w:themeColor="text2"/>
        </w:rPr>
        <w:t>A</w:t>
      </w:r>
      <w:r w:rsidR="2C675954" w:rsidRPr="4757B756">
        <w:rPr>
          <w:rFonts w:ascii="Arial" w:hAnsi="Arial" w:cs="Arial"/>
          <w:color w:val="000000" w:themeColor="text2"/>
        </w:rPr>
        <w:t>)</w:t>
      </w:r>
      <w:r w:rsidR="63F15EF6" w:rsidRPr="4757B756">
        <w:rPr>
          <w:rFonts w:ascii="Arial" w:hAnsi="Arial" w:cs="Arial"/>
          <w:color w:val="000000" w:themeColor="text2"/>
        </w:rPr>
        <w:t>.</w:t>
      </w:r>
      <w:r w:rsidR="001065E2" w:rsidRPr="4757B756">
        <w:rPr>
          <w:rFonts w:ascii="Arial" w:hAnsi="Arial" w:cs="Arial"/>
          <w:color w:val="000000" w:themeColor="text2"/>
        </w:rPr>
        <w:t xml:space="preserve"> </w:t>
      </w:r>
    </w:p>
    <w:p w14:paraId="3C2E2D97" w14:textId="06526922" w:rsidR="001065E2" w:rsidRDefault="00665651" w:rsidP="004E184E">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48hrs prior to the interview, further details will be provided in relation to the details of the technical areas to be evaluated by the Authority</w:t>
      </w:r>
      <w:r w:rsidR="00A91E4A">
        <w:rPr>
          <w:rFonts w:ascii="Arial" w:hAnsi="Arial" w:cs="Arial"/>
          <w:color w:val="000000"/>
        </w:rPr>
        <w:t xml:space="preserve"> as part of the interview process. </w:t>
      </w:r>
    </w:p>
    <w:p w14:paraId="6DADAB77" w14:textId="60FDD8B3" w:rsidR="002E38A6" w:rsidRDefault="002E38A6" w:rsidP="004E184E">
      <w:pPr>
        <w:numPr>
          <w:ilvl w:val="1"/>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Following the interview</w:t>
      </w:r>
      <w:r w:rsidR="00FB4DCB">
        <w:rPr>
          <w:rFonts w:ascii="Arial" w:hAnsi="Arial" w:cs="Arial"/>
          <w:color w:val="000000"/>
        </w:rPr>
        <w:t>s, the Authority will conduct an evaluation of all interview</w:t>
      </w:r>
      <w:r w:rsidR="00136057">
        <w:rPr>
          <w:rFonts w:ascii="Arial" w:hAnsi="Arial" w:cs="Arial"/>
          <w:color w:val="000000"/>
        </w:rPr>
        <w:t xml:space="preserve"> and pricing</w:t>
      </w:r>
      <w:r w:rsidR="00FB4DCB">
        <w:rPr>
          <w:rFonts w:ascii="Arial" w:hAnsi="Arial" w:cs="Arial"/>
          <w:color w:val="000000"/>
        </w:rPr>
        <w:t xml:space="preserve"> responses by suppliers.</w:t>
      </w:r>
    </w:p>
    <w:p w14:paraId="7F769766" w14:textId="3D2B80BE" w:rsidR="00FB4DCB" w:rsidRDefault="2B5C550A" w:rsidP="00FB4DCB">
      <w:pPr>
        <w:numPr>
          <w:ilvl w:val="2"/>
          <w:numId w:val="5"/>
        </w:numPr>
        <w:pBdr>
          <w:top w:val="nil"/>
          <w:left w:val="nil"/>
          <w:bottom w:val="nil"/>
          <w:right w:val="nil"/>
          <w:between w:val="nil"/>
        </w:pBdr>
        <w:suppressAutoHyphens/>
        <w:spacing w:after="240"/>
        <w:rPr>
          <w:rFonts w:ascii="Arial" w:hAnsi="Arial" w:cs="Arial"/>
          <w:color w:val="000000"/>
        </w:rPr>
      </w:pPr>
      <w:r w:rsidRPr="4757B756">
        <w:rPr>
          <w:rFonts w:ascii="Arial" w:hAnsi="Arial" w:cs="Arial"/>
          <w:color w:val="000000" w:themeColor="text2"/>
        </w:rPr>
        <w:t xml:space="preserve">The </w:t>
      </w:r>
      <w:r w:rsidR="00FB4DCB" w:rsidRPr="4757B756">
        <w:rPr>
          <w:rFonts w:ascii="Arial" w:hAnsi="Arial" w:cs="Arial"/>
          <w:color w:val="000000" w:themeColor="text2"/>
        </w:rPr>
        <w:t xml:space="preserve">evaluation </w:t>
      </w:r>
      <w:r w:rsidR="7432E549" w:rsidRPr="4757B756">
        <w:rPr>
          <w:rFonts w:ascii="Arial" w:hAnsi="Arial" w:cs="Arial"/>
          <w:color w:val="000000" w:themeColor="text2"/>
        </w:rPr>
        <w:t xml:space="preserve">for </w:t>
      </w:r>
      <w:r w:rsidR="4B9FC30E" w:rsidRPr="4757B756">
        <w:rPr>
          <w:rFonts w:ascii="Arial" w:hAnsi="Arial" w:cs="Arial"/>
          <w:color w:val="000000" w:themeColor="text2"/>
        </w:rPr>
        <w:t xml:space="preserve">Interviews </w:t>
      </w:r>
      <w:r w:rsidR="00FB4DCB" w:rsidRPr="4757B756">
        <w:rPr>
          <w:rFonts w:ascii="Arial" w:hAnsi="Arial" w:cs="Arial"/>
          <w:color w:val="000000" w:themeColor="text2"/>
        </w:rPr>
        <w:t>will comprise of a minimum of t</w:t>
      </w:r>
      <w:r w:rsidR="0000089B" w:rsidRPr="4757B756">
        <w:rPr>
          <w:rFonts w:ascii="Arial" w:hAnsi="Arial" w:cs="Arial"/>
          <w:color w:val="000000" w:themeColor="text2"/>
        </w:rPr>
        <w:t>hree</w:t>
      </w:r>
      <w:r w:rsidR="00FB4DCB" w:rsidRPr="4757B756">
        <w:rPr>
          <w:rFonts w:ascii="Arial" w:hAnsi="Arial" w:cs="Arial"/>
          <w:color w:val="000000" w:themeColor="text2"/>
        </w:rPr>
        <w:t xml:space="preserve"> (</w:t>
      </w:r>
      <w:r w:rsidR="0000089B" w:rsidRPr="4757B756">
        <w:rPr>
          <w:rFonts w:ascii="Arial" w:hAnsi="Arial" w:cs="Arial"/>
          <w:color w:val="000000" w:themeColor="text2"/>
        </w:rPr>
        <w:t>3</w:t>
      </w:r>
      <w:r w:rsidR="00FB4DCB" w:rsidRPr="4757B756">
        <w:rPr>
          <w:rFonts w:ascii="Arial" w:hAnsi="Arial" w:cs="Arial"/>
          <w:color w:val="000000" w:themeColor="text2"/>
        </w:rPr>
        <w:t xml:space="preserve">) technical experts. </w:t>
      </w:r>
    </w:p>
    <w:p w14:paraId="1BEBDE14" w14:textId="3319CA67" w:rsidR="00FB4DCB" w:rsidRDefault="00FB4DCB" w:rsidP="00FB4DCB">
      <w:pPr>
        <w:numPr>
          <w:ilvl w:val="2"/>
          <w:numId w:val="5"/>
        </w:numPr>
        <w:pBdr>
          <w:top w:val="nil"/>
          <w:left w:val="nil"/>
          <w:bottom w:val="nil"/>
          <w:right w:val="nil"/>
          <w:between w:val="nil"/>
        </w:pBdr>
        <w:suppressAutoHyphens/>
        <w:spacing w:after="240"/>
        <w:rPr>
          <w:rFonts w:ascii="Arial" w:hAnsi="Arial" w:cs="Arial"/>
          <w:color w:val="000000"/>
        </w:rPr>
      </w:pPr>
      <w:r w:rsidRPr="00FB4DCB">
        <w:rPr>
          <w:rFonts w:ascii="Arial" w:hAnsi="Arial" w:cs="Arial"/>
          <w:color w:val="000000"/>
        </w:rPr>
        <w:t xml:space="preserve">Each evaluator will conduct their evaluation individually. Once completed, a moderation meeting will be held where the panel shall reach a consensus on the results, providing a moderated score. </w:t>
      </w:r>
    </w:p>
    <w:p w14:paraId="44894083" w14:textId="00AFC7A0" w:rsidR="0080223B" w:rsidRDefault="0043326D" w:rsidP="0080223B">
      <w:pPr>
        <w:numPr>
          <w:ilvl w:val="2"/>
          <w:numId w:val="5"/>
        </w:numPr>
        <w:pBdr>
          <w:top w:val="nil"/>
          <w:left w:val="nil"/>
          <w:bottom w:val="nil"/>
          <w:right w:val="nil"/>
          <w:between w:val="nil"/>
        </w:pBdr>
        <w:suppressAutoHyphens/>
        <w:spacing w:after="240"/>
        <w:rPr>
          <w:rFonts w:ascii="Arial" w:hAnsi="Arial" w:cs="Arial"/>
          <w:color w:val="000000"/>
        </w:rPr>
      </w:pPr>
      <w:r>
        <w:rPr>
          <w:rFonts w:ascii="Arial" w:hAnsi="Arial" w:cs="Arial"/>
          <w:color w:val="000000"/>
        </w:rPr>
        <w:t xml:space="preserve">This moderated score will then be multiplied by the question weighting to </w:t>
      </w:r>
      <w:r w:rsidR="00835015">
        <w:rPr>
          <w:rFonts w:ascii="Arial" w:hAnsi="Arial" w:cs="Arial"/>
          <w:color w:val="000000"/>
        </w:rPr>
        <w:t xml:space="preserve">generate a weighted score. This will be used to calculate the final score for the supplier as per paragraph </w:t>
      </w:r>
      <w:r w:rsidR="00B26F53">
        <w:rPr>
          <w:rFonts w:ascii="Arial" w:hAnsi="Arial" w:cs="Arial"/>
          <w:color w:val="000000"/>
        </w:rPr>
        <w:t>25</w:t>
      </w:r>
      <w:r w:rsidR="00E11D03">
        <w:rPr>
          <w:rFonts w:ascii="Arial" w:hAnsi="Arial" w:cs="Arial"/>
          <w:color w:val="000000"/>
        </w:rPr>
        <w:t>(</w:t>
      </w:r>
      <w:r w:rsidR="00835015">
        <w:rPr>
          <w:rFonts w:ascii="Arial" w:hAnsi="Arial" w:cs="Arial"/>
          <w:color w:val="000000"/>
        </w:rPr>
        <w:t>e</w:t>
      </w:r>
      <w:r w:rsidR="00E11D03">
        <w:rPr>
          <w:rFonts w:ascii="Arial" w:hAnsi="Arial" w:cs="Arial"/>
          <w:color w:val="000000"/>
        </w:rPr>
        <w:t>)</w:t>
      </w:r>
      <w:r w:rsidR="00835015">
        <w:rPr>
          <w:rFonts w:ascii="Arial" w:hAnsi="Arial" w:cs="Arial"/>
          <w:color w:val="000000"/>
        </w:rPr>
        <w:t>.</w:t>
      </w:r>
    </w:p>
    <w:p w14:paraId="27158E1C" w14:textId="504EACC2" w:rsidR="00751DD5" w:rsidRDefault="00751DD5" w:rsidP="00751DD5">
      <w:pPr>
        <w:numPr>
          <w:ilvl w:val="2"/>
          <w:numId w:val="5"/>
        </w:numPr>
        <w:pBdr>
          <w:top w:val="nil"/>
          <w:left w:val="nil"/>
          <w:bottom w:val="nil"/>
          <w:right w:val="nil"/>
          <w:between w:val="nil"/>
        </w:pBdr>
        <w:suppressAutoHyphens/>
        <w:spacing w:after="120"/>
        <w:rPr>
          <w:rFonts w:ascii="Arial" w:hAnsi="Arial" w:cs="Arial"/>
          <w:color w:val="000000"/>
        </w:rPr>
      </w:pPr>
      <w:r w:rsidRPr="00710CDF">
        <w:rPr>
          <w:rFonts w:ascii="Arial" w:hAnsi="Arial" w:cs="Arial"/>
          <w:color w:val="000000"/>
        </w:rPr>
        <w:t>Th</w:t>
      </w:r>
      <w:r>
        <w:rPr>
          <w:rFonts w:ascii="Arial" w:hAnsi="Arial" w:cs="Arial"/>
          <w:color w:val="000000"/>
        </w:rPr>
        <w:t>e pricing</w:t>
      </w:r>
      <w:r w:rsidRPr="00710CDF">
        <w:rPr>
          <w:rFonts w:ascii="Arial" w:hAnsi="Arial" w:cs="Arial"/>
          <w:color w:val="000000"/>
        </w:rPr>
        <w:t xml:space="preserve"> evaluation will</w:t>
      </w:r>
      <w:r>
        <w:rPr>
          <w:rFonts w:ascii="Arial" w:hAnsi="Arial" w:cs="Arial"/>
          <w:color w:val="000000"/>
        </w:rPr>
        <w:t xml:space="preserve"> be completed independently of the technical evaluation and will</w:t>
      </w:r>
      <w:r w:rsidRPr="00710CDF">
        <w:rPr>
          <w:rFonts w:ascii="Arial" w:hAnsi="Arial" w:cs="Arial"/>
          <w:color w:val="000000"/>
        </w:rPr>
        <w:t xml:space="preserve"> comprise of a minimum of two (2) commercial evaluators</w:t>
      </w:r>
      <w:r>
        <w:rPr>
          <w:rFonts w:ascii="Arial" w:hAnsi="Arial" w:cs="Arial"/>
          <w:color w:val="000000"/>
        </w:rPr>
        <w:t>.</w:t>
      </w:r>
    </w:p>
    <w:p w14:paraId="0432EFCE" w14:textId="7DF2147E" w:rsidR="004D4FAC" w:rsidRPr="00631311" w:rsidRDefault="00751DD5" w:rsidP="00631311">
      <w:pPr>
        <w:numPr>
          <w:ilvl w:val="2"/>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 xml:space="preserve">Following an initial independent review and evaluation, </w:t>
      </w:r>
      <w:r w:rsidR="004D4FAC">
        <w:rPr>
          <w:rFonts w:ascii="Arial" w:hAnsi="Arial" w:cs="Arial"/>
          <w:color w:val="000000"/>
        </w:rPr>
        <w:t xml:space="preserve">the evaluators will come together to confirm scores for the pricing criteria to generate a final score. </w:t>
      </w:r>
    </w:p>
    <w:p w14:paraId="5BCF3771" w14:textId="5E4F192A" w:rsidR="00751DD5" w:rsidRDefault="00631311" w:rsidP="00631311">
      <w:pPr>
        <w:numPr>
          <w:ilvl w:val="2"/>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To note, w</w:t>
      </w:r>
      <w:r w:rsidR="00751DD5" w:rsidRPr="00956AFE">
        <w:rPr>
          <w:rFonts w:ascii="Arial" w:hAnsi="Arial" w:cs="Arial"/>
          <w:color w:val="000000"/>
        </w:rPr>
        <w:t xml:space="preserve">here the Authority considers that a price offered by a Supplier in its tender is abnormally low, the Authority will notify the Supplier and give the Supplier reasonable opportunity to demonstrate that it will be able to perform the contract for the price offered. The Authority will only </w:t>
      </w:r>
      <w:r w:rsidR="00751DD5" w:rsidRPr="00710CDF">
        <w:rPr>
          <w:rFonts w:ascii="Arial" w:hAnsi="Arial" w:cs="Arial"/>
          <w:color w:val="000000"/>
        </w:rPr>
        <w:t>disregard the tender if the Supplier cannot satisfactorily demonstrate that it will be able to perform the Contract for the price offered.</w:t>
      </w:r>
    </w:p>
    <w:p w14:paraId="38FF7F70" w14:textId="69B1D857" w:rsidR="000A15A5" w:rsidRPr="00220C8D" w:rsidRDefault="008A4895" w:rsidP="00220C8D">
      <w:pPr>
        <w:numPr>
          <w:ilvl w:val="2"/>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 xml:space="preserve">Once scores have been confirmed, the final score will then be multiplied by the question weighting to generate a weighted score. </w:t>
      </w:r>
      <w:r w:rsidRPr="008A4895">
        <w:rPr>
          <w:rFonts w:ascii="Arial" w:hAnsi="Arial" w:cs="Arial"/>
          <w:color w:val="000000"/>
        </w:rPr>
        <w:t xml:space="preserve">This will be used to calculate the final score for the supplier as per paragraph </w:t>
      </w:r>
      <w:r w:rsidR="0000269F" w:rsidRPr="008A4895">
        <w:rPr>
          <w:rFonts w:ascii="Arial" w:hAnsi="Arial" w:cs="Arial"/>
          <w:color w:val="000000"/>
        </w:rPr>
        <w:t>2</w:t>
      </w:r>
      <w:r w:rsidR="0000269F">
        <w:rPr>
          <w:rFonts w:ascii="Arial" w:hAnsi="Arial" w:cs="Arial"/>
          <w:color w:val="000000"/>
        </w:rPr>
        <w:t>5</w:t>
      </w:r>
      <w:r w:rsidR="00A25943">
        <w:rPr>
          <w:rFonts w:ascii="Arial" w:hAnsi="Arial" w:cs="Arial"/>
          <w:color w:val="000000"/>
        </w:rPr>
        <w:t>(</w:t>
      </w:r>
      <w:r w:rsidRPr="008A4895">
        <w:rPr>
          <w:rFonts w:ascii="Arial" w:hAnsi="Arial" w:cs="Arial"/>
          <w:color w:val="000000"/>
        </w:rPr>
        <w:t>e</w:t>
      </w:r>
      <w:r w:rsidR="00A25943">
        <w:rPr>
          <w:rFonts w:ascii="Arial" w:hAnsi="Arial" w:cs="Arial"/>
          <w:color w:val="000000"/>
        </w:rPr>
        <w:t>)</w:t>
      </w:r>
      <w:r w:rsidRPr="008A4895">
        <w:rPr>
          <w:rFonts w:ascii="Arial" w:hAnsi="Arial" w:cs="Arial"/>
          <w:color w:val="000000"/>
        </w:rPr>
        <w:t>.</w:t>
      </w:r>
    </w:p>
    <w:p w14:paraId="1DD9FF0B" w14:textId="15087BB8" w:rsidR="004D57C2" w:rsidRPr="00CC47D8" w:rsidRDefault="005578DB" w:rsidP="00CC47D8">
      <w:pPr>
        <w:numPr>
          <w:ilvl w:val="1"/>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T</w:t>
      </w:r>
      <w:r w:rsidRPr="00710CDF">
        <w:rPr>
          <w:rFonts w:ascii="Arial" w:hAnsi="Arial" w:cs="Arial"/>
          <w:color w:val="000000"/>
        </w:rPr>
        <w:t xml:space="preserve">enders will be assessed using the Most Advantageous Tender (MAT) methodology. This involves assessing the supplier on a mixture of technical, social value and price criteria.  </w:t>
      </w:r>
    </w:p>
    <w:p w14:paraId="069BB0E0" w14:textId="51E6C9D6" w:rsidR="005578DB" w:rsidRPr="00710CDF" w:rsidRDefault="7C1A1FD1" w:rsidP="4757B756">
      <w:pPr>
        <w:pBdr>
          <w:top w:val="nil"/>
          <w:left w:val="nil"/>
          <w:bottom w:val="nil"/>
          <w:right w:val="nil"/>
          <w:between w:val="nil"/>
        </w:pBdr>
        <w:suppressAutoHyphens/>
        <w:spacing w:after="120"/>
        <w:ind w:left="1440"/>
        <w:rPr>
          <w:rFonts w:ascii="Arial" w:hAnsi="Arial" w:cs="Arial"/>
          <w:color w:val="000000"/>
        </w:rPr>
      </w:pPr>
      <w:r w:rsidRPr="4757B756">
        <w:rPr>
          <w:rFonts w:ascii="Arial" w:hAnsi="Arial" w:cs="Arial"/>
          <w:color w:val="000000" w:themeColor="text2"/>
        </w:rPr>
        <w:t>The high-level breakdown is as follows:</w:t>
      </w:r>
    </w:p>
    <w:tbl>
      <w:tblPr>
        <w:tblStyle w:val="TableGrid"/>
        <w:tblW w:w="0" w:type="auto"/>
        <w:tblInd w:w="1080" w:type="dxa"/>
        <w:tblLook w:val="04A0" w:firstRow="1" w:lastRow="0" w:firstColumn="1" w:lastColumn="0" w:noHBand="0" w:noVBand="1"/>
      </w:tblPr>
      <w:tblGrid>
        <w:gridCol w:w="4264"/>
        <w:gridCol w:w="4284"/>
      </w:tblGrid>
      <w:tr w:rsidR="005578DB" w:rsidRPr="00710CDF" w14:paraId="74B92EF0" w14:textId="77777777">
        <w:tc>
          <w:tcPr>
            <w:tcW w:w="4814" w:type="dxa"/>
          </w:tcPr>
          <w:p w14:paraId="1DDD2C03" w14:textId="77777777" w:rsidR="005578DB" w:rsidRPr="00710CDF" w:rsidRDefault="005578DB">
            <w:pPr>
              <w:suppressAutoHyphens/>
              <w:spacing w:after="120"/>
              <w:jc w:val="center"/>
              <w:rPr>
                <w:rFonts w:ascii="Arial" w:hAnsi="Arial" w:cs="Arial"/>
                <w:b/>
                <w:bCs/>
                <w:color w:val="000000"/>
                <w:u w:val="single"/>
              </w:rPr>
            </w:pPr>
            <w:r w:rsidRPr="00710CDF">
              <w:rPr>
                <w:rFonts w:ascii="Arial" w:hAnsi="Arial" w:cs="Arial"/>
                <w:b/>
                <w:bCs/>
                <w:color w:val="000000"/>
                <w:u w:val="single"/>
              </w:rPr>
              <w:t>Criteria</w:t>
            </w:r>
          </w:p>
        </w:tc>
        <w:tc>
          <w:tcPr>
            <w:tcW w:w="4814" w:type="dxa"/>
          </w:tcPr>
          <w:p w14:paraId="48EE3021" w14:textId="77777777" w:rsidR="005578DB" w:rsidRPr="00710CDF" w:rsidRDefault="005578DB">
            <w:pPr>
              <w:suppressAutoHyphens/>
              <w:spacing w:after="120"/>
              <w:jc w:val="center"/>
              <w:rPr>
                <w:rFonts w:ascii="Arial" w:hAnsi="Arial" w:cs="Arial"/>
                <w:b/>
                <w:bCs/>
                <w:color w:val="000000"/>
                <w:u w:val="single"/>
              </w:rPr>
            </w:pPr>
            <w:r w:rsidRPr="00710CDF">
              <w:rPr>
                <w:rFonts w:ascii="Arial" w:hAnsi="Arial" w:cs="Arial"/>
                <w:b/>
                <w:bCs/>
                <w:color w:val="000000"/>
                <w:u w:val="single"/>
              </w:rPr>
              <w:t>Weighting</w:t>
            </w:r>
          </w:p>
        </w:tc>
      </w:tr>
      <w:tr w:rsidR="005578DB" w:rsidRPr="00710CDF" w14:paraId="5D04E3AE" w14:textId="77777777">
        <w:tc>
          <w:tcPr>
            <w:tcW w:w="4814" w:type="dxa"/>
          </w:tcPr>
          <w:p w14:paraId="7F4A9BEE" w14:textId="77777777" w:rsidR="005578DB" w:rsidRPr="00710CDF" w:rsidRDefault="005578DB">
            <w:pPr>
              <w:suppressAutoHyphens/>
              <w:spacing w:after="120"/>
              <w:rPr>
                <w:rFonts w:ascii="Arial" w:hAnsi="Arial" w:cs="Arial"/>
                <w:color w:val="000000"/>
              </w:rPr>
            </w:pPr>
            <w:r w:rsidRPr="00710CDF">
              <w:rPr>
                <w:rFonts w:ascii="Arial" w:hAnsi="Arial" w:cs="Arial"/>
                <w:color w:val="000000"/>
              </w:rPr>
              <w:t>Technical (Stage 2 and Stage 3)</w:t>
            </w:r>
          </w:p>
        </w:tc>
        <w:tc>
          <w:tcPr>
            <w:tcW w:w="4814" w:type="dxa"/>
          </w:tcPr>
          <w:p w14:paraId="6C4CE548" w14:textId="17B63805" w:rsidR="005578DB" w:rsidRPr="00710CDF" w:rsidRDefault="005578DB">
            <w:pPr>
              <w:suppressAutoHyphens/>
              <w:spacing w:after="120"/>
              <w:rPr>
                <w:rFonts w:ascii="Arial" w:hAnsi="Arial" w:cs="Arial"/>
                <w:color w:val="000000"/>
              </w:rPr>
            </w:pPr>
            <w:r w:rsidRPr="00710CDF">
              <w:rPr>
                <w:rFonts w:ascii="Arial" w:hAnsi="Arial" w:cs="Arial"/>
                <w:color w:val="000000"/>
              </w:rPr>
              <w:t>80%</w:t>
            </w:r>
            <w:r>
              <w:rPr>
                <w:rFonts w:ascii="Arial" w:hAnsi="Arial" w:cs="Arial"/>
                <w:color w:val="000000"/>
              </w:rPr>
              <w:t xml:space="preserve"> (Stage 2 </w:t>
            </w:r>
            <w:r w:rsidR="00565ACC">
              <w:rPr>
                <w:rFonts w:ascii="Arial" w:hAnsi="Arial" w:cs="Arial"/>
                <w:color w:val="000000"/>
              </w:rPr>
              <w:t>– 50%</w:t>
            </w:r>
            <w:r>
              <w:rPr>
                <w:rFonts w:ascii="Arial" w:hAnsi="Arial" w:cs="Arial"/>
                <w:color w:val="000000"/>
              </w:rPr>
              <w:t xml:space="preserve">   Stage 3 </w:t>
            </w:r>
            <w:r w:rsidR="00565ACC">
              <w:rPr>
                <w:rFonts w:ascii="Arial" w:hAnsi="Arial" w:cs="Arial"/>
                <w:color w:val="000000"/>
              </w:rPr>
              <w:t>–</w:t>
            </w:r>
            <w:r>
              <w:rPr>
                <w:rFonts w:ascii="Arial" w:hAnsi="Arial" w:cs="Arial"/>
                <w:color w:val="000000"/>
              </w:rPr>
              <w:t xml:space="preserve"> </w:t>
            </w:r>
            <w:r w:rsidR="00565ACC">
              <w:rPr>
                <w:rFonts w:ascii="Arial" w:hAnsi="Arial" w:cs="Arial"/>
                <w:color w:val="000000"/>
              </w:rPr>
              <w:t>30</w:t>
            </w:r>
            <w:r w:rsidR="008C6764">
              <w:rPr>
                <w:rFonts w:ascii="Arial" w:hAnsi="Arial" w:cs="Arial"/>
                <w:color w:val="000000"/>
              </w:rPr>
              <w:t>%</w:t>
            </w:r>
          </w:p>
        </w:tc>
      </w:tr>
      <w:tr w:rsidR="005578DB" w:rsidRPr="00710CDF" w14:paraId="648D6E36" w14:textId="77777777">
        <w:tc>
          <w:tcPr>
            <w:tcW w:w="4814" w:type="dxa"/>
          </w:tcPr>
          <w:p w14:paraId="1F9F730A" w14:textId="77777777" w:rsidR="005578DB" w:rsidRPr="00710CDF" w:rsidRDefault="005578DB">
            <w:pPr>
              <w:suppressAutoHyphens/>
              <w:spacing w:after="120"/>
              <w:rPr>
                <w:rFonts w:ascii="Arial" w:hAnsi="Arial" w:cs="Arial"/>
                <w:color w:val="000000"/>
              </w:rPr>
            </w:pPr>
            <w:r w:rsidRPr="00710CDF">
              <w:rPr>
                <w:rFonts w:ascii="Arial" w:hAnsi="Arial" w:cs="Arial"/>
                <w:color w:val="000000"/>
              </w:rPr>
              <w:t>Social Value</w:t>
            </w:r>
            <w:r>
              <w:rPr>
                <w:rFonts w:ascii="Arial" w:hAnsi="Arial" w:cs="Arial"/>
                <w:color w:val="000000"/>
              </w:rPr>
              <w:t xml:space="preserve"> (Stage 2)</w:t>
            </w:r>
          </w:p>
        </w:tc>
        <w:tc>
          <w:tcPr>
            <w:tcW w:w="4814" w:type="dxa"/>
          </w:tcPr>
          <w:p w14:paraId="430CFE88" w14:textId="77777777" w:rsidR="005578DB" w:rsidRPr="00710CDF" w:rsidRDefault="005578DB">
            <w:pPr>
              <w:suppressAutoHyphens/>
              <w:spacing w:after="120"/>
              <w:rPr>
                <w:rFonts w:ascii="Arial" w:hAnsi="Arial" w:cs="Arial"/>
                <w:color w:val="000000"/>
              </w:rPr>
            </w:pPr>
            <w:r w:rsidRPr="00710CDF">
              <w:rPr>
                <w:rFonts w:ascii="Arial" w:hAnsi="Arial" w:cs="Arial"/>
                <w:color w:val="000000"/>
              </w:rPr>
              <w:t>10%</w:t>
            </w:r>
          </w:p>
        </w:tc>
      </w:tr>
      <w:tr w:rsidR="005578DB" w:rsidRPr="00710CDF" w14:paraId="0F1F6655" w14:textId="77777777">
        <w:tc>
          <w:tcPr>
            <w:tcW w:w="4814" w:type="dxa"/>
          </w:tcPr>
          <w:p w14:paraId="20CA0069" w14:textId="77777777" w:rsidR="005578DB" w:rsidRPr="00710CDF" w:rsidRDefault="005578DB">
            <w:pPr>
              <w:suppressAutoHyphens/>
              <w:spacing w:after="120"/>
              <w:rPr>
                <w:rFonts w:ascii="Arial" w:hAnsi="Arial" w:cs="Arial"/>
                <w:color w:val="000000"/>
              </w:rPr>
            </w:pPr>
            <w:r w:rsidRPr="00710CDF">
              <w:rPr>
                <w:rFonts w:ascii="Arial" w:hAnsi="Arial" w:cs="Arial"/>
                <w:color w:val="000000"/>
              </w:rPr>
              <w:t xml:space="preserve">Price </w:t>
            </w:r>
            <w:r>
              <w:rPr>
                <w:rFonts w:ascii="Arial" w:hAnsi="Arial" w:cs="Arial"/>
                <w:color w:val="000000"/>
              </w:rPr>
              <w:t>(Stage 3)</w:t>
            </w:r>
          </w:p>
        </w:tc>
        <w:tc>
          <w:tcPr>
            <w:tcW w:w="4814" w:type="dxa"/>
          </w:tcPr>
          <w:p w14:paraId="007E7A1D" w14:textId="77777777" w:rsidR="005578DB" w:rsidRPr="00710CDF" w:rsidRDefault="005578DB">
            <w:pPr>
              <w:suppressAutoHyphens/>
              <w:spacing w:after="120"/>
              <w:rPr>
                <w:rFonts w:ascii="Arial" w:hAnsi="Arial" w:cs="Arial"/>
                <w:color w:val="000000"/>
              </w:rPr>
            </w:pPr>
            <w:r w:rsidRPr="00710CDF">
              <w:rPr>
                <w:rFonts w:ascii="Arial" w:hAnsi="Arial" w:cs="Arial"/>
                <w:color w:val="000000"/>
              </w:rPr>
              <w:t>10%</w:t>
            </w:r>
          </w:p>
        </w:tc>
      </w:tr>
    </w:tbl>
    <w:p w14:paraId="009CADD8" w14:textId="77777777" w:rsidR="00037EBA" w:rsidRDefault="00037EBA" w:rsidP="00E84602">
      <w:pPr>
        <w:pBdr>
          <w:top w:val="nil"/>
          <w:left w:val="nil"/>
          <w:bottom w:val="nil"/>
          <w:right w:val="nil"/>
          <w:between w:val="nil"/>
        </w:pBdr>
        <w:suppressAutoHyphens/>
        <w:spacing w:after="120"/>
        <w:rPr>
          <w:rFonts w:ascii="Arial" w:hAnsi="Arial" w:cs="Arial"/>
          <w:color w:val="000000"/>
        </w:rPr>
      </w:pPr>
    </w:p>
    <w:p w14:paraId="1153429F" w14:textId="30A6FAA7" w:rsidR="005A4F8E" w:rsidRPr="009E4FBF" w:rsidRDefault="005A4F8E" w:rsidP="00037EBA">
      <w:pPr>
        <w:pBdr>
          <w:top w:val="nil"/>
          <w:left w:val="nil"/>
          <w:bottom w:val="nil"/>
          <w:right w:val="nil"/>
          <w:between w:val="nil"/>
        </w:pBdr>
        <w:suppressAutoHyphens/>
        <w:spacing w:after="120"/>
        <w:ind w:left="720" w:firstLine="720"/>
        <w:rPr>
          <w:rFonts w:ascii="Arial" w:hAnsi="Arial" w:cs="Arial"/>
          <w:b/>
          <w:color w:val="000000"/>
        </w:rPr>
      </w:pPr>
      <w:r>
        <w:rPr>
          <w:rFonts w:ascii="Arial" w:hAnsi="Arial" w:cs="Arial"/>
          <w:color w:val="000000"/>
        </w:rPr>
        <w:t xml:space="preserve">All weighted scores will be added together to generate a </w:t>
      </w:r>
      <w:r w:rsidR="002E2125">
        <w:rPr>
          <w:rFonts w:ascii="Arial" w:hAnsi="Arial" w:cs="Arial"/>
          <w:color w:val="000000"/>
        </w:rPr>
        <w:t>Final Tender</w:t>
      </w:r>
      <w:r>
        <w:rPr>
          <w:rFonts w:ascii="Arial" w:hAnsi="Arial" w:cs="Arial"/>
          <w:color w:val="000000"/>
        </w:rPr>
        <w:t xml:space="preserve"> </w:t>
      </w:r>
      <w:r w:rsidR="00D75268">
        <w:rPr>
          <w:rFonts w:ascii="Arial" w:hAnsi="Arial" w:cs="Arial"/>
          <w:color w:val="000000"/>
        </w:rPr>
        <w:t>S</w:t>
      </w:r>
      <w:r>
        <w:rPr>
          <w:rFonts w:ascii="Arial" w:hAnsi="Arial" w:cs="Arial"/>
          <w:color w:val="000000"/>
        </w:rPr>
        <w:t xml:space="preserve">core. </w:t>
      </w:r>
    </w:p>
    <w:p w14:paraId="5316DF1D" w14:textId="4D4831F7" w:rsidR="00BC6421" w:rsidRDefault="0080223B" w:rsidP="0080223B">
      <w:pPr>
        <w:numPr>
          <w:ilvl w:val="1"/>
          <w:numId w:val="5"/>
        </w:numPr>
        <w:pBdr>
          <w:top w:val="nil"/>
          <w:left w:val="nil"/>
          <w:bottom w:val="nil"/>
          <w:right w:val="nil"/>
          <w:between w:val="nil"/>
        </w:pBdr>
        <w:suppressAutoHyphens/>
        <w:spacing w:after="120"/>
        <w:rPr>
          <w:rFonts w:ascii="Arial" w:hAnsi="Arial" w:cs="Arial"/>
          <w:color w:val="000000"/>
        </w:rPr>
      </w:pPr>
      <w:r w:rsidRPr="006F6D67">
        <w:rPr>
          <w:rFonts w:ascii="Arial" w:hAnsi="Arial" w:cs="Arial"/>
          <w:color w:val="000000"/>
        </w:rPr>
        <w:t xml:space="preserve">The Authority will conduct an assessment of </w:t>
      </w:r>
      <w:r w:rsidR="0084364F">
        <w:rPr>
          <w:rFonts w:ascii="Arial" w:hAnsi="Arial" w:cs="Arial"/>
          <w:color w:val="000000"/>
        </w:rPr>
        <w:t>the Supplier responses</w:t>
      </w:r>
      <w:r w:rsidRPr="006F6D67">
        <w:rPr>
          <w:rFonts w:ascii="Arial" w:hAnsi="Arial" w:cs="Arial"/>
          <w:color w:val="000000"/>
        </w:rPr>
        <w:t xml:space="preserve"> in order to identify the Supplier which has submitted the most advantageous tender in accordance with the assessment methodology and award criteria set out in the </w:t>
      </w:r>
      <w:r>
        <w:rPr>
          <w:rFonts w:ascii="Arial" w:hAnsi="Arial" w:cs="Arial"/>
          <w:color w:val="000000"/>
        </w:rPr>
        <w:t>ITT documentation</w:t>
      </w:r>
      <w:r w:rsidRPr="006F6D67">
        <w:rPr>
          <w:rFonts w:ascii="Arial" w:hAnsi="Arial" w:cs="Arial"/>
          <w:color w:val="000000"/>
        </w:rPr>
        <w:t>.</w:t>
      </w:r>
      <w:r w:rsidR="00163BAF">
        <w:rPr>
          <w:rFonts w:ascii="Arial" w:hAnsi="Arial" w:cs="Arial"/>
          <w:color w:val="000000"/>
        </w:rPr>
        <w:t xml:space="preserve"> </w:t>
      </w:r>
    </w:p>
    <w:p w14:paraId="2A12B48C" w14:textId="333C43C1" w:rsidR="00A6245A" w:rsidRPr="00A6245A" w:rsidRDefault="00163BAF" w:rsidP="00A6245A">
      <w:pPr>
        <w:numPr>
          <w:ilvl w:val="1"/>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 xml:space="preserve">This assessment will take place by </w:t>
      </w:r>
      <w:r w:rsidR="000250AC">
        <w:rPr>
          <w:rFonts w:ascii="Arial" w:hAnsi="Arial" w:cs="Arial"/>
          <w:color w:val="000000"/>
        </w:rPr>
        <w:t xml:space="preserve">assessing the </w:t>
      </w:r>
      <w:r w:rsidR="00A577B5">
        <w:rPr>
          <w:rFonts w:ascii="Arial" w:hAnsi="Arial" w:cs="Arial"/>
          <w:color w:val="000000"/>
        </w:rPr>
        <w:t>Final</w:t>
      </w:r>
      <w:r w:rsidR="002E2125">
        <w:rPr>
          <w:rFonts w:ascii="Arial" w:hAnsi="Arial" w:cs="Arial"/>
          <w:color w:val="000000"/>
        </w:rPr>
        <w:t xml:space="preserve"> Tender</w:t>
      </w:r>
      <w:r w:rsidR="00A577B5">
        <w:rPr>
          <w:rFonts w:ascii="Arial" w:hAnsi="Arial" w:cs="Arial"/>
          <w:color w:val="000000"/>
        </w:rPr>
        <w:t xml:space="preserve"> Scores</w:t>
      </w:r>
      <w:r w:rsidR="000250AC">
        <w:rPr>
          <w:rFonts w:ascii="Arial" w:hAnsi="Arial" w:cs="Arial"/>
          <w:color w:val="000000"/>
        </w:rPr>
        <w:t xml:space="preserve"> awarded to Suppliers</w:t>
      </w:r>
      <w:r w:rsidR="00E573F4">
        <w:rPr>
          <w:rFonts w:ascii="Arial" w:hAnsi="Arial" w:cs="Arial"/>
          <w:color w:val="000000"/>
        </w:rPr>
        <w:t xml:space="preserve">. </w:t>
      </w:r>
      <w:r w:rsidR="0080223B" w:rsidRPr="006F6D67">
        <w:rPr>
          <w:rFonts w:ascii="Arial" w:hAnsi="Arial" w:cs="Arial"/>
          <w:color w:val="000000"/>
        </w:rPr>
        <w:t xml:space="preserve">In carrying out this assessment, the Authority will disregard any tender from a Supplier that does not satisfy the conditions of participation. </w:t>
      </w:r>
    </w:p>
    <w:p w14:paraId="374098F7" w14:textId="77777777" w:rsidR="006E01C6" w:rsidRDefault="006E01C6" w:rsidP="006E01C6">
      <w:pPr>
        <w:pStyle w:val="ListParagraph"/>
        <w:rPr>
          <w:rFonts w:ascii="Arial" w:hAnsi="Arial" w:cs="Arial"/>
          <w:color w:val="000000"/>
        </w:rPr>
      </w:pPr>
    </w:p>
    <w:p w14:paraId="1163A86A" w14:textId="1DC3BE63" w:rsidR="006E01C6" w:rsidRDefault="006E01C6" w:rsidP="0080223B">
      <w:pPr>
        <w:numPr>
          <w:ilvl w:val="1"/>
          <w:numId w:val="5"/>
        </w:numPr>
        <w:pBdr>
          <w:top w:val="nil"/>
          <w:left w:val="nil"/>
          <w:bottom w:val="nil"/>
          <w:right w:val="nil"/>
          <w:between w:val="nil"/>
        </w:pBdr>
        <w:suppressAutoHyphens/>
        <w:spacing w:after="120"/>
        <w:rPr>
          <w:rFonts w:ascii="Arial" w:hAnsi="Arial" w:cs="Arial"/>
          <w:color w:val="000000"/>
        </w:rPr>
      </w:pPr>
      <w:r w:rsidRPr="4757B756">
        <w:rPr>
          <w:rFonts w:ascii="Arial" w:hAnsi="Arial" w:cs="Arial"/>
          <w:color w:val="000000" w:themeColor="text2"/>
        </w:rPr>
        <w:t xml:space="preserve">Suppliers will then be ranked based on their </w:t>
      </w:r>
      <w:r w:rsidR="00E9184F" w:rsidRPr="4757B756">
        <w:rPr>
          <w:rFonts w:ascii="Arial" w:hAnsi="Arial" w:cs="Arial"/>
          <w:color w:val="000000" w:themeColor="text2"/>
        </w:rPr>
        <w:t>Final Tender</w:t>
      </w:r>
      <w:r w:rsidR="000250AC" w:rsidRPr="4757B756">
        <w:rPr>
          <w:rFonts w:ascii="Arial" w:hAnsi="Arial" w:cs="Arial"/>
          <w:color w:val="000000" w:themeColor="text2"/>
        </w:rPr>
        <w:t xml:space="preserve"> </w:t>
      </w:r>
      <w:r w:rsidR="7CF5BB5D" w:rsidRPr="4757B756">
        <w:rPr>
          <w:rFonts w:ascii="Arial" w:hAnsi="Arial" w:cs="Arial"/>
          <w:color w:val="000000" w:themeColor="text2"/>
        </w:rPr>
        <w:t>S</w:t>
      </w:r>
      <w:r w:rsidR="000250AC" w:rsidRPr="4757B756">
        <w:rPr>
          <w:rFonts w:ascii="Arial" w:hAnsi="Arial" w:cs="Arial"/>
          <w:color w:val="000000" w:themeColor="text2"/>
        </w:rPr>
        <w:t>core</w:t>
      </w:r>
      <w:r w:rsidRPr="4757B756">
        <w:rPr>
          <w:rFonts w:ascii="Arial" w:hAnsi="Arial" w:cs="Arial"/>
          <w:color w:val="000000" w:themeColor="text2"/>
        </w:rPr>
        <w:t xml:space="preserve">, </w:t>
      </w:r>
      <w:r w:rsidR="00DD0E05" w:rsidRPr="4757B756">
        <w:rPr>
          <w:rFonts w:ascii="Arial" w:hAnsi="Arial" w:cs="Arial"/>
          <w:color w:val="000000" w:themeColor="text2"/>
        </w:rPr>
        <w:t xml:space="preserve">and subject to paragraph </w:t>
      </w:r>
      <w:r w:rsidR="60A2324D" w:rsidRPr="4757B756">
        <w:rPr>
          <w:rFonts w:ascii="Arial" w:hAnsi="Arial" w:cs="Arial"/>
          <w:color w:val="000000" w:themeColor="text2"/>
        </w:rPr>
        <w:t>25</w:t>
      </w:r>
      <w:r w:rsidR="3F9070B6" w:rsidRPr="4757B756">
        <w:rPr>
          <w:rFonts w:ascii="Arial" w:hAnsi="Arial" w:cs="Arial"/>
          <w:color w:val="000000" w:themeColor="text2"/>
        </w:rPr>
        <w:t>(i)</w:t>
      </w:r>
      <w:r w:rsidR="5056A32D" w:rsidRPr="4757B756">
        <w:rPr>
          <w:rFonts w:ascii="Arial" w:hAnsi="Arial" w:cs="Arial"/>
          <w:color w:val="000000" w:themeColor="text2"/>
        </w:rPr>
        <w:t xml:space="preserve"> and</w:t>
      </w:r>
      <w:r w:rsidR="40DE8CDA" w:rsidRPr="4757B756">
        <w:rPr>
          <w:rFonts w:ascii="Arial" w:hAnsi="Arial" w:cs="Arial"/>
          <w:color w:val="000000" w:themeColor="text2"/>
        </w:rPr>
        <w:t xml:space="preserve"> (25(j</w:t>
      </w:r>
      <w:r w:rsidR="00DD0E05" w:rsidRPr="4757B756">
        <w:rPr>
          <w:rFonts w:ascii="Arial" w:hAnsi="Arial" w:cs="Arial"/>
          <w:color w:val="000000" w:themeColor="text2"/>
        </w:rPr>
        <w:t>) the</w:t>
      </w:r>
      <w:r w:rsidRPr="4757B756">
        <w:rPr>
          <w:rFonts w:ascii="Arial" w:hAnsi="Arial" w:cs="Arial"/>
          <w:color w:val="000000" w:themeColor="text2"/>
        </w:rPr>
        <w:t xml:space="preserve"> </w:t>
      </w:r>
      <w:r w:rsidR="000250AC" w:rsidRPr="4757B756">
        <w:rPr>
          <w:rFonts w:ascii="Arial" w:hAnsi="Arial" w:cs="Arial"/>
          <w:color w:val="000000" w:themeColor="text2"/>
        </w:rPr>
        <w:t xml:space="preserve">five (5) </w:t>
      </w:r>
      <w:r w:rsidRPr="4757B756">
        <w:rPr>
          <w:rFonts w:ascii="Arial" w:hAnsi="Arial" w:cs="Arial"/>
          <w:color w:val="000000" w:themeColor="text2"/>
        </w:rPr>
        <w:t xml:space="preserve">highest scoring </w:t>
      </w:r>
      <w:r w:rsidR="00DD0E05" w:rsidRPr="4757B756">
        <w:rPr>
          <w:rFonts w:ascii="Arial" w:hAnsi="Arial" w:cs="Arial"/>
          <w:color w:val="000000" w:themeColor="text2"/>
        </w:rPr>
        <w:t>S</w:t>
      </w:r>
      <w:r w:rsidR="00FC3582" w:rsidRPr="4757B756">
        <w:rPr>
          <w:rFonts w:ascii="Arial" w:hAnsi="Arial" w:cs="Arial"/>
          <w:color w:val="000000" w:themeColor="text2"/>
        </w:rPr>
        <w:t xml:space="preserve">uppliers who have met all </w:t>
      </w:r>
      <w:r w:rsidR="26836724" w:rsidRPr="4757B756">
        <w:rPr>
          <w:rFonts w:ascii="Arial" w:hAnsi="Arial" w:cs="Arial"/>
          <w:color w:val="000000" w:themeColor="text2"/>
        </w:rPr>
        <w:t>the</w:t>
      </w:r>
      <w:r w:rsidR="00FC3582" w:rsidRPr="4757B756">
        <w:rPr>
          <w:rFonts w:ascii="Arial" w:hAnsi="Arial" w:cs="Arial"/>
          <w:color w:val="000000" w:themeColor="text2"/>
        </w:rPr>
        <w:t xml:space="preserve"> criteria </w:t>
      </w:r>
      <w:r w:rsidR="00DD0E05" w:rsidRPr="4757B756">
        <w:rPr>
          <w:rFonts w:ascii="Arial" w:hAnsi="Arial" w:cs="Arial"/>
          <w:color w:val="000000" w:themeColor="text2"/>
        </w:rPr>
        <w:t>will be</w:t>
      </w:r>
      <w:r w:rsidR="00FC3582" w:rsidRPr="4757B756">
        <w:rPr>
          <w:rFonts w:ascii="Arial" w:hAnsi="Arial" w:cs="Arial"/>
          <w:color w:val="000000" w:themeColor="text2"/>
        </w:rPr>
        <w:t xml:space="preserve"> offered a place on the framework. </w:t>
      </w:r>
      <w:r w:rsidR="3776940F" w:rsidRPr="4757B756">
        <w:rPr>
          <w:rFonts w:ascii="Arial" w:hAnsi="Arial" w:cs="Arial"/>
          <w:color w:val="000000" w:themeColor="text2"/>
        </w:rPr>
        <w:t xml:space="preserve">The Authority reserves the right to offer a place to less than five (5) </w:t>
      </w:r>
      <w:r w:rsidR="4278337E" w:rsidRPr="4757B756">
        <w:rPr>
          <w:rFonts w:ascii="Arial" w:hAnsi="Arial" w:cs="Arial"/>
          <w:color w:val="000000" w:themeColor="text2"/>
        </w:rPr>
        <w:t xml:space="preserve">Suppliers </w:t>
      </w:r>
      <w:r w:rsidR="671C1EC6" w:rsidRPr="4757B756">
        <w:rPr>
          <w:rFonts w:ascii="Arial" w:hAnsi="Arial" w:cs="Arial"/>
          <w:color w:val="000000" w:themeColor="text2"/>
        </w:rPr>
        <w:t>subject to</w:t>
      </w:r>
      <w:r w:rsidR="340F7783" w:rsidRPr="4757B756">
        <w:rPr>
          <w:rFonts w:ascii="Arial" w:hAnsi="Arial" w:cs="Arial"/>
          <w:color w:val="000000" w:themeColor="text2"/>
        </w:rPr>
        <w:t xml:space="preserve"> </w:t>
      </w:r>
      <w:r w:rsidR="4A4D564F" w:rsidRPr="4757B756">
        <w:rPr>
          <w:rFonts w:ascii="Arial" w:hAnsi="Arial" w:cs="Arial"/>
          <w:color w:val="000000" w:themeColor="text2"/>
        </w:rPr>
        <w:t>the</w:t>
      </w:r>
      <w:r w:rsidR="4F995B14" w:rsidRPr="4757B756">
        <w:rPr>
          <w:rFonts w:ascii="Arial" w:hAnsi="Arial" w:cs="Arial"/>
          <w:color w:val="000000" w:themeColor="text2"/>
        </w:rPr>
        <w:t xml:space="preserve"> </w:t>
      </w:r>
      <w:r w:rsidR="4A4D564F" w:rsidRPr="4757B756">
        <w:rPr>
          <w:rFonts w:ascii="Arial" w:hAnsi="Arial" w:cs="Arial"/>
          <w:color w:val="000000" w:themeColor="text2"/>
        </w:rPr>
        <w:t>number</w:t>
      </w:r>
      <w:r w:rsidR="5AC7C8FC" w:rsidRPr="4757B756">
        <w:rPr>
          <w:rFonts w:ascii="Arial" w:hAnsi="Arial" w:cs="Arial"/>
          <w:color w:val="000000" w:themeColor="text2"/>
        </w:rPr>
        <w:t xml:space="preserve"> of Suppliers</w:t>
      </w:r>
      <w:r w:rsidR="2EF12C9A" w:rsidRPr="4757B756">
        <w:rPr>
          <w:rFonts w:ascii="Arial" w:hAnsi="Arial" w:cs="Arial"/>
          <w:color w:val="000000" w:themeColor="text2"/>
        </w:rPr>
        <w:t xml:space="preserve"> </w:t>
      </w:r>
      <w:r w:rsidR="275ADC05" w:rsidRPr="4757B756">
        <w:rPr>
          <w:rFonts w:ascii="Arial" w:hAnsi="Arial" w:cs="Arial"/>
          <w:color w:val="000000" w:themeColor="text2"/>
        </w:rPr>
        <w:t xml:space="preserve">who </w:t>
      </w:r>
      <w:r w:rsidR="6A49EDD7" w:rsidRPr="4757B756">
        <w:rPr>
          <w:rFonts w:ascii="Arial" w:hAnsi="Arial" w:cs="Arial"/>
          <w:color w:val="000000" w:themeColor="text2"/>
        </w:rPr>
        <w:t xml:space="preserve">meet all </w:t>
      </w:r>
      <w:r w:rsidR="2F198450" w:rsidRPr="4757B756">
        <w:rPr>
          <w:rFonts w:ascii="Arial" w:hAnsi="Arial" w:cs="Arial"/>
          <w:color w:val="000000" w:themeColor="text2"/>
        </w:rPr>
        <w:t>the required criteria</w:t>
      </w:r>
      <w:r w:rsidR="3A1CE06E" w:rsidRPr="4757B756">
        <w:rPr>
          <w:rFonts w:ascii="Arial" w:hAnsi="Arial" w:cs="Arial"/>
          <w:color w:val="000000" w:themeColor="text2"/>
        </w:rPr>
        <w:t xml:space="preserve"> at this stage</w:t>
      </w:r>
      <w:r w:rsidR="2F198450" w:rsidRPr="4757B756">
        <w:rPr>
          <w:rFonts w:ascii="Arial" w:hAnsi="Arial" w:cs="Arial"/>
          <w:color w:val="000000" w:themeColor="text2"/>
        </w:rPr>
        <w:t xml:space="preserve">. </w:t>
      </w:r>
    </w:p>
    <w:p w14:paraId="5B74E527" w14:textId="77777777" w:rsidR="000250AC" w:rsidRDefault="000250AC" w:rsidP="000250AC">
      <w:pPr>
        <w:pStyle w:val="ListParagraph"/>
        <w:rPr>
          <w:rFonts w:ascii="Arial" w:hAnsi="Arial" w:cs="Arial"/>
          <w:color w:val="000000"/>
        </w:rPr>
      </w:pPr>
    </w:p>
    <w:p w14:paraId="3EE83AB7" w14:textId="22C4A7B2" w:rsidR="007D3041" w:rsidRPr="00CE41D9" w:rsidRDefault="00E76DF7" w:rsidP="4757B756">
      <w:pPr>
        <w:pStyle w:val="ListParagraph"/>
        <w:numPr>
          <w:ilvl w:val="1"/>
          <w:numId w:val="5"/>
        </w:numPr>
        <w:pBdr>
          <w:top w:val="nil"/>
          <w:left w:val="nil"/>
          <w:bottom w:val="nil"/>
          <w:right w:val="nil"/>
          <w:between w:val="nil"/>
        </w:pBdr>
        <w:suppressAutoHyphens/>
        <w:spacing w:after="120"/>
        <w:rPr>
          <w:rFonts w:ascii="Arial" w:hAnsi="Arial" w:cs="Arial"/>
          <w:color w:val="000000"/>
        </w:rPr>
      </w:pPr>
      <w:r w:rsidRPr="4757B756">
        <w:rPr>
          <w:rFonts w:ascii="Arial" w:hAnsi="Arial" w:cs="Arial"/>
          <w:color w:val="000000" w:themeColor="text2"/>
        </w:rPr>
        <w:t xml:space="preserve">Should </w:t>
      </w:r>
      <w:r w:rsidR="7545739F" w:rsidRPr="4757B756">
        <w:rPr>
          <w:rFonts w:ascii="Arial" w:hAnsi="Arial" w:cs="Arial"/>
          <w:color w:val="000000" w:themeColor="text2"/>
        </w:rPr>
        <w:t xml:space="preserve">there be </w:t>
      </w:r>
      <w:r w:rsidRPr="4757B756">
        <w:rPr>
          <w:rFonts w:ascii="Arial" w:hAnsi="Arial" w:cs="Arial"/>
          <w:color w:val="000000" w:themeColor="text2"/>
        </w:rPr>
        <w:t>a tie</w:t>
      </w:r>
      <w:r w:rsidR="000C53E6" w:rsidRPr="4757B756">
        <w:rPr>
          <w:rFonts w:ascii="Arial" w:hAnsi="Arial" w:cs="Arial"/>
          <w:color w:val="000000" w:themeColor="text2"/>
        </w:rPr>
        <w:t xml:space="preserve"> in scores </w:t>
      </w:r>
      <w:r w:rsidR="7545739F" w:rsidRPr="4757B756">
        <w:rPr>
          <w:rFonts w:ascii="Arial" w:hAnsi="Arial" w:cs="Arial"/>
          <w:color w:val="000000" w:themeColor="text2"/>
        </w:rPr>
        <w:t>for 5</w:t>
      </w:r>
      <w:r w:rsidR="7545739F" w:rsidRPr="4757B756">
        <w:rPr>
          <w:rFonts w:ascii="Arial" w:hAnsi="Arial" w:cs="Arial"/>
          <w:color w:val="000000" w:themeColor="text2"/>
          <w:vertAlign w:val="superscript"/>
        </w:rPr>
        <w:t>th</w:t>
      </w:r>
      <w:r w:rsidR="7545739F" w:rsidRPr="4757B756">
        <w:rPr>
          <w:rFonts w:ascii="Arial" w:hAnsi="Arial" w:cs="Arial"/>
          <w:color w:val="000000" w:themeColor="text2"/>
        </w:rPr>
        <w:t xml:space="preserve"> pl</w:t>
      </w:r>
      <w:r w:rsidR="6084FCFB" w:rsidRPr="4757B756">
        <w:rPr>
          <w:rFonts w:ascii="Arial" w:hAnsi="Arial" w:cs="Arial"/>
          <w:color w:val="000000" w:themeColor="text2"/>
        </w:rPr>
        <w:t>ace</w:t>
      </w:r>
      <w:r w:rsidR="000C53E6" w:rsidRPr="4757B756">
        <w:rPr>
          <w:rFonts w:ascii="Arial" w:hAnsi="Arial" w:cs="Arial"/>
          <w:color w:val="000000" w:themeColor="text2"/>
        </w:rPr>
        <w:t>, the</w:t>
      </w:r>
      <w:r w:rsidR="000250AC" w:rsidRPr="4757B756">
        <w:rPr>
          <w:rFonts w:ascii="Arial" w:hAnsi="Arial" w:cs="Arial"/>
          <w:color w:val="000000" w:themeColor="text2"/>
        </w:rPr>
        <w:t xml:space="preserve"> Authority reserves the right to </w:t>
      </w:r>
      <w:r w:rsidR="7D946999" w:rsidRPr="4757B756">
        <w:rPr>
          <w:rFonts w:ascii="Arial" w:hAnsi="Arial" w:cs="Arial"/>
          <w:color w:val="000000" w:themeColor="text2"/>
        </w:rPr>
        <w:t>offer a</w:t>
      </w:r>
      <w:r w:rsidR="361FCD02" w:rsidRPr="4757B756">
        <w:rPr>
          <w:rFonts w:ascii="Arial" w:hAnsi="Arial" w:cs="Arial"/>
          <w:color w:val="000000" w:themeColor="text2"/>
        </w:rPr>
        <w:t xml:space="preserve"> place to the Supplier who achieved the </w:t>
      </w:r>
      <w:r w:rsidR="453543D4" w:rsidRPr="4757B756">
        <w:rPr>
          <w:rFonts w:ascii="Arial" w:hAnsi="Arial" w:cs="Arial"/>
          <w:color w:val="000000" w:themeColor="text2"/>
        </w:rPr>
        <w:t xml:space="preserve">higher combined </w:t>
      </w:r>
      <w:r w:rsidR="3E4A6848" w:rsidRPr="45D2280B">
        <w:rPr>
          <w:rFonts w:ascii="Arial" w:hAnsi="Arial" w:cs="Arial"/>
          <w:color w:val="000000" w:themeColor="text2"/>
        </w:rPr>
        <w:t xml:space="preserve">technical </w:t>
      </w:r>
      <w:r w:rsidR="453543D4" w:rsidRPr="4757B756">
        <w:rPr>
          <w:rFonts w:ascii="Arial" w:hAnsi="Arial" w:cs="Arial"/>
          <w:color w:val="000000" w:themeColor="text2"/>
        </w:rPr>
        <w:t xml:space="preserve">score </w:t>
      </w:r>
      <w:r w:rsidR="120837E2" w:rsidRPr="4757B756">
        <w:rPr>
          <w:rFonts w:ascii="Arial" w:hAnsi="Arial" w:cs="Arial"/>
          <w:color w:val="000000" w:themeColor="text2"/>
        </w:rPr>
        <w:t>for Stages 2 and 3</w:t>
      </w:r>
      <w:r w:rsidR="26684AD1" w:rsidRPr="4757B756">
        <w:rPr>
          <w:rFonts w:ascii="Arial" w:hAnsi="Arial" w:cs="Arial"/>
          <w:color w:val="000000" w:themeColor="text2"/>
        </w:rPr>
        <w:t>.</w:t>
      </w:r>
      <w:r w:rsidR="7545739F">
        <w:t xml:space="preserve"> </w:t>
      </w:r>
    </w:p>
    <w:p w14:paraId="4FB42347" w14:textId="77777777" w:rsidR="001E6B22" w:rsidRPr="00E54FFC" w:rsidRDefault="001E6B22" w:rsidP="00E54FFC">
      <w:pPr>
        <w:pStyle w:val="ListParagraph"/>
        <w:rPr>
          <w:rFonts w:ascii="Arial" w:hAnsi="Arial" w:cs="Arial"/>
          <w:color w:val="000000"/>
        </w:rPr>
      </w:pPr>
    </w:p>
    <w:p w14:paraId="4817FDEA" w14:textId="05753C32" w:rsidR="000250AC" w:rsidRDefault="002D7110" w:rsidP="00E54FFC">
      <w:pPr>
        <w:pStyle w:val="ListParagraph"/>
        <w:numPr>
          <w:ilvl w:val="1"/>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 xml:space="preserve">Notwithstanding </w:t>
      </w:r>
      <w:r w:rsidR="000D4C16">
        <w:rPr>
          <w:rFonts w:ascii="Arial" w:hAnsi="Arial" w:cs="Arial"/>
          <w:color w:val="000000"/>
        </w:rPr>
        <w:t>paragraph 24(i), t</w:t>
      </w:r>
      <w:r>
        <w:rPr>
          <w:rFonts w:ascii="Arial" w:hAnsi="Arial" w:cs="Arial"/>
          <w:color w:val="000000"/>
        </w:rPr>
        <w:t xml:space="preserve">he Authority reserves the right to </w:t>
      </w:r>
      <w:r w:rsidR="00E41FDB">
        <w:rPr>
          <w:rFonts w:ascii="Arial" w:hAnsi="Arial" w:cs="Arial"/>
          <w:color w:val="000000"/>
        </w:rPr>
        <w:t xml:space="preserve">increase the number of </w:t>
      </w:r>
      <w:r w:rsidR="000C53E6">
        <w:rPr>
          <w:rFonts w:ascii="Arial" w:hAnsi="Arial" w:cs="Arial"/>
          <w:color w:val="000000"/>
        </w:rPr>
        <w:t>S</w:t>
      </w:r>
      <w:r w:rsidR="00E41FDB">
        <w:rPr>
          <w:rFonts w:ascii="Arial" w:hAnsi="Arial" w:cs="Arial"/>
          <w:color w:val="000000"/>
        </w:rPr>
        <w:t xml:space="preserve">uppliers </w:t>
      </w:r>
      <w:r w:rsidR="00E76DF7">
        <w:rPr>
          <w:rFonts w:ascii="Arial" w:hAnsi="Arial" w:cs="Arial"/>
          <w:color w:val="000000"/>
        </w:rPr>
        <w:t>offered a place on the framework</w:t>
      </w:r>
      <w:r w:rsidRPr="00AD3F5F">
        <w:rPr>
          <w:rFonts w:ascii="Arial" w:hAnsi="Arial" w:cs="Arial"/>
          <w:color w:val="000000"/>
        </w:rPr>
        <w:t xml:space="preserve"> if it deems reasonable to do so.</w:t>
      </w:r>
    </w:p>
    <w:p w14:paraId="222226A9" w14:textId="77777777" w:rsidR="00EF1953" w:rsidRDefault="00EF1953" w:rsidP="00EF1953">
      <w:pPr>
        <w:pStyle w:val="ListParagraph"/>
        <w:rPr>
          <w:rFonts w:ascii="Arial" w:hAnsi="Arial" w:cs="Arial"/>
          <w:color w:val="000000"/>
        </w:rPr>
      </w:pPr>
    </w:p>
    <w:p w14:paraId="13042C3F" w14:textId="1F57E839" w:rsidR="00EF1953" w:rsidRDefault="00EF1953" w:rsidP="0080223B">
      <w:pPr>
        <w:numPr>
          <w:ilvl w:val="1"/>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Suppliers will be asked to submit a</w:t>
      </w:r>
      <w:r w:rsidR="0029458C">
        <w:rPr>
          <w:rFonts w:ascii="Arial" w:hAnsi="Arial" w:cs="Arial"/>
          <w:color w:val="000000"/>
        </w:rPr>
        <w:t xml:space="preserve"> completed</w:t>
      </w:r>
      <w:r>
        <w:rPr>
          <w:rFonts w:ascii="Arial" w:hAnsi="Arial" w:cs="Arial"/>
          <w:color w:val="000000"/>
        </w:rPr>
        <w:t xml:space="preserve"> Financial </w:t>
      </w:r>
      <w:r w:rsidR="0029458C">
        <w:rPr>
          <w:rFonts w:ascii="Arial" w:hAnsi="Arial" w:cs="Arial"/>
          <w:color w:val="000000"/>
        </w:rPr>
        <w:t>Viability Risk Assessment Tool (FV</w:t>
      </w:r>
      <w:r w:rsidR="00F91E32">
        <w:rPr>
          <w:rFonts w:ascii="Arial" w:hAnsi="Arial" w:cs="Arial"/>
          <w:color w:val="000000"/>
        </w:rPr>
        <w:t>RT)</w:t>
      </w:r>
      <w:r w:rsidR="000D4C16">
        <w:rPr>
          <w:rFonts w:ascii="Arial" w:hAnsi="Arial" w:cs="Arial"/>
          <w:color w:val="000000"/>
        </w:rPr>
        <w:t xml:space="preserve"> at this stage</w:t>
      </w:r>
      <w:r w:rsidR="00F91E32">
        <w:rPr>
          <w:rFonts w:ascii="Arial" w:hAnsi="Arial" w:cs="Arial"/>
          <w:color w:val="000000"/>
        </w:rPr>
        <w:t xml:space="preserve">. </w:t>
      </w:r>
      <w:r w:rsidR="00FA7FD0">
        <w:rPr>
          <w:rFonts w:ascii="Arial" w:hAnsi="Arial" w:cs="Arial"/>
          <w:color w:val="000000"/>
        </w:rPr>
        <w:t>This is to conduct a more in-depth financial and economic assessment of the supplier</w:t>
      </w:r>
      <w:r w:rsidR="00CF4763">
        <w:rPr>
          <w:rFonts w:ascii="Arial" w:hAnsi="Arial" w:cs="Arial"/>
          <w:color w:val="000000"/>
        </w:rPr>
        <w:t xml:space="preserve">. Details of how to complete this and the required parameters will be issued with the ITT documentation. </w:t>
      </w:r>
    </w:p>
    <w:p w14:paraId="2C110E08" w14:textId="77777777" w:rsidR="0080223B" w:rsidRPr="0080223B" w:rsidRDefault="0080223B" w:rsidP="0080223B"/>
    <w:p w14:paraId="389C1BEC" w14:textId="2B39F145" w:rsidR="00956AFE" w:rsidRDefault="00956AFE" w:rsidP="00956AFE">
      <w:pPr>
        <w:numPr>
          <w:ilvl w:val="1"/>
          <w:numId w:val="5"/>
        </w:numPr>
        <w:pBdr>
          <w:top w:val="nil"/>
          <w:left w:val="nil"/>
          <w:bottom w:val="nil"/>
          <w:right w:val="nil"/>
          <w:between w:val="nil"/>
        </w:pBdr>
        <w:suppressAutoHyphens/>
        <w:spacing w:after="120"/>
        <w:rPr>
          <w:rFonts w:ascii="Arial" w:hAnsi="Arial" w:cs="Arial"/>
          <w:color w:val="000000"/>
        </w:rPr>
      </w:pPr>
      <w:r w:rsidRPr="4757B756">
        <w:rPr>
          <w:rFonts w:ascii="Arial" w:hAnsi="Arial" w:cs="Arial"/>
          <w:color w:val="000000" w:themeColor="text2"/>
        </w:rPr>
        <w:t xml:space="preserve">Once the assessment has concluded, the Authority will provide an assessment summary to all Suppliers that </w:t>
      </w:r>
      <w:r w:rsidR="00FC3582" w:rsidRPr="4757B756">
        <w:rPr>
          <w:rFonts w:ascii="Arial" w:hAnsi="Arial" w:cs="Arial"/>
          <w:color w:val="000000" w:themeColor="text2"/>
        </w:rPr>
        <w:t>were invited to Stage 3: Interview</w:t>
      </w:r>
      <w:r w:rsidR="7CBA6642" w:rsidRPr="4757B756">
        <w:rPr>
          <w:rFonts w:ascii="Arial" w:hAnsi="Arial" w:cs="Arial"/>
          <w:color w:val="000000" w:themeColor="text2"/>
        </w:rPr>
        <w:t xml:space="preserve"> and Pricing</w:t>
      </w:r>
      <w:r w:rsidR="00812A17" w:rsidRPr="4757B756">
        <w:rPr>
          <w:rFonts w:ascii="Arial" w:hAnsi="Arial" w:cs="Arial"/>
          <w:color w:val="000000" w:themeColor="text2"/>
        </w:rPr>
        <w:t xml:space="preserve">, which </w:t>
      </w:r>
      <w:r w:rsidR="00EA4CDC" w:rsidRPr="4757B756">
        <w:rPr>
          <w:rFonts w:ascii="Arial" w:hAnsi="Arial" w:cs="Arial"/>
          <w:color w:val="000000" w:themeColor="text2"/>
        </w:rPr>
        <w:t>will</w:t>
      </w:r>
      <w:r w:rsidR="00812A17" w:rsidRPr="4757B756">
        <w:rPr>
          <w:rFonts w:ascii="Arial" w:hAnsi="Arial" w:cs="Arial"/>
          <w:color w:val="000000" w:themeColor="text2"/>
        </w:rPr>
        <w:t xml:space="preserve"> </w:t>
      </w:r>
      <w:r w:rsidR="008729DF" w:rsidRPr="4757B756">
        <w:rPr>
          <w:rFonts w:ascii="Arial" w:hAnsi="Arial" w:cs="Arial"/>
          <w:color w:val="000000" w:themeColor="text2"/>
        </w:rPr>
        <w:t>contain the following information</w:t>
      </w:r>
      <w:r w:rsidRPr="4757B756">
        <w:rPr>
          <w:rFonts w:ascii="Arial" w:hAnsi="Arial" w:cs="Arial"/>
          <w:color w:val="000000" w:themeColor="text2"/>
        </w:rPr>
        <w:t>:</w:t>
      </w:r>
    </w:p>
    <w:p w14:paraId="6CD97C13" w14:textId="77777777" w:rsidR="00956AFE" w:rsidRDefault="00956AFE" w:rsidP="00956AFE">
      <w:pPr>
        <w:numPr>
          <w:ilvl w:val="2"/>
          <w:numId w:val="5"/>
        </w:numPr>
        <w:pBdr>
          <w:top w:val="nil"/>
          <w:left w:val="nil"/>
          <w:bottom w:val="nil"/>
          <w:right w:val="nil"/>
          <w:between w:val="nil"/>
        </w:pBdr>
        <w:suppressAutoHyphens/>
        <w:spacing w:after="120"/>
        <w:rPr>
          <w:rFonts w:ascii="Arial" w:hAnsi="Arial" w:cs="Arial"/>
          <w:color w:val="000000"/>
        </w:rPr>
      </w:pPr>
      <w:r w:rsidRPr="00956AFE">
        <w:rPr>
          <w:rFonts w:ascii="Arial" w:hAnsi="Arial" w:cs="Arial"/>
          <w:color w:val="000000"/>
        </w:rPr>
        <w:t>inform them whether they have been successful in being awarded the Contract</w:t>
      </w:r>
    </w:p>
    <w:p w14:paraId="39D49FF9" w14:textId="77777777" w:rsidR="00956AFE" w:rsidRDefault="00956AFE" w:rsidP="00956AFE">
      <w:pPr>
        <w:numPr>
          <w:ilvl w:val="2"/>
          <w:numId w:val="5"/>
        </w:numPr>
        <w:pBdr>
          <w:top w:val="nil"/>
          <w:left w:val="nil"/>
          <w:bottom w:val="nil"/>
          <w:right w:val="nil"/>
          <w:between w:val="nil"/>
        </w:pBdr>
        <w:suppressAutoHyphens/>
        <w:spacing w:after="120"/>
        <w:rPr>
          <w:rFonts w:ascii="Arial" w:hAnsi="Arial" w:cs="Arial"/>
          <w:color w:val="000000"/>
        </w:rPr>
      </w:pPr>
      <w:r w:rsidRPr="00956AFE">
        <w:rPr>
          <w:rFonts w:ascii="Arial" w:hAnsi="Arial" w:cs="Arial"/>
          <w:color w:val="000000"/>
        </w:rPr>
        <w:t>provide an explanation of the assessment of the Supplier’s tender against the relevant award criteria, in accordance with the requirements of the Act</w:t>
      </w:r>
    </w:p>
    <w:p w14:paraId="04B05C62" w14:textId="77777777" w:rsidR="00956AFE" w:rsidRDefault="00956AFE" w:rsidP="00956AFE">
      <w:pPr>
        <w:numPr>
          <w:ilvl w:val="2"/>
          <w:numId w:val="5"/>
        </w:numPr>
        <w:pBdr>
          <w:top w:val="nil"/>
          <w:left w:val="nil"/>
          <w:bottom w:val="nil"/>
          <w:right w:val="nil"/>
          <w:between w:val="nil"/>
        </w:pBdr>
        <w:suppressAutoHyphens/>
        <w:spacing w:after="120"/>
        <w:rPr>
          <w:rFonts w:ascii="Arial" w:hAnsi="Arial" w:cs="Arial"/>
          <w:color w:val="000000"/>
        </w:rPr>
      </w:pPr>
      <w:r w:rsidRPr="00956AFE">
        <w:rPr>
          <w:rFonts w:ascii="Arial" w:hAnsi="Arial" w:cs="Arial"/>
          <w:color w:val="000000"/>
        </w:rPr>
        <w:t xml:space="preserve">where different to the Supplier concerned, provide information in respect of the most advantageous tender submitted, including details of the assessment of this tender against the relevant award criteria and the Supplier’s name </w:t>
      </w:r>
    </w:p>
    <w:p w14:paraId="563FD666" w14:textId="6F08419B" w:rsidR="00956AFE" w:rsidRDefault="00B7634E" w:rsidP="00956AFE">
      <w:pPr>
        <w:numPr>
          <w:ilvl w:val="1"/>
          <w:numId w:val="5"/>
        </w:numPr>
        <w:pBdr>
          <w:top w:val="nil"/>
          <w:left w:val="nil"/>
          <w:bottom w:val="nil"/>
          <w:right w:val="nil"/>
          <w:between w:val="nil"/>
        </w:pBdr>
        <w:suppressAutoHyphens/>
        <w:spacing w:after="120"/>
        <w:rPr>
          <w:rFonts w:ascii="Arial" w:hAnsi="Arial" w:cs="Arial"/>
          <w:color w:val="000000"/>
        </w:rPr>
      </w:pPr>
      <w:r w:rsidRPr="4757B756">
        <w:rPr>
          <w:rFonts w:ascii="Arial" w:hAnsi="Arial" w:cs="Arial"/>
          <w:color w:val="000000" w:themeColor="text2"/>
        </w:rPr>
        <w:t xml:space="preserve">Once the assessment summaries have been provided to the Suppliers that </w:t>
      </w:r>
      <w:r w:rsidR="00116ED1" w:rsidRPr="4757B756">
        <w:rPr>
          <w:rFonts w:ascii="Arial" w:hAnsi="Arial" w:cs="Arial"/>
          <w:color w:val="000000" w:themeColor="text2"/>
        </w:rPr>
        <w:t>participated in Stage 3: Interview</w:t>
      </w:r>
      <w:r w:rsidR="6BF26211" w:rsidRPr="4757B756">
        <w:rPr>
          <w:rFonts w:ascii="Arial" w:hAnsi="Arial" w:cs="Arial"/>
          <w:color w:val="000000" w:themeColor="text2"/>
        </w:rPr>
        <w:t xml:space="preserve"> and Pricing</w:t>
      </w:r>
      <w:r w:rsidRPr="4757B756">
        <w:rPr>
          <w:rFonts w:ascii="Arial" w:hAnsi="Arial" w:cs="Arial"/>
          <w:color w:val="000000" w:themeColor="text2"/>
        </w:rPr>
        <w:t>, the Authority will also publish a contract award notice on the Central Digital Platform to commence the mandatory standstill period.</w:t>
      </w:r>
    </w:p>
    <w:p w14:paraId="7A146BDE" w14:textId="7958B343" w:rsidR="005E7763" w:rsidRPr="00EF5C72" w:rsidRDefault="00B7634E" w:rsidP="00EF5C72">
      <w:pPr>
        <w:numPr>
          <w:ilvl w:val="1"/>
          <w:numId w:val="5"/>
        </w:numPr>
        <w:pBdr>
          <w:top w:val="nil"/>
          <w:left w:val="nil"/>
          <w:bottom w:val="nil"/>
          <w:right w:val="nil"/>
          <w:between w:val="nil"/>
        </w:pBdr>
        <w:suppressAutoHyphens/>
        <w:spacing w:after="120"/>
        <w:rPr>
          <w:rFonts w:ascii="Arial" w:hAnsi="Arial" w:cs="Arial"/>
          <w:color w:val="000000"/>
        </w:rPr>
      </w:pPr>
      <w:r w:rsidRPr="00956AFE">
        <w:rPr>
          <w:rFonts w:ascii="Arial" w:hAnsi="Arial" w:cs="Arial"/>
          <w:color w:val="000000"/>
        </w:rPr>
        <w:t xml:space="preserve">Subject to completion of the mandatory standstill period, Stage </w:t>
      </w:r>
      <w:r w:rsidR="00116ED1" w:rsidRPr="00956AFE">
        <w:rPr>
          <w:rFonts w:ascii="Arial" w:hAnsi="Arial" w:cs="Arial"/>
          <w:color w:val="000000"/>
        </w:rPr>
        <w:t>3</w:t>
      </w:r>
      <w:r w:rsidRPr="00956AFE">
        <w:rPr>
          <w:rFonts w:ascii="Arial" w:hAnsi="Arial" w:cs="Arial"/>
          <w:color w:val="000000"/>
        </w:rPr>
        <w:t xml:space="preserve"> will end with the Authority entering into the Contract with the </w:t>
      </w:r>
      <w:r w:rsidR="0001684B">
        <w:rPr>
          <w:rFonts w:ascii="Arial" w:hAnsi="Arial" w:cs="Arial"/>
          <w:color w:val="000000"/>
        </w:rPr>
        <w:t>successful</w:t>
      </w:r>
      <w:r w:rsidR="0001684B" w:rsidRPr="00956AFE">
        <w:rPr>
          <w:rFonts w:ascii="Arial" w:hAnsi="Arial" w:cs="Arial"/>
          <w:color w:val="000000"/>
        </w:rPr>
        <w:t xml:space="preserve"> </w:t>
      </w:r>
      <w:r w:rsidRPr="00956AFE">
        <w:rPr>
          <w:rFonts w:ascii="Arial" w:hAnsi="Arial" w:cs="Arial"/>
          <w:color w:val="000000"/>
        </w:rPr>
        <w:t>Supplier</w:t>
      </w:r>
      <w:r w:rsidR="00FC3582">
        <w:rPr>
          <w:rFonts w:ascii="Arial" w:hAnsi="Arial" w:cs="Arial"/>
          <w:color w:val="000000"/>
        </w:rPr>
        <w:t>s</w:t>
      </w:r>
      <w:r w:rsidRPr="00956AFE">
        <w:rPr>
          <w:rFonts w:ascii="Arial" w:hAnsi="Arial" w:cs="Arial"/>
          <w:color w:val="000000"/>
        </w:rPr>
        <w:t xml:space="preserve"> and publication of a Contract Details Notice on the Central Digital Platform (within 30 days of the date on which the Contract is entered into). Where appropriate, a copy of the Contract may also be published on the Central Digital Platform.</w:t>
      </w:r>
      <w:r w:rsidRPr="00EF5C72">
        <w:rPr>
          <w:rFonts w:ascii="Arial" w:hAnsi="Arial" w:cs="Arial"/>
          <w:color w:val="000000"/>
        </w:rPr>
        <w:t xml:space="preserve"> </w:t>
      </w:r>
    </w:p>
    <w:p w14:paraId="671FF663" w14:textId="4451A0D5" w:rsidR="005E7763" w:rsidRDefault="005E7763" w:rsidP="005E7763">
      <w:pPr>
        <w:numPr>
          <w:ilvl w:val="0"/>
          <w:numId w:val="5"/>
        </w:numPr>
        <w:pBdr>
          <w:top w:val="nil"/>
          <w:left w:val="nil"/>
          <w:bottom w:val="nil"/>
          <w:right w:val="nil"/>
          <w:between w:val="nil"/>
        </w:pBdr>
        <w:suppressAutoHyphens/>
        <w:spacing w:after="120"/>
        <w:rPr>
          <w:rFonts w:ascii="Arial" w:hAnsi="Arial" w:cs="Arial"/>
          <w:color w:val="000000"/>
        </w:rPr>
      </w:pPr>
      <w:r w:rsidRPr="4757B756">
        <w:rPr>
          <w:rFonts w:ascii="Arial" w:hAnsi="Arial" w:cs="Arial"/>
          <w:color w:val="000000" w:themeColor="text2"/>
        </w:rPr>
        <w:t xml:space="preserve"> To note, only documentation relating to Stage 1: Invitation to Participate has been released at this stage. Documentation relating to Stage 2: Invitation to submit a tender</w:t>
      </w:r>
      <w:r w:rsidR="00A6245A" w:rsidRPr="4757B756">
        <w:rPr>
          <w:rFonts w:ascii="Arial" w:hAnsi="Arial" w:cs="Arial"/>
          <w:color w:val="000000" w:themeColor="text2"/>
        </w:rPr>
        <w:t xml:space="preserve"> (written)</w:t>
      </w:r>
      <w:r w:rsidRPr="4757B756">
        <w:rPr>
          <w:rFonts w:ascii="Arial" w:hAnsi="Arial" w:cs="Arial"/>
          <w:color w:val="000000" w:themeColor="text2"/>
        </w:rPr>
        <w:t xml:space="preserve"> and Stage 3: Interview </w:t>
      </w:r>
      <w:r w:rsidR="0936EDD0" w:rsidRPr="4757B756">
        <w:rPr>
          <w:rFonts w:ascii="Arial" w:hAnsi="Arial" w:cs="Arial"/>
          <w:color w:val="000000" w:themeColor="text2"/>
        </w:rPr>
        <w:t xml:space="preserve">and </w:t>
      </w:r>
      <w:r w:rsidR="00F36F8C" w:rsidRPr="4757B756">
        <w:rPr>
          <w:rFonts w:ascii="Arial" w:hAnsi="Arial" w:cs="Arial"/>
          <w:color w:val="000000" w:themeColor="text2"/>
        </w:rPr>
        <w:t>Pricing will</w:t>
      </w:r>
      <w:r w:rsidRPr="4757B756">
        <w:rPr>
          <w:rFonts w:ascii="Arial" w:hAnsi="Arial" w:cs="Arial"/>
          <w:color w:val="000000" w:themeColor="text2"/>
        </w:rPr>
        <w:t xml:space="preserve"> be issued once the relevant down selection of suppliers has taken place. </w:t>
      </w:r>
    </w:p>
    <w:p w14:paraId="7DFDE113" w14:textId="563E2800" w:rsidR="005E7763" w:rsidRPr="005E7763" w:rsidRDefault="005E7763" w:rsidP="005E7763">
      <w:pPr>
        <w:numPr>
          <w:ilvl w:val="0"/>
          <w:numId w:val="5"/>
        </w:numPr>
        <w:pBdr>
          <w:top w:val="nil"/>
          <w:left w:val="nil"/>
          <w:bottom w:val="nil"/>
          <w:right w:val="nil"/>
          <w:between w:val="nil"/>
        </w:pBdr>
        <w:suppressAutoHyphens/>
        <w:spacing w:after="120"/>
        <w:rPr>
          <w:rFonts w:ascii="Arial" w:hAnsi="Arial" w:cs="Arial"/>
          <w:color w:val="000000"/>
        </w:rPr>
      </w:pPr>
      <w:r>
        <w:rPr>
          <w:rFonts w:ascii="Arial" w:hAnsi="Arial" w:cs="Arial"/>
          <w:color w:val="000000"/>
        </w:rPr>
        <w:t>As part of the issuing of this additional documentation, further details regarding how to respond, timelines and assessment of tenders and interviews will be provided to suppliers</w:t>
      </w:r>
      <w:r w:rsidR="00844786">
        <w:rPr>
          <w:rFonts w:ascii="Arial" w:hAnsi="Arial" w:cs="Arial"/>
          <w:color w:val="000000"/>
        </w:rPr>
        <w:t xml:space="preserve"> who are invited at each stage of the process</w:t>
      </w:r>
      <w:r>
        <w:rPr>
          <w:rFonts w:ascii="Arial" w:hAnsi="Arial" w:cs="Arial"/>
          <w:color w:val="000000"/>
        </w:rPr>
        <w:t xml:space="preserve">.   </w:t>
      </w:r>
    </w:p>
    <w:p w14:paraId="1E1097A3" w14:textId="77777777" w:rsidR="00D13322" w:rsidRDefault="002107B6" w:rsidP="00DF644D">
      <w:pPr>
        <w:pStyle w:val="Heading1"/>
        <w:numPr>
          <w:ilvl w:val="0"/>
          <w:numId w:val="0"/>
        </w:numPr>
      </w:pPr>
      <w:bookmarkStart w:id="9" w:name="_Toc211930137"/>
      <w:r>
        <w:t>Procurement timetable</w:t>
      </w:r>
      <w:bookmarkEnd w:id="9"/>
    </w:p>
    <w:p w14:paraId="7D9619E2" w14:textId="5911A932" w:rsidR="00F72F39" w:rsidRDefault="0018563A" w:rsidP="001151C6">
      <w:pPr>
        <w:pStyle w:val="BodyText1"/>
        <w:numPr>
          <w:ilvl w:val="0"/>
          <w:numId w:val="5"/>
        </w:numPr>
        <w:ind w:left="357" w:hanging="357"/>
      </w:pPr>
      <w:r w:rsidRPr="0018563A">
        <w:t xml:space="preserve">The timetable for the remainder of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t>P</w:t>
      </w:r>
      <w:r w:rsidRPr="0018563A">
        <w:t>ortal.</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18563A" w:rsidRPr="00845A54" w14:paraId="66C58FA5" w14:textId="77777777" w:rsidTr="4757B756">
        <w:trPr>
          <w:tblHeader/>
        </w:trPr>
        <w:tc>
          <w:tcPr>
            <w:tcW w:w="3119" w:type="dxa"/>
            <w:shd w:val="clear" w:color="auto" w:fill="BEDDFF" w:themeFill="accent2" w:themeFillTint="33"/>
          </w:tcPr>
          <w:p w14:paraId="026BF2DC" w14:textId="77777777" w:rsidR="0018563A" w:rsidRPr="00845A54" w:rsidRDefault="0018563A" w:rsidP="007E54D1">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Date(s) and time(s)</w:t>
            </w:r>
          </w:p>
        </w:tc>
        <w:tc>
          <w:tcPr>
            <w:tcW w:w="6519" w:type="dxa"/>
            <w:shd w:val="clear" w:color="auto" w:fill="BEDDFF" w:themeFill="accent2" w:themeFillTint="33"/>
          </w:tcPr>
          <w:p w14:paraId="025089DD" w14:textId="29150435" w:rsidR="0018563A" w:rsidRPr="00845A54" w:rsidRDefault="0018563A" w:rsidP="007E54D1">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Procurement activity</w:t>
            </w:r>
          </w:p>
        </w:tc>
      </w:tr>
      <w:tr w:rsidR="0018563A" w:rsidRPr="0018563A" w14:paraId="1AC4CDFD" w14:textId="77777777" w:rsidTr="0018563A">
        <w:tc>
          <w:tcPr>
            <w:tcW w:w="3119" w:type="dxa"/>
          </w:tcPr>
          <w:p w14:paraId="44248BCC" w14:textId="0F469B68" w:rsidR="0018563A" w:rsidRPr="00C749C7" w:rsidRDefault="00CA69CC" w:rsidP="007E54D1">
            <w:pPr>
              <w:pStyle w:val="BodyText1"/>
              <w:spacing w:after="120"/>
              <w:rPr>
                <w:b/>
                <w:bCs/>
              </w:rPr>
            </w:pPr>
            <w:r>
              <w:rPr>
                <w:b/>
                <w:bCs/>
              </w:rPr>
              <w:t>22</w:t>
            </w:r>
            <w:r w:rsidR="0060540D">
              <w:rPr>
                <w:b/>
                <w:bCs/>
              </w:rPr>
              <w:t xml:space="preserve"> </w:t>
            </w:r>
            <w:r w:rsidR="00F46D7A">
              <w:rPr>
                <w:b/>
                <w:bCs/>
              </w:rPr>
              <w:t>Oct</w:t>
            </w:r>
            <w:r w:rsidR="0060540D">
              <w:rPr>
                <w:b/>
                <w:bCs/>
              </w:rPr>
              <w:t xml:space="preserve"> </w:t>
            </w:r>
            <w:r w:rsidR="00F46D7A">
              <w:rPr>
                <w:b/>
                <w:bCs/>
              </w:rPr>
              <w:t>25</w:t>
            </w:r>
            <w:r w:rsidR="0060540D">
              <w:rPr>
                <w:b/>
                <w:bCs/>
              </w:rPr>
              <w:t xml:space="preserve">  </w:t>
            </w:r>
          </w:p>
        </w:tc>
        <w:tc>
          <w:tcPr>
            <w:tcW w:w="6519" w:type="dxa"/>
          </w:tcPr>
          <w:p w14:paraId="4913E1A8" w14:textId="379236EC" w:rsidR="0018563A" w:rsidRPr="0018563A" w:rsidRDefault="004B3D02" w:rsidP="007E54D1">
            <w:pPr>
              <w:pStyle w:val="BodyText1"/>
              <w:spacing w:after="120"/>
            </w:pPr>
            <w:r>
              <w:t>ITT</w:t>
            </w:r>
            <w:r w:rsidR="003A4D4A">
              <w:t xml:space="preserve"> Stage One – </w:t>
            </w:r>
            <w:r w:rsidR="007633B8">
              <w:t xml:space="preserve">Invitation to Participate </w:t>
            </w:r>
            <w:r w:rsidR="00D629F9">
              <w:t xml:space="preserve">opens to Suppliers </w:t>
            </w:r>
            <w:r w:rsidR="006B610D">
              <w:t>following the publication of the Tender Notice on the Find a Tender Service by the Authority (</w:t>
            </w:r>
            <w:r w:rsidR="00F46D7A">
              <w:t>PSQ Period begins)</w:t>
            </w:r>
          </w:p>
        </w:tc>
      </w:tr>
      <w:tr w:rsidR="00F46D7A" w:rsidRPr="0018563A" w14:paraId="09727472" w14:textId="77777777" w:rsidTr="0018563A">
        <w:tc>
          <w:tcPr>
            <w:tcW w:w="3119" w:type="dxa"/>
          </w:tcPr>
          <w:p w14:paraId="0064F9A0" w14:textId="20642974" w:rsidR="00F46D7A" w:rsidRDefault="0056165C" w:rsidP="007E54D1">
            <w:pPr>
              <w:pStyle w:val="BodyText1"/>
              <w:spacing w:after="120"/>
              <w:rPr>
                <w:b/>
                <w:bCs/>
              </w:rPr>
            </w:pPr>
            <w:r>
              <w:rPr>
                <w:b/>
                <w:bCs/>
              </w:rPr>
              <w:t>22</w:t>
            </w:r>
            <w:r w:rsidR="00F46D7A">
              <w:rPr>
                <w:b/>
                <w:bCs/>
              </w:rPr>
              <w:t xml:space="preserve"> Oct 25</w:t>
            </w:r>
          </w:p>
        </w:tc>
        <w:tc>
          <w:tcPr>
            <w:tcW w:w="6519" w:type="dxa"/>
          </w:tcPr>
          <w:p w14:paraId="3CC9168A" w14:textId="768273F4" w:rsidR="00F46D7A" w:rsidRDefault="00F46D7A" w:rsidP="007E54D1">
            <w:pPr>
              <w:pStyle w:val="BodyText1"/>
              <w:spacing w:after="120"/>
            </w:pPr>
            <w:r>
              <w:t>PSQ Clarification Question Period begins</w:t>
            </w:r>
          </w:p>
        </w:tc>
      </w:tr>
      <w:tr w:rsidR="007E2797" w:rsidRPr="0018563A" w14:paraId="5855E5B4" w14:textId="77777777" w:rsidTr="0018563A">
        <w:tc>
          <w:tcPr>
            <w:tcW w:w="3119" w:type="dxa"/>
          </w:tcPr>
          <w:p w14:paraId="109EDCC5" w14:textId="3736F79B" w:rsidR="00E23E65" w:rsidRDefault="0056165C" w:rsidP="007E54D1">
            <w:pPr>
              <w:pStyle w:val="BodyText1"/>
              <w:spacing w:after="120"/>
              <w:rPr>
                <w:b/>
                <w:bCs/>
              </w:rPr>
            </w:pPr>
            <w:r>
              <w:rPr>
                <w:b/>
                <w:bCs/>
              </w:rPr>
              <w:t>1400hrs</w:t>
            </w:r>
            <w:r w:rsidR="00E23E65">
              <w:rPr>
                <w:b/>
                <w:bCs/>
              </w:rPr>
              <w:t xml:space="preserve"> </w:t>
            </w:r>
            <w:r w:rsidR="00D35683">
              <w:rPr>
                <w:b/>
                <w:bCs/>
              </w:rPr>
              <w:t>GMT</w:t>
            </w:r>
          </w:p>
          <w:p w14:paraId="0BE23011" w14:textId="0152FC3F" w:rsidR="007E2797" w:rsidRDefault="00E23E65" w:rsidP="007E54D1">
            <w:pPr>
              <w:pStyle w:val="BodyText1"/>
              <w:spacing w:after="120"/>
              <w:rPr>
                <w:b/>
                <w:bCs/>
              </w:rPr>
            </w:pPr>
            <w:r>
              <w:rPr>
                <w:b/>
                <w:bCs/>
              </w:rPr>
              <w:t xml:space="preserve">on </w:t>
            </w:r>
            <w:r w:rsidR="0056165C">
              <w:rPr>
                <w:b/>
                <w:bCs/>
              </w:rPr>
              <w:t>03 Nov</w:t>
            </w:r>
            <w:r w:rsidR="00E40EB7">
              <w:rPr>
                <w:b/>
                <w:bCs/>
              </w:rPr>
              <w:t xml:space="preserve"> 25</w:t>
            </w:r>
          </w:p>
        </w:tc>
        <w:tc>
          <w:tcPr>
            <w:tcW w:w="6519" w:type="dxa"/>
          </w:tcPr>
          <w:p w14:paraId="7F5AC574" w14:textId="576FF844" w:rsidR="007E2797" w:rsidRDefault="007E2797" w:rsidP="007E54D1">
            <w:pPr>
              <w:pStyle w:val="BodyText1"/>
              <w:spacing w:after="120"/>
            </w:pPr>
            <w:r>
              <w:t xml:space="preserve">Authority virtual Market Engagement Event </w:t>
            </w:r>
          </w:p>
        </w:tc>
      </w:tr>
      <w:tr w:rsidR="002D149E" w:rsidRPr="0018563A" w14:paraId="2C258368" w14:textId="77777777" w:rsidTr="0018563A">
        <w:tc>
          <w:tcPr>
            <w:tcW w:w="3119" w:type="dxa"/>
          </w:tcPr>
          <w:p w14:paraId="5020E5D5" w14:textId="0C923E65" w:rsidR="002D149E" w:rsidRDefault="00D35683" w:rsidP="007E54D1">
            <w:pPr>
              <w:pStyle w:val="BodyText1"/>
              <w:spacing w:after="120"/>
              <w:rPr>
                <w:b/>
                <w:bCs/>
              </w:rPr>
            </w:pPr>
            <w:r>
              <w:rPr>
                <w:b/>
                <w:bCs/>
              </w:rPr>
              <w:t>0</w:t>
            </w:r>
            <w:r w:rsidR="0056165C">
              <w:rPr>
                <w:b/>
                <w:bCs/>
              </w:rPr>
              <w:t>7</w:t>
            </w:r>
            <w:r>
              <w:rPr>
                <w:b/>
                <w:bCs/>
              </w:rPr>
              <w:t xml:space="preserve"> Nov</w:t>
            </w:r>
            <w:r w:rsidR="00180B25">
              <w:rPr>
                <w:b/>
                <w:bCs/>
              </w:rPr>
              <w:t xml:space="preserve"> 25</w:t>
            </w:r>
          </w:p>
        </w:tc>
        <w:tc>
          <w:tcPr>
            <w:tcW w:w="6519" w:type="dxa"/>
          </w:tcPr>
          <w:p w14:paraId="191DED4E" w14:textId="0CA415B6" w:rsidR="002D149E" w:rsidRDefault="002D149E" w:rsidP="007E54D1">
            <w:pPr>
              <w:pStyle w:val="BodyText1"/>
              <w:spacing w:after="120"/>
            </w:pPr>
            <w:r>
              <w:t>PSQ Clarification Question Period ends</w:t>
            </w:r>
          </w:p>
        </w:tc>
      </w:tr>
      <w:tr w:rsidR="00C54919" w:rsidRPr="0018563A" w14:paraId="54F3A98F" w14:textId="77777777" w:rsidTr="0018563A">
        <w:tc>
          <w:tcPr>
            <w:tcW w:w="3119" w:type="dxa"/>
          </w:tcPr>
          <w:p w14:paraId="16152741" w14:textId="324A537C" w:rsidR="00C54919" w:rsidRDefault="0056165C" w:rsidP="007E54D1">
            <w:pPr>
              <w:pStyle w:val="BodyText1"/>
              <w:spacing w:after="120"/>
              <w:rPr>
                <w:b/>
                <w:bCs/>
              </w:rPr>
            </w:pPr>
            <w:r>
              <w:rPr>
                <w:b/>
                <w:bCs/>
              </w:rPr>
              <w:t>14</w:t>
            </w:r>
            <w:r w:rsidR="00C54919">
              <w:rPr>
                <w:b/>
                <w:bCs/>
              </w:rPr>
              <w:t xml:space="preserve"> Nov 25 </w:t>
            </w:r>
          </w:p>
        </w:tc>
        <w:tc>
          <w:tcPr>
            <w:tcW w:w="6519" w:type="dxa"/>
          </w:tcPr>
          <w:p w14:paraId="448F9FD6" w14:textId="09E56172" w:rsidR="00C54919" w:rsidRDefault="006040C1" w:rsidP="007E54D1">
            <w:pPr>
              <w:pStyle w:val="BodyText1"/>
              <w:spacing w:after="120"/>
            </w:pPr>
            <w:r>
              <w:t>P</w:t>
            </w:r>
            <w:r w:rsidR="00C54919">
              <w:t>ublication</w:t>
            </w:r>
            <w:r w:rsidR="00E40EB7">
              <w:t xml:space="preserve"> of</w:t>
            </w:r>
            <w:r>
              <w:t xml:space="preserve"> Authority responses to</w:t>
            </w:r>
            <w:r w:rsidR="00E40EB7">
              <w:t xml:space="preserve"> Clarification Question</w:t>
            </w:r>
            <w:r>
              <w:t>s</w:t>
            </w:r>
          </w:p>
        </w:tc>
      </w:tr>
      <w:tr w:rsidR="002D149E" w:rsidRPr="0018563A" w14:paraId="4D9E4B04" w14:textId="77777777" w:rsidTr="0018563A">
        <w:tc>
          <w:tcPr>
            <w:tcW w:w="3119" w:type="dxa"/>
          </w:tcPr>
          <w:p w14:paraId="10EB4712" w14:textId="6448C868" w:rsidR="00180B25" w:rsidRDefault="00180B25" w:rsidP="007E54D1">
            <w:pPr>
              <w:pStyle w:val="BodyText1"/>
              <w:spacing w:after="120"/>
              <w:rPr>
                <w:b/>
                <w:bCs/>
              </w:rPr>
            </w:pPr>
            <w:r>
              <w:rPr>
                <w:b/>
                <w:bCs/>
              </w:rPr>
              <w:t>1</w:t>
            </w:r>
            <w:r w:rsidR="0056165C">
              <w:rPr>
                <w:b/>
                <w:bCs/>
              </w:rPr>
              <w:t>8</w:t>
            </w:r>
            <w:r>
              <w:rPr>
                <w:b/>
                <w:bCs/>
              </w:rPr>
              <w:t xml:space="preserve">00hrs GMT </w:t>
            </w:r>
          </w:p>
          <w:p w14:paraId="5B0238CC" w14:textId="3BAED8CE" w:rsidR="002D149E" w:rsidRDefault="00180B25" w:rsidP="007E54D1">
            <w:pPr>
              <w:pStyle w:val="BodyText1"/>
              <w:spacing w:after="120"/>
              <w:rPr>
                <w:b/>
                <w:bCs/>
              </w:rPr>
            </w:pPr>
            <w:r>
              <w:rPr>
                <w:b/>
                <w:bCs/>
              </w:rPr>
              <w:t xml:space="preserve">on </w:t>
            </w:r>
            <w:r w:rsidR="0056165C">
              <w:rPr>
                <w:b/>
                <w:bCs/>
              </w:rPr>
              <w:t>24</w:t>
            </w:r>
            <w:r>
              <w:rPr>
                <w:b/>
                <w:bCs/>
              </w:rPr>
              <w:t xml:space="preserve"> Nov 25</w:t>
            </w:r>
          </w:p>
        </w:tc>
        <w:tc>
          <w:tcPr>
            <w:tcW w:w="6519" w:type="dxa"/>
          </w:tcPr>
          <w:p w14:paraId="7F49CF2F" w14:textId="5C37FBBF" w:rsidR="002D149E" w:rsidRPr="00180B25" w:rsidRDefault="00180B25" w:rsidP="007E54D1">
            <w:pPr>
              <w:pStyle w:val="BodyText1"/>
              <w:spacing w:after="120"/>
              <w:rPr>
                <w:b/>
                <w:bCs/>
              </w:rPr>
            </w:pPr>
            <w:r w:rsidRPr="00180B25">
              <w:rPr>
                <w:b/>
                <w:bCs/>
              </w:rPr>
              <w:t>Stage One – Invitation to Participate Submission Deadline</w:t>
            </w:r>
          </w:p>
        </w:tc>
      </w:tr>
      <w:tr w:rsidR="008859C4" w:rsidRPr="0018563A" w14:paraId="7C6DD109" w14:textId="77777777" w:rsidTr="0018563A">
        <w:tc>
          <w:tcPr>
            <w:tcW w:w="3119" w:type="dxa"/>
          </w:tcPr>
          <w:p w14:paraId="4B7E0547" w14:textId="46EC5698" w:rsidR="008859C4" w:rsidRDefault="00D4352F" w:rsidP="007E54D1">
            <w:pPr>
              <w:pStyle w:val="BodyText1"/>
              <w:spacing w:after="120"/>
              <w:rPr>
                <w:b/>
                <w:bCs/>
              </w:rPr>
            </w:pPr>
            <w:r>
              <w:rPr>
                <w:b/>
                <w:bCs/>
              </w:rPr>
              <w:t>1</w:t>
            </w:r>
            <w:r w:rsidR="00513971">
              <w:rPr>
                <w:b/>
                <w:bCs/>
              </w:rPr>
              <w:t>8</w:t>
            </w:r>
            <w:r w:rsidR="004D0D0B">
              <w:rPr>
                <w:b/>
                <w:bCs/>
              </w:rPr>
              <w:t xml:space="preserve"> Nov</w:t>
            </w:r>
            <w:r>
              <w:rPr>
                <w:b/>
                <w:bCs/>
              </w:rPr>
              <w:t xml:space="preserve"> – </w:t>
            </w:r>
            <w:r w:rsidR="005F13BD">
              <w:rPr>
                <w:b/>
                <w:bCs/>
              </w:rPr>
              <w:t>08</w:t>
            </w:r>
            <w:r>
              <w:rPr>
                <w:b/>
                <w:bCs/>
              </w:rPr>
              <w:t xml:space="preserve"> </w:t>
            </w:r>
            <w:r w:rsidR="004D0D0B">
              <w:rPr>
                <w:b/>
                <w:bCs/>
              </w:rPr>
              <w:t>Dec</w:t>
            </w:r>
            <w:r>
              <w:rPr>
                <w:b/>
                <w:bCs/>
              </w:rPr>
              <w:t xml:space="preserve"> 25</w:t>
            </w:r>
          </w:p>
        </w:tc>
        <w:tc>
          <w:tcPr>
            <w:tcW w:w="6519" w:type="dxa"/>
          </w:tcPr>
          <w:p w14:paraId="3C9D5FB7" w14:textId="4EC274F3" w:rsidR="008859C4" w:rsidRPr="008859C4" w:rsidRDefault="008859C4" w:rsidP="007E54D1">
            <w:pPr>
              <w:pStyle w:val="BodyText1"/>
              <w:spacing w:after="120"/>
            </w:pPr>
            <w:r w:rsidRPr="008859C4">
              <w:t>Authority Evaluation</w:t>
            </w:r>
          </w:p>
        </w:tc>
      </w:tr>
      <w:tr w:rsidR="008859C4" w:rsidRPr="008859C4" w14:paraId="286A811B" w14:textId="77777777" w:rsidTr="0018563A">
        <w:tc>
          <w:tcPr>
            <w:tcW w:w="3119" w:type="dxa"/>
          </w:tcPr>
          <w:p w14:paraId="0DCC930D" w14:textId="04E1C4C0" w:rsidR="008859C4" w:rsidRDefault="009849DE" w:rsidP="007E54D1">
            <w:pPr>
              <w:pStyle w:val="BodyText1"/>
              <w:spacing w:after="120"/>
              <w:rPr>
                <w:b/>
                <w:bCs/>
              </w:rPr>
            </w:pPr>
            <w:r>
              <w:rPr>
                <w:b/>
                <w:bCs/>
              </w:rPr>
              <w:t xml:space="preserve">NLT </w:t>
            </w:r>
            <w:r w:rsidR="004D0D0B">
              <w:rPr>
                <w:b/>
                <w:bCs/>
              </w:rPr>
              <w:t>05</w:t>
            </w:r>
            <w:r w:rsidR="009B363E">
              <w:rPr>
                <w:b/>
                <w:bCs/>
              </w:rPr>
              <w:t xml:space="preserve"> </w:t>
            </w:r>
            <w:r w:rsidR="004D0D0B">
              <w:rPr>
                <w:b/>
                <w:bCs/>
              </w:rPr>
              <w:t>Dec</w:t>
            </w:r>
            <w:r w:rsidR="009B363E">
              <w:rPr>
                <w:b/>
                <w:bCs/>
              </w:rPr>
              <w:t xml:space="preserve"> 25</w:t>
            </w:r>
          </w:p>
        </w:tc>
        <w:tc>
          <w:tcPr>
            <w:tcW w:w="6519" w:type="dxa"/>
          </w:tcPr>
          <w:p w14:paraId="7C32155D" w14:textId="343AB87D" w:rsidR="008859C4" w:rsidRPr="008859C4" w:rsidRDefault="008859C4" w:rsidP="007E54D1">
            <w:pPr>
              <w:pStyle w:val="BodyText1"/>
              <w:spacing w:after="120"/>
              <w:rPr>
                <w:b/>
                <w:bCs/>
              </w:rPr>
            </w:pPr>
            <w:r w:rsidRPr="008859C4">
              <w:rPr>
                <w:b/>
                <w:bCs/>
              </w:rPr>
              <w:t>Authority clarification of Supplier PSQ response (if required)</w:t>
            </w:r>
          </w:p>
        </w:tc>
      </w:tr>
      <w:tr w:rsidR="000341D3" w:rsidRPr="008859C4" w14:paraId="161132AE" w14:textId="77777777" w:rsidTr="0018563A">
        <w:tc>
          <w:tcPr>
            <w:tcW w:w="3119" w:type="dxa"/>
          </w:tcPr>
          <w:p w14:paraId="0CD425F3" w14:textId="3D33C520" w:rsidR="000341D3" w:rsidRDefault="005F13BD" w:rsidP="007E54D1">
            <w:pPr>
              <w:pStyle w:val="BodyText1"/>
              <w:spacing w:after="120"/>
              <w:rPr>
                <w:b/>
                <w:bCs/>
              </w:rPr>
            </w:pPr>
            <w:r>
              <w:rPr>
                <w:b/>
                <w:bCs/>
              </w:rPr>
              <w:t>10</w:t>
            </w:r>
            <w:r w:rsidR="00E82442">
              <w:rPr>
                <w:b/>
                <w:bCs/>
              </w:rPr>
              <w:t xml:space="preserve"> Dec 25</w:t>
            </w:r>
          </w:p>
        </w:tc>
        <w:tc>
          <w:tcPr>
            <w:tcW w:w="6519" w:type="dxa"/>
          </w:tcPr>
          <w:p w14:paraId="41C0A1EF" w14:textId="07C9DBD2" w:rsidR="000341D3" w:rsidRPr="008859C4" w:rsidRDefault="000341D3" w:rsidP="007E54D1">
            <w:pPr>
              <w:pStyle w:val="BodyText1"/>
              <w:spacing w:after="120"/>
              <w:rPr>
                <w:b/>
                <w:bCs/>
              </w:rPr>
            </w:pPr>
            <w:r>
              <w:rPr>
                <w:b/>
                <w:bCs/>
              </w:rPr>
              <w:t xml:space="preserve">Outcome of </w:t>
            </w:r>
            <w:r w:rsidR="00BB6EDD">
              <w:rPr>
                <w:b/>
                <w:bCs/>
              </w:rPr>
              <w:t>PSQ issued to suppliers</w:t>
            </w:r>
          </w:p>
        </w:tc>
      </w:tr>
      <w:tr w:rsidR="00680063" w:rsidRPr="0018563A" w14:paraId="65C799A6" w14:textId="77777777" w:rsidTr="0018563A">
        <w:tc>
          <w:tcPr>
            <w:tcW w:w="3119" w:type="dxa"/>
          </w:tcPr>
          <w:p w14:paraId="10FADC12" w14:textId="03A4F47B" w:rsidR="00680063" w:rsidRDefault="005F13BD" w:rsidP="007E54D1">
            <w:pPr>
              <w:pStyle w:val="BodyText1"/>
              <w:spacing w:after="120"/>
              <w:rPr>
                <w:b/>
                <w:bCs/>
              </w:rPr>
            </w:pPr>
            <w:r>
              <w:rPr>
                <w:b/>
                <w:bCs/>
              </w:rPr>
              <w:t>15</w:t>
            </w:r>
            <w:r w:rsidR="000341D3">
              <w:rPr>
                <w:b/>
                <w:bCs/>
              </w:rPr>
              <w:t xml:space="preserve"> Dec 25</w:t>
            </w:r>
          </w:p>
        </w:tc>
        <w:tc>
          <w:tcPr>
            <w:tcW w:w="6519" w:type="dxa"/>
          </w:tcPr>
          <w:p w14:paraId="02D94F65" w14:textId="1772E60E" w:rsidR="00680063" w:rsidRDefault="00DE3621" w:rsidP="007E54D1">
            <w:pPr>
              <w:pStyle w:val="BodyText1"/>
              <w:spacing w:after="120"/>
            </w:pPr>
            <w:r>
              <w:t xml:space="preserve">Stage Two </w:t>
            </w:r>
            <w:r w:rsidR="006F24E0">
              <w:t>– Invitation to submit a tender</w:t>
            </w:r>
            <w:r>
              <w:t xml:space="preserve"> </w:t>
            </w:r>
            <w:r w:rsidR="00680063" w:rsidRPr="00680063">
              <w:t>issued to Suppliers successful in passing the PSQ (ITT Period begins)</w:t>
            </w:r>
          </w:p>
        </w:tc>
      </w:tr>
      <w:tr w:rsidR="0018563A" w:rsidRPr="0018563A" w14:paraId="37169254" w14:textId="77777777" w:rsidTr="0018563A">
        <w:tc>
          <w:tcPr>
            <w:tcW w:w="3119" w:type="dxa"/>
          </w:tcPr>
          <w:p w14:paraId="0B1F223A" w14:textId="51B4F313" w:rsidR="0018563A" w:rsidRPr="00C749C7" w:rsidRDefault="00D900D5" w:rsidP="007E54D1">
            <w:pPr>
              <w:pStyle w:val="BodyText1"/>
              <w:spacing w:after="0"/>
              <w:rPr>
                <w:b/>
                <w:bCs/>
              </w:rPr>
            </w:pPr>
            <w:r>
              <w:rPr>
                <w:b/>
                <w:bCs/>
              </w:rPr>
              <w:t>15</w:t>
            </w:r>
            <w:r w:rsidR="00264126">
              <w:rPr>
                <w:b/>
                <w:bCs/>
              </w:rPr>
              <w:t xml:space="preserve"> Dec 25</w:t>
            </w:r>
          </w:p>
        </w:tc>
        <w:tc>
          <w:tcPr>
            <w:tcW w:w="6519" w:type="dxa"/>
          </w:tcPr>
          <w:p w14:paraId="4470D134" w14:textId="1E610E49" w:rsidR="0018563A" w:rsidRPr="0018563A" w:rsidRDefault="00E82442" w:rsidP="007E54D1">
            <w:pPr>
              <w:pStyle w:val="BodyText1"/>
              <w:spacing w:after="0"/>
            </w:pPr>
            <w:r>
              <w:t xml:space="preserve">ITT </w:t>
            </w:r>
            <w:r w:rsidR="003E7D1C">
              <w:t xml:space="preserve">Clarification Question Period begins </w:t>
            </w:r>
          </w:p>
        </w:tc>
      </w:tr>
      <w:tr w:rsidR="0018563A" w:rsidRPr="0018563A" w14:paraId="06FBADF4" w14:textId="77777777" w:rsidTr="0018563A">
        <w:tc>
          <w:tcPr>
            <w:tcW w:w="3119" w:type="dxa"/>
          </w:tcPr>
          <w:p w14:paraId="77F88391" w14:textId="42842D6E" w:rsidR="0018563A" w:rsidRPr="00C749C7" w:rsidRDefault="0054633E" w:rsidP="007E54D1">
            <w:pPr>
              <w:pStyle w:val="BodyText1"/>
              <w:spacing w:after="0"/>
              <w:rPr>
                <w:b/>
                <w:bCs/>
              </w:rPr>
            </w:pPr>
            <w:r>
              <w:rPr>
                <w:b/>
                <w:bCs/>
              </w:rPr>
              <w:t>05 Jan</w:t>
            </w:r>
            <w:r w:rsidR="00296BEC">
              <w:rPr>
                <w:b/>
                <w:bCs/>
              </w:rPr>
              <w:t xml:space="preserve"> 2</w:t>
            </w:r>
            <w:r>
              <w:rPr>
                <w:b/>
                <w:bCs/>
              </w:rPr>
              <w:t>6</w:t>
            </w:r>
          </w:p>
        </w:tc>
        <w:tc>
          <w:tcPr>
            <w:tcW w:w="6519" w:type="dxa"/>
          </w:tcPr>
          <w:p w14:paraId="13DC56D4" w14:textId="167BED37" w:rsidR="0018563A" w:rsidRPr="0018563A" w:rsidRDefault="00E82442" w:rsidP="007E54D1">
            <w:pPr>
              <w:tabs>
                <w:tab w:val="left" w:pos="2751"/>
              </w:tabs>
              <w:ind w:left="57"/>
            </w:pPr>
            <w:r>
              <w:t xml:space="preserve">ITT </w:t>
            </w:r>
            <w:r w:rsidR="00052814">
              <w:t xml:space="preserve">Clarification Period Ends </w:t>
            </w:r>
          </w:p>
        </w:tc>
      </w:tr>
      <w:tr w:rsidR="006040C1" w:rsidRPr="0018563A" w14:paraId="22CC7733" w14:textId="77777777" w:rsidTr="0018563A">
        <w:tc>
          <w:tcPr>
            <w:tcW w:w="3119" w:type="dxa"/>
          </w:tcPr>
          <w:p w14:paraId="18CB68CC" w14:textId="0D0E4780" w:rsidR="006040C1" w:rsidRPr="00C749C7" w:rsidRDefault="00296BEC" w:rsidP="007E54D1">
            <w:pPr>
              <w:pStyle w:val="BodyText1"/>
              <w:spacing w:after="0"/>
              <w:rPr>
                <w:b/>
                <w:bCs/>
              </w:rPr>
            </w:pPr>
            <w:r>
              <w:rPr>
                <w:b/>
                <w:bCs/>
              </w:rPr>
              <w:t>0</w:t>
            </w:r>
            <w:r w:rsidR="0054633E">
              <w:rPr>
                <w:b/>
                <w:bCs/>
              </w:rPr>
              <w:t>9</w:t>
            </w:r>
            <w:r>
              <w:rPr>
                <w:b/>
                <w:bCs/>
              </w:rPr>
              <w:t xml:space="preserve"> Jan 26</w:t>
            </w:r>
          </w:p>
        </w:tc>
        <w:tc>
          <w:tcPr>
            <w:tcW w:w="6519" w:type="dxa"/>
          </w:tcPr>
          <w:p w14:paraId="4E8015AD" w14:textId="73D723DE" w:rsidR="006040C1" w:rsidRDefault="006040C1" w:rsidP="007E54D1">
            <w:pPr>
              <w:tabs>
                <w:tab w:val="left" w:pos="2751"/>
              </w:tabs>
              <w:ind w:left="57"/>
            </w:pPr>
            <w:r w:rsidRPr="006040C1">
              <w:t>Publication of Authority responses to Clarification Questions</w:t>
            </w:r>
          </w:p>
        </w:tc>
      </w:tr>
      <w:tr w:rsidR="0018563A" w:rsidRPr="0018563A" w14:paraId="798884F2" w14:textId="77777777" w:rsidTr="0018563A">
        <w:tc>
          <w:tcPr>
            <w:tcW w:w="3119" w:type="dxa"/>
          </w:tcPr>
          <w:p w14:paraId="756998C3" w14:textId="77777777" w:rsidR="0054633E" w:rsidRDefault="0054633E" w:rsidP="007E54D1">
            <w:pPr>
              <w:pStyle w:val="BodyText1"/>
              <w:spacing w:after="0"/>
              <w:rPr>
                <w:b/>
                <w:bCs/>
              </w:rPr>
            </w:pPr>
            <w:r>
              <w:rPr>
                <w:b/>
                <w:bCs/>
              </w:rPr>
              <w:t xml:space="preserve">1700hrs GMT on </w:t>
            </w:r>
          </w:p>
          <w:p w14:paraId="004D2031" w14:textId="36E53BDE" w:rsidR="0018563A" w:rsidRPr="00C749C7" w:rsidRDefault="0054633E" w:rsidP="007E54D1">
            <w:pPr>
              <w:pStyle w:val="BodyText1"/>
              <w:spacing w:after="0"/>
              <w:rPr>
                <w:b/>
                <w:bCs/>
              </w:rPr>
            </w:pPr>
            <w:r>
              <w:rPr>
                <w:b/>
                <w:bCs/>
              </w:rPr>
              <w:t>23</w:t>
            </w:r>
            <w:r w:rsidR="006040C1">
              <w:rPr>
                <w:b/>
                <w:bCs/>
              </w:rPr>
              <w:t xml:space="preserve"> Jan 2</w:t>
            </w:r>
            <w:r w:rsidR="00296BEC">
              <w:rPr>
                <w:b/>
                <w:bCs/>
              </w:rPr>
              <w:t>6</w:t>
            </w:r>
          </w:p>
        </w:tc>
        <w:tc>
          <w:tcPr>
            <w:tcW w:w="6519" w:type="dxa"/>
          </w:tcPr>
          <w:p w14:paraId="29D8B445" w14:textId="252A4112" w:rsidR="0018563A" w:rsidRPr="003A4D4A" w:rsidRDefault="003A4D4A" w:rsidP="007E54D1">
            <w:pPr>
              <w:tabs>
                <w:tab w:val="left" w:pos="2751"/>
              </w:tabs>
              <w:ind w:left="57"/>
              <w:rPr>
                <w:b/>
                <w:bCs/>
              </w:rPr>
            </w:pPr>
            <w:r w:rsidRPr="003A4D4A">
              <w:rPr>
                <w:b/>
                <w:bCs/>
              </w:rPr>
              <w:t xml:space="preserve">Stage </w:t>
            </w:r>
            <w:r w:rsidR="00AC1264">
              <w:rPr>
                <w:b/>
                <w:bCs/>
              </w:rPr>
              <w:t>Two</w:t>
            </w:r>
            <w:r w:rsidRPr="003A4D4A">
              <w:rPr>
                <w:b/>
                <w:bCs/>
              </w:rPr>
              <w:t xml:space="preserve"> -</w:t>
            </w:r>
            <w:r w:rsidR="00AC1264">
              <w:rPr>
                <w:b/>
                <w:bCs/>
              </w:rPr>
              <w:t xml:space="preserve"> ITT</w:t>
            </w:r>
            <w:r w:rsidRPr="003A4D4A">
              <w:rPr>
                <w:b/>
                <w:bCs/>
              </w:rPr>
              <w:t xml:space="preserve"> Submission Deadline </w:t>
            </w:r>
          </w:p>
        </w:tc>
      </w:tr>
      <w:tr w:rsidR="0018563A" w:rsidRPr="0018563A" w14:paraId="7BB8F3D1" w14:textId="77777777" w:rsidTr="0018563A">
        <w:tc>
          <w:tcPr>
            <w:tcW w:w="3119" w:type="dxa"/>
          </w:tcPr>
          <w:p w14:paraId="056123E4" w14:textId="22261282" w:rsidR="0018563A" w:rsidRPr="00C749C7" w:rsidRDefault="00D21A8B" w:rsidP="007E54D1">
            <w:pPr>
              <w:pStyle w:val="BodyText1"/>
              <w:spacing w:after="0"/>
              <w:rPr>
                <w:b/>
                <w:bCs/>
              </w:rPr>
            </w:pPr>
            <w:r>
              <w:rPr>
                <w:b/>
                <w:bCs/>
              </w:rPr>
              <w:t>26 Jan</w:t>
            </w:r>
            <w:r w:rsidR="00D07295">
              <w:rPr>
                <w:b/>
                <w:bCs/>
              </w:rPr>
              <w:t xml:space="preserve"> – 13</w:t>
            </w:r>
            <w:r w:rsidR="00296BEC">
              <w:rPr>
                <w:b/>
                <w:bCs/>
              </w:rPr>
              <w:t xml:space="preserve"> Feb 26</w:t>
            </w:r>
          </w:p>
        </w:tc>
        <w:tc>
          <w:tcPr>
            <w:tcW w:w="6519" w:type="dxa"/>
          </w:tcPr>
          <w:p w14:paraId="7AAA8B8F" w14:textId="5E96C828" w:rsidR="0018563A" w:rsidRPr="0018563A" w:rsidRDefault="003A4D4A" w:rsidP="007E54D1">
            <w:pPr>
              <w:pStyle w:val="BodyText1"/>
              <w:spacing w:after="0"/>
            </w:pPr>
            <w:r>
              <w:t>Authority Evaluation</w:t>
            </w:r>
          </w:p>
        </w:tc>
      </w:tr>
      <w:tr w:rsidR="003A4D4A" w:rsidRPr="0018563A" w14:paraId="3589C83F" w14:textId="77777777" w:rsidTr="0018563A">
        <w:tc>
          <w:tcPr>
            <w:tcW w:w="3119" w:type="dxa"/>
          </w:tcPr>
          <w:p w14:paraId="4D523329" w14:textId="5121A11D" w:rsidR="003A4D4A" w:rsidRPr="00C749C7" w:rsidRDefault="00795E6D" w:rsidP="007E54D1">
            <w:pPr>
              <w:pStyle w:val="BodyText1"/>
              <w:spacing w:after="0"/>
              <w:rPr>
                <w:b/>
                <w:bCs/>
              </w:rPr>
            </w:pPr>
            <w:r>
              <w:rPr>
                <w:b/>
                <w:bCs/>
              </w:rPr>
              <w:t xml:space="preserve">NLT </w:t>
            </w:r>
            <w:r w:rsidR="00D21A8B">
              <w:rPr>
                <w:b/>
                <w:bCs/>
              </w:rPr>
              <w:t>06 Feb</w:t>
            </w:r>
            <w:r>
              <w:rPr>
                <w:b/>
                <w:bCs/>
              </w:rPr>
              <w:t xml:space="preserve"> 26</w:t>
            </w:r>
          </w:p>
        </w:tc>
        <w:tc>
          <w:tcPr>
            <w:tcW w:w="6519" w:type="dxa"/>
          </w:tcPr>
          <w:p w14:paraId="658189A1" w14:textId="37AB9B18" w:rsidR="003A4D4A" w:rsidRPr="003A4D4A" w:rsidRDefault="003A4D4A" w:rsidP="007E54D1">
            <w:pPr>
              <w:pStyle w:val="BodyText1"/>
              <w:spacing w:after="0"/>
              <w:rPr>
                <w:b/>
                <w:bCs/>
              </w:rPr>
            </w:pPr>
            <w:r w:rsidRPr="003A4D4A">
              <w:rPr>
                <w:b/>
                <w:bCs/>
              </w:rPr>
              <w:t>Authority clarification of Supplier responses (if required)</w:t>
            </w:r>
          </w:p>
        </w:tc>
      </w:tr>
      <w:tr w:rsidR="00F54D05" w:rsidRPr="0018563A" w14:paraId="2B110908" w14:textId="77777777" w:rsidTr="0018563A">
        <w:tc>
          <w:tcPr>
            <w:tcW w:w="3119" w:type="dxa"/>
          </w:tcPr>
          <w:p w14:paraId="4B0DCD65" w14:textId="53538333" w:rsidR="00F54D05" w:rsidRPr="00C749C7" w:rsidRDefault="00795E6D" w:rsidP="007E54D1">
            <w:pPr>
              <w:pStyle w:val="BodyText1"/>
              <w:spacing w:after="0"/>
              <w:rPr>
                <w:b/>
                <w:bCs/>
              </w:rPr>
            </w:pPr>
            <w:r>
              <w:rPr>
                <w:b/>
                <w:bCs/>
              </w:rPr>
              <w:t>0</w:t>
            </w:r>
            <w:r w:rsidR="00D21A8B">
              <w:rPr>
                <w:b/>
                <w:bCs/>
              </w:rPr>
              <w:t>6</w:t>
            </w:r>
            <w:r>
              <w:rPr>
                <w:b/>
                <w:bCs/>
              </w:rPr>
              <w:t xml:space="preserve"> Feb</w:t>
            </w:r>
            <w:r w:rsidR="00D21A8B">
              <w:rPr>
                <w:b/>
                <w:bCs/>
              </w:rPr>
              <w:t xml:space="preserve"> </w:t>
            </w:r>
            <w:r>
              <w:rPr>
                <w:b/>
                <w:bCs/>
              </w:rPr>
              <w:t>26</w:t>
            </w:r>
          </w:p>
        </w:tc>
        <w:tc>
          <w:tcPr>
            <w:tcW w:w="6519" w:type="dxa"/>
          </w:tcPr>
          <w:p w14:paraId="6B8D6964" w14:textId="717295D7" w:rsidR="00F54D05" w:rsidRPr="00FE42EA" w:rsidRDefault="00473BEB" w:rsidP="007E54D1">
            <w:pPr>
              <w:pStyle w:val="BodyText1"/>
              <w:spacing w:after="0"/>
            </w:pPr>
            <w:r w:rsidRPr="00FE42EA">
              <w:t xml:space="preserve">Outcome of ITT issued to </w:t>
            </w:r>
            <w:r w:rsidR="00FE42EA" w:rsidRPr="00FE42EA">
              <w:t xml:space="preserve">suppliers </w:t>
            </w:r>
          </w:p>
        </w:tc>
      </w:tr>
      <w:tr w:rsidR="00FE42EA" w:rsidRPr="0018563A" w14:paraId="4E5A1C4E" w14:textId="77777777" w:rsidTr="0018563A">
        <w:tc>
          <w:tcPr>
            <w:tcW w:w="3119" w:type="dxa"/>
          </w:tcPr>
          <w:p w14:paraId="5CCCBE35" w14:textId="7E9D5445" w:rsidR="00FE42EA" w:rsidRPr="00C749C7" w:rsidRDefault="00D21A8B" w:rsidP="007E54D1">
            <w:pPr>
              <w:pStyle w:val="BodyText1"/>
              <w:spacing w:after="0"/>
              <w:rPr>
                <w:b/>
                <w:bCs/>
              </w:rPr>
            </w:pPr>
            <w:r>
              <w:rPr>
                <w:b/>
                <w:bCs/>
              </w:rPr>
              <w:t>16</w:t>
            </w:r>
            <w:r w:rsidR="00160352">
              <w:rPr>
                <w:b/>
                <w:bCs/>
              </w:rPr>
              <w:t xml:space="preserve"> Feb 26</w:t>
            </w:r>
          </w:p>
        </w:tc>
        <w:tc>
          <w:tcPr>
            <w:tcW w:w="6519" w:type="dxa"/>
          </w:tcPr>
          <w:p w14:paraId="35A9CE3F" w14:textId="77EA106D" w:rsidR="00FE42EA" w:rsidRPr="00FE42EA" w:rsidRDefault="005230A3" w:rsidP="007E54D1">
            <w:pPr>
              <w:pStyle w:val="BodyText1"/>
              <w:spacing w:after="0"/>
            </w:pPr>
            <w:r>
              <w:t xml:space="preserve">Invitation to Stage 3: </w:t>
            </w:r>
            <w:r w:rsidR="7CC7FCF7">
              <w:t>Interview</w:t>
            </w:r>
            <w:r w:rsidR="23A87479">
              <w:t xml:space="preserve"> and Pricing</w:t>
            </w:r>
            <w:r>
              <w:t xml:space="preserve"> issued to Suppliers</w:t>
            </w:r>
          </w:p>
        </w:tc>
      </w:tr>
      <w:tr w:rsidR="00D21A8B" w:rsidRPr="0018563A" w14:paraId="604FE608" w14:textId="77777777" w:rsidTr="0018563A">
        <w:tc>
          <w:tcPr>
            <w:tcW w:w="3119" w:type="dxa"/>
          </w:tcPr>
          <w:p w14:paraId="3CFDFCB8" w14:textId="2A8652F4" w:rsidR="00D21A8B" w:rsidRDefault="005860BA" w:rsidP="007E54D1">
            <w:pPr>
              <w:pStyle w:val="BodyText1"/>
              <w:spacing w:after="0"/>
              <w:rPr>
                <w:b/>
                <w:bCs/>
              </w:rPr>
            </w:pPr>
            <w:r>
              <w:rPr>
                <w:b/>
                <w:bCs/>
              </w:rPr>
              <w:t>18</w:t>
            </w:r>
            <w:r w:rsidR="00D21A8B">
              <w:rPr>
                <w:b/>
                <w:bCs/>
              </w:rPr>
              <w:t xml:space="preserve"> Feb 25</w:t>
            </w:r>
          </w:p>
        </w:tc>
        <w:tc>
          <w:tcPr>
            <w:tcW w:w="6519" w:type="dxa"/>
          </w:tcPr>
          <w:p w14:paraId="76D4E486" w14:textId="708C01E3" w:rsidR="00D21A8B" w:rsidRDefault="00D21A8B" w:rsidP="007E54D1">
            <w:pPr>
              <w:pStyle w:val="BodyText1"/>
              <w:spacing w:after="0"/>
            </w:pPr>
            <w:r>
              <w:t xml:space="preserve">Supplier Pricing </w:t>
            </w:r>
            <w:r w:rsidR="005860BA">
              <w:t>s</w:t>
            </w:r>
            <w:r>
              <w:t xml:space="preserve">ubmission </w:t>
            </w:r>
            <w:r w:rsidR="005860BA">
              <w:t>d</w:t>
            </w:r>
            <w:r>
              <w:t>eadline</w:t>
            </w:r>
          </w:p>
        </w:tc>
      </w:tr>
      <w:tr w:rsidR="00160352" w:rsidRPr="0018563A" w14:paraId="70718898" w14:textId="77777777" w:rsidTr="0018563A">
        <w:tc>
          <w:tcPr>
            <w:tcW w:w="3119" w:type="dxa"/>
          </w:tcPr>
          <w:p w14:paraId="1E0E8AE0" w14:textId="77777777" w:rsidR="00D21A8B" w:rsidRDefault="00D21A8B" w:rsidP="007E54D1">
            <w:pPr>
              <w:pStyle w:val="BodyText1"/>
              <w:spacing w:after="0"/>
              <w:rPr>
                <w:b/>
                <w:bCs/>
              </w:rPr>
            </w:pPr>
            <w:r>
              <w:rPr>
                <w:b/>
                <w:bCs/>
              </w:rPr>
              <w:t>23 Feb</w:t>
            </w:r>
            <w:r w:rsidR="0026484A">
              <w:rPr>
                <w:b/>
                <w:bCs/>
              </w:rPr>
              <w:t xml:space="preserve"> to </w:t>
            </w:r>
          </w:p>
          <w:p w14:paraId="7328F38B" w14:textId="254D359D" w:rsidR="00160352" w:rsidRDefault="00D21A8B" w:rsidP="007E54D1">
            <w:pPr>
              <w:pStyle w:val="BodyText1"/>
              <w:spacing w:after="0"/>
              <w:rPr>
                <w:b/>
                <w:bCs/>
              </w:rPr>
            </w:pPr>
            <w:r>
              <w:rPr>
                <w:b/>
                <w:bCs/>
              </w:rPr>
              <w:t>06</w:t>
            </w:r>
            <w:r w:rsidR="0026484A">
              <w:rPr>
                <w:b/>
                <w:bCs/>
              </w:rPr>
              <w:t xml:space="preserve"> </w:t>
            </w:r>
            <w:r>
              <w:rPr>
                <w:b/>
                <w:bCs/>
              </w:rPr>
              <w:t>Mar</w:t>
            </w:r>
            <w:r w:rsidR="0026484A">
              <w:rPr>
                <w:b/>
                <w:bCs/>
              </w:rPr>
              <w:t xml:space="preserve"> 26</w:t>
            </w:r>
          </w:p>
        </w:tc>
        <w:tc>
          <w:tcPr>
            <w:tcW w:w="6519" w:type="dxa"/>
          </w:tcPr>
          <w:p w14:paraId="05142239" w14:textId="2B426594" w:rsidR="00160352" w:rsidRDefault="00160352" w:rsidP="007E54D1">
            <w:pPr>
              <w:pStyle w:val="BodyText1"/>
              <w:spacing w:after="0"/>
            </w:pPr>
            <w:r>
              <w:t>Authority interviews with Suppliers</w:t>
            </w:r>
          </w:p>
        </w:tc>
      </w:tr>
      <w:tr w:rsidR="0026484A" w:rsidRPr="0018563A" w14:paraId="65ECC12C" w14:textId="77777777" w:rsidTr="0018563A">
        <w:tc>
          <w:tcPr>
            <w:tcW w:w="3119" w:type="dxa"/>
          </w:tcPr>
          <w:p w14:paraId="6DC156DD" w14:textId="214B3564" w:rsidR="0026484A" w:rsidRDefault="00D21A8B" w:rsidP="007E54D1">
            <w:pPr>
              <w:pStyle w:val="BodyText1"/>
              <w:spacing w:after="0"/>
              <w:rPr>
                <w:b/>
                <w:bCs/>
              </w:rPr>
            </w:pPr>
            <w:r>
              <w:rPr>
                <w:b/>
                <w:bCs/>
              </w:rPr>
              <w:t>06 Mar</w:t>
            </w:r>
            <w:r w:rsidR="00AC1264">
              <w:rPr>
                <w:b/>
                <w:bCs/>
              </w:rPr>
              <w:t xml:space="preserve"> 2</w:t>
            </w:r>
            <w:r w:rsidR="00E35A45">
              <w:rPr>
                <w:b/>
                <w:bCs/>
              </w:rPr>
              <w:t>6</w:t>
            </w:r>
          </w:p>
        </w:tc>
        <w:tc>
          <w:tcPr>
            <w:tcW w:w="6519" w:type="dxa"/>
          </w:tcPr>
          <w:p w14:paraId="2D2E57D8" w14:textId="68553BB6" w:rsidR="0026484A" w:rsidRPr="00AC1264" w:rsidRDefault="00AC1264" w:rsidP="007E54D1">
            <w:pPr>
              <w:pStyle w:val="BodyText1"/>
              <w:spacing w:after="0"/>
              <w:rPr>
                <w:b/>
                <w:bCs/>
              </w:rPr>
            </w:pPr>
            <w:r w:rsidRPr="00AC1264">
              <w:rPr>
                <w:b/>
                <w:bCs/>
              </w:rPr>
              <w:t xml:space="preserve">Stage 3 – </w:t>
            </w:r>
            <w:r w:rsidR="00A7478C">
              <w:rPr>
                <w:b/>
                <w:bCs/>
              </w:rPr>
              <w:t xml:space="preserve">Interview </w:t>
            </w:r>
            <w:r w:rsidRPr="00AC1264">
              <w:rPr>
                <w:b/>
                <w:bCs/>
              </w:rPr>
              <w:t xml:space="preserve">Completion deadline </w:t>
            </w:r>
          </w:p>
        </w:tc>
      </w:tr>
      <w:tr w:rsidR="00AC1264" w:rsidRPr="0018563A" w14:paraId="6F4E9EBA" w14:textId="77777777" w:rsidTr="0018563A">
        <w:tc>
          <w:tcPr>
            <w:tcW w:w="3119" w:type="dxa"/>
          </w:tcPr>
          <w:p w14:paraId="08D7CC8C" w14:textId="001AE8A3" w:rsidR="00AC1264" w:rsidRDefault="009D6494" w:rsidP="007E54D1">
            <w:pPr>
              <w:pStyle w:val="BodyText1"/>
              <w:spacing w:after="0"/>
              <w:rPr>
                <w:b/>
                <w:bCs/>
              </w:rPr>
            </w:pPr>
            <w:r>
              <w:rPr>
                <w:b/>
                <w:bCs/>
              </w:rPr>
              <w:t>0</w:t>
            </w:r>
            <w:r w:rsidR="008217E2">
              <w:rPr>
                <w:b/>
                <w:bCs/>
              </w:rPr>
              <w:t>9</w:t>
            </w:r>
            <w:r>
              <w:rPr>
                <w:b/>
                <w:bCs/>
              </w:rPr>
              <w:t xml:space="preserve"> </w:t>
            </w:r>
            <w:r w:rsidR="008217E2">
              <w:rPr>
                <w:b/>
                <w:bCs/>
              </w:rPr>
              <w:t xml:space="preserve">– 30 </w:t>
            </w:r>
            <w:r>
              <w:rPr>
                <w:b/>
                <w:bCs/>
              </w:rPr>
              <w:t>Mar 26</w:t>
            </w:r>
          </w:p>
        </w:tc>
        <w:tc>
          <w:tcPr>
            <w:tcW w:w="6519" w:type="dxa"/>
          </w:tcPr>
          <w:p w14:paraId="59CED858" w14:textId="1AC31160" w:rsidR="00AC1264" w:rsidRPr="001C7A35" w:rsidRDefault="00AC1264" w:rsidP="007E54D1">
            <w:pPr>
              <w:pStyle w:val="BodyText1"/>
              <w:spacing w:after="0"/>
            </w:pPr>
            <w:r w:rsidRPr="001C7A35">
              <w:t xml:space="preserve">Authority Evaluation </w:t>
            </w:r>
          </w:p>
        </w:tc>
      </w:tr>
      <w:tr w:rsidR="001C7A35" w:rsidRPr="0018563A" w14:paraId="08037D9A" w14:textId="77777777" w:rsidTr="0018563A">
        <w:tc>
          <w:tcPr>
            <w:tcW w:w="3119" w:type="dxa"/>
          </w:tcPr>
          <w:p w14:paraId="1EB86295" w14:textId="143817F2" w:rsidR="001C7A35" w:rsidRDefault="001C7A35" w:rsidP="007E54D1">
            <w:pPr>
              <w:pStyle w:val="BodyText1"/>
              <w:spacing w:after="0"/>
              <w:rPr>
                <w:b/>
                <w:bCs/>
              </w:rPr>
            </w:pPr>
            <w:r>
              <w:rPr>
                <w:b/>
                <w:bCs/>
              </w:rPr>
              <w:t>Apr 26</w:t>
            </w:r>
          </w:p>
        </w:tc>
        <w:tc>
          <w:tcPr>
            <w:tcW w:w="6519" w:type="dxa"/>
          </w:tcPr>
          <w:p w14:paraId="22AAA833" w14:textId="04AD2E20" w:rsidR="001C7A35" w:rsidRPr="001C7A35" w:rsidRDefault="001C7A35" w:rsidP="007E54D1">
            <w:pPr>
              <w:pStyle w:val="BodyText1"/>
              <w:spacing w:after="0"/>
            </w:pPr>
            <w:r>
              <w:t>Authority approvals process</w:t>
            </w:r>
          </w:p>
        </w:tc>
      </w:tr>
      <w:tr w:rsidR="009D6494" w:rsidRPr="0018563A" w14:paraId="574BFE2B" w14:textId="77777777" w:rsidTr="0018563A">
        <w:tc>
          <w:tcPr>
            <w:tcW w:w="3119" w:type="dxa"/>
          </w:tcPr>
          <w:p w14:paraId="36BBE39A" w14:textId="5A6B5AD5" w:rsidR="009D6494" w:rsidRDefault="00E15A80" w:rsidP="007E54D1">
            <w:pPr>
              <w:pStyle w:val="BodyText1"/>
              <w:spacing w:after="0"/>
              <w:rPr>
                <w:b/>
                <w:bCs/>
              </w:rPr>
            </w:pPr>
            <w:r>
              <w:rPr>
                <w:b/>
                <w:bCs/>
              </w:rPr>
              <w:t>0</w:t>
            </w:r>
            <w:r w:rsidR="00A553F7">
              <w:rPr>
                <w:b/>
                <w:bCs/>
              </w:rPr>
              <w:t>5</w:t>
            </w:r>
            <w:r>
              <w:rPr>
                <w:b/>
                <w:bCs/>
              </w:rPr>
              <w:t xml:space="preserve"> May 26</w:t>
            </w:r>
          </w:p>
        </w:tc>
        <w:tc>
          <w:tcPr>
            <w:tcW w:w="6519" w:type="dxa"/>
          </w:tcPr>
          <w:p w14:paraId="61175606" w14:textId="4F9D6FBE" w:rsidR="009D6494" w:rsidRDefault="001C7A35" w:rsidP="007E54D1">
            <w:pPr>
              <w:pStyle w:val="BodyText1"/>
              <w:spacing w:after="0"/>
              <w:rPr>
                <w:b/>
                <w:bCs/>
              </w:rPr>
            </w:pPr>
            <w:r>
              <w:rPr>
                <w:b/>
                <w:bCs/>
              </w:rPr>
              <w:t xml:space="preserve">Assessment Summary and Stage 3 outcome issued </w:t>
            </w:r>
          </w:p>
        </w:tc>
      </w:tr>
      <w:tr w:rsidR="0017504E" w:rsidRPr="0018563A" w14:paraId="632874EF" w14:textId="77777777" w:rsidTr="0018563A">
        <w:tc>
          <w:tcPr>
            <w:tcW w:w="3119" w:type="dxa"/>
          </w:tcPr>
          <w:p w14:paraId="419A9D38" w14:textId="6E2039A8" w:rsidR="0017504E" w:rsidRDefault="00A553F7" w:rsidP="007E54D1">
            <w:pPr>
              <w:pStyle w:val="BodyText1"/>
              <w:spacing w:after="0"/>
              <w:rPr>
                <w:b/>
                <w:bCs/>
              </w:rPr>
            </w:pPr>
            <w:r>
              <w:rPr>
                <w:b/>
                <w:bCs/>
              </w:rPr>
              <w:t>05 May 25</w:t>
            </w:r>
          </w:p>
        </w:tc>
        <w:tc>
          <w:tcPr>
            <w:tcW w:w="6519" w:type="dxa"/>
          </w:tcPr>
          <w:p w14:paraId="638E3F8A" w14:textId="611E09D6" w:rsidR="0017504E" w:rsidRPr="00A553F7" w:rsidRDefault="002372F6" w:rsidP="007E54D1">
            <w:pPr>
              <w:pStyle w:val="BodyText1"/>
              <w:spacing w:after="0"/>
            </w:pPr>
            <w:r w:rsidRPr="00A553F7">
              <w:t>Contract Award Notice</w:t>
            </w:r>
          </w:p>
        </w:tc>
      </w:tr>
      <w:tr w:rsidR="00A553F7" w:rsidRPr="0018563A" w14:paraId="6753CF13" w14:textId="77777777" w:rsidTr="0018563A">
        <w:tc>
          <w:tcPr>
            <w:tcW w:w="3119" w:type="dxa"/>
          </w:tcPr>
          <w:p w14:paraId="7BB0657F" w14:textId="3CCD53AE" w:rsidR="00A553F7" w:rsidRDefault="001D02D0" w:rsidP="007E54D1">
            <w:pPr>
              <w:pStyle w:val="BodyText1"/>
              <w:spacing w:after="0"/>
              <w:rPr>
                <w:b/>
                <w:bCs/>
              </w:rPr>
            </w:pPr>
            <w:r>
              <w:rPr>
                <w:b/>
                <w:bCs/>
              </w:rPr>
              <w:t>05 – 14 May 26 inclusive</w:t>
            </w:r>
          </w:p>
        </w:tc>
        <w:tc>
          <w:tcPr>
            <w:tcW w:w="6519" w:type="dxa"/>
          </w:tcPr>
          <w:p w14:paraId="3932A795" w14:textId="46D5472C" w:rsidR="00A553F7" w:rsidRPr="00A553F7" w:rsidRDefault="00A553F7" w:rsidP="007E54D1">
            <w:pPr>
              <w:pStyle w:val="BodyText1"/>
              <w:spacing w:after="0"/>
            </w:pPr>
            <w:r>
              <w:t>Standstill Period</w:t>
            </w:r>
          </w:p>
        </w:tc>
      </w:tr>
      <w:tr w:rsidR="00A553F7" w:rsidRPr="0018563A" w14:paraId="21B17468" w14:textId="77777777" w:rsidTr="0018563A">
        <w:tc>
          <w:tcPr>
            <w:tcW w:w="3119" w:type="dxa"/>
          </w:tcPr>
          <w:p w14:paraId="3C2AFF2F" w14:textId="6B8B4D65" w:rsidR="00A553F7" w:rsidRDefault="0000089B" w:rsidP="007E54D1">
            <w:pPr>
              <w:pStyle w:val="BodyText1"/>
              <w:spacing w:after="0"/>
              <w:rPr>
                <w:b/>
                <w:bCs/>
              </w:rPr>
            </w:pPr>
            <w:r>
              <w:rPr>
                <w:b/>
                <w:bCs/>
              </w:rPr>
              <w:t>15 May 26</w:t>
            </w:r>
          </w:p>
        </w:tc>
        <w:tc>
          <w:tcPr>
            <w:tcW w:w="6519" w:type="dxa"/>
          </w:tcPr>
          <w:p w14:paraId="588C8404" w14:textId="6AA5A5CE" w:rsidR="00A553F7" w:rsidRDefault="001D02D0" w:rsidP="007E54D1">
            <w:pPr>
              <w:pStyle w:val="BodyText1"/>
              <w:spacing w:after="0"/>
              <w:rPr>
                <w:b/>
                <w:bCs/>
              </w:rPr>
            </w:pPr>
            <w:r>
              <w:rPr>
                <w:b/>
                <w:bCs/>
              </w:rPr>
              <w:t>Contract Award/Signature</w:t>
            </w:r>
          </w:p>
        </w:tc>
      </w:tr>
      <w:tr w:rsidR="007E72A5" w:rsidRPr="0018563A" w14:paraId="1F226CF0" w14:textId="77777777" w:rsidTr="0018563A">
        <w:tc>
          <w:tcPr>
            <w:tcW w:w="3119" w:type="dxa"/>
          </w:tcPr>
          <w:p w14:paraId="191B24FD" w14:textId="5A0BDA46" w:rsidR="007E72A5" w:rsidRDefault="00E15A80" w:rsidP="007E54D1">
            <w:pPr>
              <w:pStyle w:val="BodyText1"/>
              <w:spacing w:after="0"/>
              <w:rPr>
                <w:b/>
                <w:bCs/>
              </w:rPr>
            </w:pPr>
            <w:r>
              <w:rPr>
                <w:b/>
                <w:bCs/>
              </w:rPr>
              <w:t xml:space="preserve">27 May 26 </w:t>
            </w:r>
          </w:p>
        </w:tc>
        <w:tc>
          <w:tcPr>
            <w:tcW w:w="6519" w:type="dxa"/>
          </w:tcPr>
          <w:p w14:paraId="4166C864" w14:textId="324A7AA8" w:rsidR="007E72A5" w:rsidRDefault="007E72A5" w:rsidP="007E54D1">
            <w:pPr>
              <w:pStyle w:val="BodyText1"/>
              <w:spacing w:after="0"/>
              <w:rPr>
                <w:b/>
                <w:bCs/>
              </w:rPr>
            </w:pPr>
            <w:r>
              <w:rPr>
                <w:b/>
                <w:bCs/>
              </w:rPr>
              <w:t xml:space="preserve">Contract start date </w:t>
            </w:r>
          </w:p>
        </w:tc>
      </w:tr>
    </w:tbl>
    <w:p w14:paraId="72A0584B" w14:textId="77777777" w:rsidR="003A4D4A" w:rsidRDefault="003A4D4A" w:rsidP="003A4D4A">
      <w:pPr>
        <w:pStyle w:val="BodyText1"/>
        <w:ind w:left="357"/>
      </w:pPr>
    </w:p>
    <w:p w14:paraId="0AB05BD8" w14:textId="0444A970" w:rsidR="0018563A" w:rsidRDefault="002147DD" w:rsidP="001151C6">
      <w:pPr>
        <w:pStyle w:val="BodyText1"/>
        <w:numPr>
          <w:ilvl w:val="0"/>
          <w:numId w:val="5"/>
        </w:numPr>
        <w:ind w:left="357" w:hanging="357"/>
      </w:pPr>
      <w:r w:rsidRPr="002147DD">
        <w:t>Please note that the Authority reserves the right, in its absolute discretion, to amend the Procurement Timetable or extend any time period in connection with the Procurement</w:t>
      </w:r>
      <w:r w:rsidR="00A31496">
        <w:t xml:space="preserve"> </w:t>
      </w:r>
      <w:r w:rsidR="00756685">
        <w:t xml:space="preserve">and </w:t>
      </w:r>
      <w:r w:rsidR="005A368D">
        <w:t>in line with Paragraph 11(e) of Appendix A (ITP Terms and Conditions)</w:t>
      </w:r>
      <w:r w:rsidRPr="002147DD">
        <w:t>. Any changes to the Procurement Timetable will be notified simultaneously to the Suppliers.</w:t>
      </w:r>
    </w:p>
    <w:p w14:paraId="2AC01748" w14:textId="0570FA73" w:rsidR="00A93FDC" w:rsidRPr="002147DD" w:rsidRDefault="00EC61BF" w:rsidP="00DF644D">
      <w:pPr>
        <w:pStyle w:val="Heading1"/>
        <w:numPr>
          <w:ilvl w:val="0"/>
          <w:numId w:val="0"/>
        </w:numPr>
      </w:pPr>
      <w:bookmarkStart w:id="10" w:name="_Toc211930138"/>
      <w:r>
        <w:t>Performance</w:t>
      </w:r>
      <w:r w:rsidR="002147DD" w:rsidRPr="002147DD">
        <w:t xml:space="preserve"> Levels, Service Credits and</w:t>
      </w:r>
      <w:r w:rsidR="00F22687">
        <w:t> </w:t>
      </w:r>
      <w:r w:rsidR="002147DD" w:rsidRPr="002147DD">
        <w:t>KPIs</w:t>
      </w:r>
      <w:bookmarkEnd w:id="10"/>
    </w:p>
    <w:p w14:paraId="2649F1C6" w14:textId="4D1A28C7" w:rsidR="00190CC6" w:rsidRDefault="005718A1" w:rsidP="001151C6">
      <w:pPr>
        <w:pStyle w:val="BodyText1"/>
        <w:numPr>
          <w:ilvl w:val="0"/>
          <w:numId w:val="5"/>
        </w:numPr>
        <w:ind w:left="357" w:hanging="357"/>
      </w:pPr>
      <w:r>
        <w:t xml:space="preserve"> The </w:t>
      </w:r>
      <w:r w:rsidR="009E63DE">
        <w:t>framework agreement and any subsequent</w:t>
      </w:r>
      <w:r w:rsidR="009E2D49">
        <w:t xml:space="preserve"> call-offs will be monitored by key performance indicators (KPIs). </w:t>
      </w:r>
    </w:p>
    <w:p w14:paraId="7B946DDC" w14:textId="458EBE78" w:rsidR="00707D61" w:rsidRDefault="00D336F4" w:rsidP="001151C6">
      <w:pPr>
        <w:pStyle w:val="BodyText1"/>
        <w:numPr>
          <w:ilvl w:val="0"/>
          <w:numId w:val="5"/>
        </w:numPr>
        <w:ind w:left="357" w:hanging="357"/>
      </w:pPr>
      <w:r>
        <w:t>These can be found in</w:t>
      </w:r>
      <w:r w:rsidR="00707D61">
        <w:t xml:space="preserve"> Framework Schedule 4 (Framework Management) and</w:t>
      </w:r>
      <w:r>
        <w:t xml:space="preserve"> </w:t>
      </w:r>
      <w:r w:rsidR="00334828">
        <w:t>Call-off Schedule 14</w:t>
      </w:r>
      <w:r w:rsidR="002D0CB9">
        <w:t xml:space="preserve"> (Performance Levels)</w:t>
      </w:r>
      <w:r w:rsidR="00095582">
        <w:t xml:space="preserve"> as set out in Appendix C. </w:t>
      </w:r>
      <w:r w:rsidR="00825A4F">
        <w:t xml:space="preserve"> </w:t>
      </w:r>
    </w:p>
    <w:p w14:paraId="37FB2A35" w14:textId="527F4E9B" w:rsidR="00825A4F" w:rsidRDefault="00825A4F" w:rsidP="001151C6">
      <w:pPr>
        <w:pStyle w:val="BodyText1"/>
        <w:numPr>
          <w:ilvl w:val="0"/>
          <w:numId w:val="5"/>
        </w:numPr>
        <w:ind w:left="357" w:hanging="357"/>
      </w:pPr>
      <w:r>
        <w:t xml:space="preserve">Any KPIs at Call-Off level will be agreed as and when a requirement is identified. </w:t>
      </w:r>
    </w:p>
    <w:p w14:paraId="3749C097" w14:textId="7CDA04FF" w:rsidR="00D336F4" w:rsidRDefault="00707D61" w:rsidP="001151C6">
      <w:pPr>
        <w:pStyle w:val="BodyText1"/>
        <w:numPr>
          <w:ilvl w:val="0"/>
          <w:numId w:val="5"/>
        </w:numPr>
        <w:ind w:left="357" w:hanging="357"/>
      </w:pPr>
      <w:r>
        <w:t xml:space="preserve">Service credits will not be applied at either framework or call-off level. </w:t>
      </w:r>
      <w:r w:rsidR="00334828">
        <w:t xml:space="preserve"> </w:t>
      </w:r>
    </w:p>
    <w:p w14:paraId="28AA9F28" w14:textId="1F76A937" w:rsidR="009407AF" w:rsidRDefault="009407AF" w:rsidP="001151C6">
      <w:pPr>
        <w:pStyle w:val="BodyText1"/>
        <w:numPr>
          <w:ilvl w:val="0"/>
          <w:numId w:val="5"/>
        </w:numPr>
        <w:ind w:left="357" w:hanging="357"/>
      </w:pPr>
      <w:r>
        <w:t xml:space="preserve">The Authority reserves the right to amend the </w:t>
      </w:r>
      <w:r w:rsidR="0017504E">
        <w:t>Performance Levels and KPIs prior to Contract Award in future stages of the procurement process.</w:t>
      </w:r>
    </w:p>
    <w:p w14:paraId="5DD02951" w14:textId="77777777" w:rsidR="002147DD" w:rsidRDefault="002147DD" w:rsidP="005718A1">
      <w:pPr>
        <w:pStyle w:val="BodyText1"/>
        <w:ind w:left="357"/>
      </w:pPr>
    </w:p>
    <w:p w14:paraId="15CDF526" w14:textId="77777777" w:rsidR="002147DD" w:rsidRPr="002147DD" w:rsidRDefault="002147DD" w:rsidP="00DF644D">
      <w:pPr>
        <w:pStyle w:val="Heading1"/>
        <w:numPr>
          <w:ilvl w:val="0"/>
          <w:numId w:val="0"/>
        </w:numPr>
      </w:pPr>
      <w:bookmarkStart w:id="11" w:name="_Toc211930139"/>
      <w:r>
        <w:t>Contract terms</w:t>
      </w:r>
      <w:bookmarkEnd w:id="11"/>
    </w:p>
    <w:p w14:paraId="19427BCA" w14:textId="45C258A6" w:rsidR="002147DD" w:rsidRDefault="00C6270C" w:rsidP="001151C6">
      <w:pPr>
        <w:pStyle w:val="BodyText1"/>
        <w:numPr>
          <w:ilvl w:val="0"/>
          <w:numId w:val="5"/>
        </w:numPr>
        <w:ind w:left="357" w:hanging="357"/>
      </w:pPr>
      <w:r>
        <w:t xml:space="preserve"> The </w:t>
      </w:r>
      <w:r w:rsidR="006924EA">
        <w:t xml:space="preserve">Framework </w:t>
      </w:r>
      <w:r>
        <w:t xml:space="preserve">Contract Terms </w:t>
      </w:r>
      <w:r w:rsidR="004206AE">
        <w:t>are bespoke Terms and Conditions drafted by the Authority.</w:t>
      </w:r>
      <w:r>
        <w:t xml:space="preserve"> </w:t>
      </w:r>
    </w:p>
    <w:p w14:paraId="77A7A17E" w14:textId="519E2B7D" w:rsidR="006924EA" w:rsidRDefault="006924EA" w:rsidP="001151C6">
      <w:pPr>
        <w:pStyle w:val="BodyText1"/>
        <w:numPr>
          <w:ilvl w:val="0"/>
          <w:numId w:val="5"/>
        </w:numPr>
        <w:ind w:left="357" w:hanging="357"/>
      </w:pPr>
      <w:r>
        <w:t xml:space="preserve">Included within these terms </w:t>
      </w:r>
      <w:r w:rsidR="00B34BB6">
        <w:t xml:space="preserve">is the process and Terms and Conditions associated with any resultant Call-Off contracts. </w:t>
      </w:r>
    </w:p>
    <w:p w14:paraId="35C17FD1" w14:textId="17082803" w:rsidR="00C6270C" w:rsidRDefault="00C6270C" w:rsidP="001151C6">
      <w:pPr>
        <w:pStyle w:val="BodyText1"/>
        <w:numPr>
          <w:ilvl w:val="0"/>
          <w:numId w:val="5"/>
        </w:numPr>
        <w:ind w:left="357" w:hanging="357"/>
      </w:pPr>
      <w:r>
        <w:t>The successful Supplier(s)</w:t>
      </w:r>
      <w:r w:rsidR="008B6950">
        <w:t xml:space="preserve"> </w:t>
      </w:r>
      <w:r w:rsidR="00EF73FE">
        <w:t xml:space="preserve">will </w:t>
      </w:r>
      <w:r w:rsidR="0040772C">
        <w:t xml:space="preserve">be subject to the Framework </w:t>
      </w:r>
      <w:r w:rsidR="0064057F">
        <w:t>Contract</w:t>
      </w:r>
      <w:r w:rsidR="002D0CB9">
        <w:t xml:space="preserve"> </w:t>
      </w:r>
      <w:r w:rsidR="0040772C">
        <w:t xml:space="preserve">for the life of the contract. </w:t>
      </w:r>
    </w:p>
    <w:p w14:paraId="178E7695" w14:textId="45311FE9" w:rsidR="009E29DF" w:rsidRDefault="009E29DF" w:rsidP="001151C6">
      <w:pPr>
        <w:pStyle w:val="BodyText1"/>
        <w:numPr>
          <w:ilvl w:val="0"/>
          <w:numId w:val="5"/>
        </w:numPr>
        <w:ind w:left="357" w:hanging="357"/>
      </w:pPr>
      <w:r>
        <w:t xml:space="preserve">As the estimated value of the Framework </w:t>
      </w:r>
      <w:r w:rsidR="00740C6B">
        <w:t xml:space="preserve">Contract </w:t>
      </w:r>
      <w:r>
        <w:t>is above £</w:t>
      </w:r>
      <w:r w:rsidR="00DF4743">
        <w:t xml:space="preserve">5 million, the Authority intends to publish a copy of the contract. This relates to the publication obligation </w:t>
      </w:r>
      <w:r w:rsidR="00223FD2">
        <w:t xml:space="preserve">placed on the Authority under section 53 of the Act. </w:t>
      </w:r>
    </w:p>
    <w:p w14:paraId="13F89FCE" w14:textId="4ABB1A0B" w:rsidR="00B34BB6" w:rsidRDefault="00B34BB6" w:rsidP="001151C6">
      <w:pPr>
        <w:pStyle w:val="BodyText1"/>
        <w:numPr>
          <w:ilvl w:val="0"/>
          <w:numId w:val="5"/>
        </w:numPr>
        <w:ind w:left="357" w:hanging="357"/>
      </w:pPr>
      <w:r>
        <w:t xml:space="preserve"> The Framework Contract does not </w:t>
      </w:r>
      <w:r w:rsidR="00806A24">
        <w:t>guarantee a minimum or maximum spend, the value of £25,000,000.00 is an estimate</w:t>
      </w:r>
      <w:r w:rsidR="009027E7">
        <w:t xml:space="preserve"> and does not guarantee any work will be awarded to suppliers under the framework once it is established.</w:t>
      </w:r>
    </w:p>
    <w:p w14:paraId="448231BB" w14:textId="7268D453" w:rsidR="00F25ECA" w:rsidRDefault="004206AE" w:rsidP="001151C6">
      <w:pPr>
        <w:pStyle w:val="BodyText1"/>
        <w:numPr>
          <w:ilvl w:val="0"/>
          <w:numId w:val="5"/>
        </w:numPr>
        <w:ind w:left="357" w:hanging="357"/>
      </w:pPr>
      <w:r>
        <w:t xml:space="preserve"> The full</w:t>
      </w:r>
      <w:r w:rsidR="009027E7">
        <w:t xml:space="preserve"> draft</w:t>
      </w:r>
      <w:r>
        <w:t xml:space="preserve"> Terms and Conditions can be found at Appendix D to this IT</w:t>
      </w:r>
      <w:r w:rsidR="009027E7">
        <w:t xml:space="preserve">P. These are subject to change by the Authority, with the final version to be issued at Stage two – Invitation to submit a tender. </w:t>
      </w:r>
    </w:p>
    <w:p w14:paraId="3ECDF679" w14:textId="7C8537B4" w:rsidR="008859C4" w:rsidRPr="00170C6F" w:rsidRDefault="008859C4" w:rsidP="001151C6">
      <w:pPr>
        <w:pStyle w:val="BodyText1"/>
        <w:numPr>
          <w:ilvl w:val="0"/>
          <w:numId w:val="5"/>
        </w:numPr>
        <w:ind w:left="357" w:hanging="357"/>
      </w:pPr>
      <w:r>
        <w:t>As part of the PSQ, suppliers will be required to confirm they accept these draft Terms and Conditions</w:t>
      </w:r>
      <w:r w:rsidR="008D0E7B">
        <w:t xml:space="preserve"> as one of the </w:t>
      </w:r>
      <w:r w:rsidR="002D0CB9">
        <w:t>conditions</w:t>
      </w:r>
      <w:r w:rsidR="008D0E7B">
        <w:t xml:space="preserve"> to progress to Stage 2</w:t>
      </w:r>
      <w:r>
        <w:t>.</w:t>
      </w:r>
      <w:r w:rsidR="008D0E7B">
        <w:t xml:space="preserve"> </w:t>
      </w:r>
      <w:r>
        <w:t xml:space="preserve"> </w:t>
      </w:r>
    </w:p>
    <w:p w14:paraId="2693A4B7" w14:textId="77777777" w:rsidR="002147DD" w:rsidRPr="002147DD" w:rsidRDefault="002147DD" w:rsidP="00DF644D">
      <w:pPr>
        <w:pStyle w:val="Heading1"/>
        <w:numPr>
          <w:ilvl w:val="0"/>
          <w:numId w:val="0"/>
        </w:numPr>
      </w:pPr>
      <w:bookmarkStart w:id="12" w:name="_Toc211930140"/>
      <w:r>
        <w:t>Data room</w:t>
      </w:r>
      <w:bookmarkEnd w:id="12"/>
    </w:p>
    <w:p w14:paraId="0922BA07" w14:textId="1F579C90" w:rsidR="002147DD" w:rsidRDefault="00117E2C" w:rsidP="001151C6">
      <w:pPr>
        <w:pStyle w:val="BodyText1"/>
        <w:numPr>
          <w:ilvl w:val="0"/>
          <w:numId w:val="5"/>
        </w:numPr>
        <w:ind w:left="357" w:hanging="357"/>
      </w:pPr>
      <w:r>
        <w:t xml:space="preserve"> There will be no data room for this tender. All documents will be available t</w:t>
      </w:r>
      <w:r w:rsidR="00116F9F">
        <w:t xml:space="preserve">o suppliers to </w:t>
      </w:r>
      <w:r w:rsidR="00D359E2">
        <w:t xml:space="preserve">on the Portal. </w:t>
      </w:r>
      <w:r w:rsidR="00116F9F">
        <w:t xml:space="preserve"> </w:t>
      </w:r>
    </w:p>
    <w:p w14:paraId="3C28680C" w14:textId="628E99EF" w:rsidR="00116F9F" w:rsidRDefault="00116F9F" w:rsidP="001151C6">
      <w:pPr>
        <w:pStyle w:val="BodyText1"/>
        <w:numPr>
          <w:ilvl w:val="0"/>
          <w:numId w:val="5"/>
        </w:numPr>
        <w:ind w:left="357" w:hanging="357"/>
      </w:pPr>
      <w:r>
        <w:t xml:space="preserve"> Suppliers should be aware that documents may be updated throughout the </w:t>
      </w:r>
      <w:r w:rsidR="008D7273">
        <w:t xml:space="preserve">tender process and therefore, </w:t>
      </w:r>
      <w:r w:rsidR="00C20150">
        <w:t>they should ensure to regular</w:t>
      </w:r>
      <w:r w:rsidR="002A0CCB">
        <w:t>ly</w:t>
      </w:r>
      <w:r w:rsidR="00C20150">
        <w:t xml:space="preserve"> check </w:t>
      </w:r>
      <w:r w:rsidR="00D359E2">
        <w:t>the Portal</w:t>
      </w:r>
      <w:r w:rsidR="00C20150">
        <w:t xml:space="preserve"> to ensure they have the latest versions. </w:t>
      </w:r>
    </w:p>
    <w:p w14:paraId="7B5CAE0E" w14:textId="4BCE003E" w:rsidR="00C91309" w:rsidRPr="00170C6F" w:rsidRDefault="00C91309" w:rsidP="001151C6">
      <w:pPr>
        <w:pStyle w:val="BodyText1"/>
        <w:numPr>
          <w:ilvl w:val="0"/>
          <w:numId w:val="5"/>
        </w:numPr>
        <w:ind w:left="357" w:hanging="357"/>
      </w:pPr>
      <w:r>
        <w:t xml:space="preserve"> At </w:t>
      </w:r>
      <w:r w:rsidR="006924EA">
        <w:t>S</w:t>
      </w:r>
      <w:r>
        <w:t xml:space="preserve">tage </w:t>
      </w:r>
      <w:r w:rsidR="006924EA">
        <w:t>T</w:t>
      </w:r>
      <w:r>
        <w:t>wo – Invitation to submit a tender</w:t>
      </w:r>
      <w:r w:rsidR="00CA69CC">
        <w:t xml:space="preserve"> (written)</w:t>
      </w:r>
      <w:r>
        <w:t xml:space="preserve"> and </w:t>
      </w:r>
      <w:r w:rsidR="006924EA">
        <w:t>S</w:t>
      </w:r>
      <w:r>
        <w:t xml:space="preserve">tage </w:t>
      </w:r>
      <w:r w:rsidR="006924EA">
        <w:t>T</w:t>
      </w:r>
      <w:r>
        <w:t xml:space="preserve">hree </w:t>
      </w:r>
      <w:r w:rsidR="00992D4E">
        <w:t>–</w:t>
      </w:r>
      <w:r>
        <w:t xml:space="preserve"> </w:t>
      </w:r>
      <w:r w:rsidR="606F1719">
        <w:t>I</w:t>
      </w:r>
      <w:r w:rsidR="075DED91">
        <w:t>nterview</w:t>
      </w:r>
      <w:r w:rsidR="5DDA569C">
        <w:t xml:space="preserve"> and Pricing</w:t>
      </w:r>
      <w:r w:rsidR="00992D4E">
        <w:t xml:space="preserve">, once the information has been issued to the </w:t>
      </w:r>
      <w:r w:rsidR="006924EA">
        <w:t>down selected</w:t>
      </w:r>
      <w:r w:rsidR="00992D4E">
        <w:t xml:space="preserve"> suppliers, it </w:t>
      </w:r>
      <w:r w:rsidR="0058328A">
        <w:t xml:space="preserve">will be made available on </w:t>
      </w:r>
      <w:r w:rsidR="006924EA">
        <w:t xml:space="preserve">the Tender Notice on the Find a Tender website. </w:t>
      </w:r>
    </w:p>
    <w:p w14:paraId="12023A62" w14:textId="77777777" w:rsidR="002147DD" w:rsidRPr="002147DD" w:rsidRDefault="002147DD" w:rsidP="00DF644D">
      <w:pPr>
        <w:pStyle w:val="Heading1"/>
        <w:numPr>
          <w:ilvl w:val="0"/>
          <w:numId w:val="0"/>
        </w:numPr>
      </w:pPr>
      <w:bookmarkStart w:id="13" w:name="_Toc211930141"/>
      <w:r>
        <w:t>How to respond to this opportunity</w:t>
      </w:r>
      <w:bookmarkEnd w:id="13"/>
    </w:p>
    <w:p w14:paraId="7A8687CE" w14:textId="69BD1555" w:rsidR="002147DD" w:rsidRDefault="0040772C" w:rsidP="001151C6">
      <w:pPr>
        <w:pStyle w:val="BodyText1"/>
        <w:numPr>
          <w:ilvl w:val="0"/>
          <w:numId w:val="5"/>
        </w:numPr>
        <w:ind w:left="357" w:hanging="357"/>
      </w:pPr>
      <w:r>
        <w:t xml:space="preserve"> Suppliers should register for this opportunity through the </w:t>
      </w:r>
      <w:r w:rsidR="00D359E2">
        <w:t>Portal</w:t>
      </w:r>
      <w:r>
        <w:t>, the link for this is as follows:</w:t>
      </w:r>
    </w:p>
    <w:p w14:paraId="75512817" w14:textId="69CE4812" w:rsidR="0040772C" w:rsidRDefault="005C1390" w:rsidP="001151C6">
      <w:pPr>
        <w:pStyle w:val="BodyText1"/>
        <w:numPr>
          <w:ilvl w:val="0"/>
          <w:numId w:val="5"/>
        </w:numPr>
        <w:ind w:left="357" w:hanging="357"/>
      </w:pPr>
      <w:r>
        <w:t>Details of technical support available can be found on the Portal.</w:t>
      </w:r>
      <w:r w:rsidR="00AB2444">
        <w:t xml:space="preserve"> </w:t>
      </w:r>
      <w:r w:rsidR="0040772C">
        <w:t xml:space="preserve">Should the </w:t>
      </w:r>
      <w:r>
        <w:t>S</w:t>
      </w:r>
      <w:r w:rsidR="0040772C">
        <w:t>upplier have any</w:t>
      </w:r>
      <w:r>
        <w:t xml:space="preserve"> other</w:t>
      </w:r>
      <w:r w:rsidR="002A45A7">
        <w:t xml:space="preserve"> issues with the </w:t>
      </w:r>
      <w:r>
        <w:t>P</w:t>
      </w:r>
      <w:r w:rsidR="002A45A7">
        <w:t xml:space="preserve">ortal, they should contact the Authority </w:t>
      </w:r>
      <w:r w:rsidR="004B5D1B">
        <w:t>via the following contact point:</w:t>
      </w:r>
    </w:p>
    <w:p w14:paraId="3BDEF033" w14:textId="0217BD3E" w:rsidR="004B5D1B" w:rsidRDefault="004B5D1B" w:rsidP="004B5D1B">
      <w:pPr>
        <w:pStyle w:val="BodyText1"/>
        <w:ind w:left="720"/>
      </w:pPr>
      <w:r>
        <w:t>commercial@ukexportfinance.gov.uk</w:t>
      </w:r>
    </w:p>
    <w:p w14:paraId="1614F19C" w14:textId="77777777" w:rsidR="00DF644D" w:rsidRPr="008B2806" w:rsidRDefault="00DF644D" w:rsidP="00470B13">
      <w:pPr>
        <w:pStyle w:val="Heading1"/>
        <w:numPr>
          <w:ilvl w:val="0"/>
          <w:numId w:val="0"/>
        </w:numPr>
      </w:pPr>
      <w:bookmarkStart w:id="14" w:name="_Toc211930142"/>
      <w:r w:rsidRPr="008B2806">
        <w:t>Requests for clarification</w:t>
      </w:r>
      <w:bookmarkEnd w:id="14"/>
      <w:r w:rsidRPr="008B2806">
        <w:t xml:space="preserve"> </w:t>
      </w:r>
    </w:p>
    <w:p w14:paraId="3C85A63E" w14:textId="56E45AE9" w:rsidR="00DF644D" w:rsidRPr="005330EC" w:rsidRDefault="00DF644D" w:rsidP="001151C6">
      <w:pPr>
        <w:pStyle w:val="BodyText1"/>
        <w:numPr>
          <w:ilvl w:val="0"/>
          <w:numId w:val="5"/>
        </w:numPr>
        <w:ind w:left="357" w:hanging="357"/>
      </w:pPr>
      <w:r w:rsidRPr="005330EC">
        <w:t xml:space="preserve">Any requests for clarification relating to the </w:t>
      </w:r>
      <w:r w:rsidR="00C84DD9">
        <w:t>PSQ</w:t>
      </w:r>
      <w:r w:rsidRPr="005330EC">
        <w:t xml:space="preserve"> </w:t>
      </w:r>
      <w:r w:rsidR="000134EB">
        <w:t>and the Terms and Conditions</w:t>
      </w:r>
      <w:r w:rsidRPr="005330EC">
        <w:t xml:space="preserve"> must be submitted via the </w:t>
      </w:r>
      <w:r w:rsidR="00150935">
        <w:t>Portal</w:t>
      </w:r>
      <w:r w:rsidR="00C84DD9">
        <w:t>,</w:t>
      </w:r>
      <w:r w:rsidRPr="005330EC">
        <w:t xml:space="preserve"> no later than the deadline in the Procurement </w:t>
      </w:r>
      <w:r w:rsidR="006965BC" w:rsidRPr="005330EC">
        <w:t>T</w:t>
      </w:r>
      <w:r w:rsidRPr="005330EC">
        <w:t xml:space="preserve">imetable at paragraph </w:t>
      </w:r>
      <w:r w:rsidR="50ED1A06">
        <w:t>28</w:t>
      </w:r>
      <w:r w:rsidRPr="005330EC">
        <w:t xml:space="preserve"> above to allow the Authority sufficient time to respond prior to the closing date for receipt of submissions. The Authority will endeavour to respond to requests for clarification submitted in accordance with these requirements as soon as possible. </w:t>
      </w:r>
    </w:p>
    <w:p w14:paraId="6E4777AE" w14:textId="142DF565" w:rsidR="00DF644D" w:rsidRPr="005330EC" w:rsidRDefault="00DF644D" w:rsidP="001151C6">
      <w:pPr>
        <w:pStyle w:val="BodyText1"/>
        <w:numPr>
          <w:ilvl w:val="0"/>
          <w:numId w:val="5"/>
        </w:numPr>
        <w:ind w:left="357" w:hanging="357"/>
      </w:pPr>
      <w:r w:rsidRPr="005330EC">
        <w:t xml:space="preserve">The Authority reserves the right not to answer any requests for clarification submitted after the deadline set out in the </w:t>
      </w:r>
      <w:r w:rsidR="006965BC" w:rsidRPr="005330EC">
        <w:t>Procurement Timet</w:t>
      </w:r>
      <w:r w:rsidRPr="005330EC">
        <w:t xml:space="preserve">able at paragraph </w:t>
      </w:r>
      <w:r w:rsidR="00442242" w:rsidRPr="005330EC">
        <w:t>2</w:t>
      </w:r>
      <w:r w:rsidR="00442242">
        <w:t>8</w:t>
      </w:r>
      <w:r w:rsidRPr="005330EC">
        <w:t xml:space="preserve"> above or submitted via any means other than </w:t>
      </w:r>
      <w:r w:rsidR="00C84DD9">
        <w:t xml:space="preserve">Atamis. </w:t>
      </w:r>
    </w:p>
    <w:p w14:paraId="46C74246" w14:textId="70A3577F" w:rsidR="00DF644D" w:rsidRDefault="00DF644D" w:rsidP="001151C6">
      <w:pPr>
        <w:pStyle w:val="BodyText1"/>
        <w:numPr>
          <w:ilvl w:val="0"/>
          <w:numId w:val="5"/>
        </w:numPr>
        <w:spacing w:after="120"/>
        <w:ind w:left="357" w:hanging="357"/>
      </w:pPr>
      <w:r>
        <w:t xml:space="preserve">If Suppliers identify a technical issue with </w:t>
      </w:r>
      <w:r w:rsidR="00A05235">
        <w:t>the Portal that cannot be resolved by</w:t>
      </w:r>
      <w:r w:rsidR="00150935">
        <w:t xml:space="preserve"> information on</w:t>
      </w:r>
      <w:r w:rsidR="00A05235">
        <w:t xml:space="preserve"> the</w:t>
      </w:r>
      <w:r w:rsidR="00150935">
        <w:t xml:space="preserve"> Portal</w:t>
      </w:r>
      <w:r>
        <w:t>, they should contact the Authority without delay via the following contact point at:</w:t>
      </w:r>
    </w:p>
    <w:p w14:paraId="57BF3DAF" w14:textId="4577DF9C" w:rsidR="00DF644D" w:rsidRDefault="002C42AA" w:rsidP="001151C6">
      <w:pPr>
        <w:pStyle w:val="BodyText1"/>
        <w:ind w:left="567"/>
      </w:pPr>
      <w:r>
        <w:t>commerci</w:t>
      </w:r>
      <w:r w:rsidR="00187DC7">
        <w:t>a</w:t>
      </w:r>
      <w:r>
        <w:t>l@ukexportfinance.gov.uk</w:t>
      </w:r>
    </w:p>
    <w:p w14:paraId="5EAE3CB6" w14:textId="2F4E5DE1" w:rsidR="00DF644D" w:rsidRDefault="00DF644D" w:rsidP="001151C6">
      <w:pPr>
        <w:pStyle w:val="BodyText1"/>
        <w:numPr>
          <w:ilvl w:val="0"/>
          <w:numId w:val="5"/>
        </w:numPr>
        <w:ind w:left="357" w:hanging="357"/>
      </w:pPr>
      <w:r>
        <w:t>Where the Authority considers any requests for clarification to be relevant to the proper functioning of the P</w:t>
      </w:r>
      <w:r w:rsidR="00C84DD9">
        <w:t>SQ</w:t>
      </w:r>
      <w:r>
        <w:t xml:space="preserve">,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5D5BFFA9" w14:textId="77777777" w:rsidR="00DF644D" w:rsidRDefault="00DF644D" w:rsidP="001151C6">
      <w:pPr>
        <w:pStyle w:val="BodyText1"/>
        <w:numPr>
          <w:ilvl w:val="0"/>
          <w:numId w:val="5"/>
        </w:numPr>
        <w:ind w:left="357" w:hanging="357"/>
      </w:pPr>
      <w: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2D6BE5AA" w14:textId="77777777" w:rsidR="00DF644D" w:rsidRDefault="00DF644D" w:rsidP="001151C6">
      <w:pPr>
        <w:pStyle w:val="BodyText1"/>
        <w:numPr>
          <w:ilvl w:val="0"/>
          <w:numId w:val="5"/>
        </w:numPr>
        <w:ind w:left="357" w:hanging="357"/>
      </w:pPr>
      <w:r>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1F567A7C" w14:textId="4F810BC6" w:rsidR="00DF644D" w:rsidRPr="00DF644D" w:rsidRDefault="00DF644D" w:rsidP="001151C6">
      <w:pPr>
        <w:pStyle w:val="BodyText1"/>
        <w:numPr>
          <w:ilvl w:val="0"/>
          <w:numId w:val="5"/>
        </w:numPr>
        <w:ind w:left="357" w:hanging="357"/>
      </w:pPr>
      <w:r>
        <w:t>It is the responsibility of each Supplier to monitor all clarifications issued by the Authority. The Authority accepts no liability for any Supplier's failure to keep abreast of clarifications issued.</w:t>
      </w:r>
    </w:p>
    <w:p w14:paraId="69C309A7" w14:textId="625F3526" w:rsidR="005508FD" w:rsidRDefault="005508FD" w:rsidP="005508FD">
      <w:pPr>
        <w:pStyle w:val="BodyText1"/>
        <w:numPr>
          <w:ilvl w:val="0"/>
          <w:numId w:val="5"/>
        </w:numPr>
        <w:ind w:left="357" w:hanging="357"/>
      </w:pPr>
      <w:r>
        <w:t>The Authority reserves the right to seek clarification of any aspect of a PSQ response and/or to request additional information during the evaluation phase</w:t>
      </w:r>
      <w:r w:rsidR="0076400D">
        <w:t xml:space="preserve"> </w:t>
      </w:r>
      <w:r w:rsidR="00C43CCF">
        <w:t xml:space="preserve">and </w:t>
      </w:r>
      <w:r w:rsidR="0076400D">
        <w:t xml:space="preserve">in line with </w:t>
      </w:r>
      <w:r w:rsidR="00C43CCF">
        <w:t>Paragraph</w:t>
      </w:r>
      <w:r w:rsidR="0076400D">
        <w:t xml:space="preserve"> 11(</w:t>
      </w:r>
      <w:r w:rsidR="515318D4">
        <w:t>b</w:t>
      </w:r>
      <w:r w:rsidR="0076400D">
        <w:t>) of Annex A ITP Terms and Conditions</w:t>
      </w:r>
      <w:r w:rsidR="00C43CCF">
        <w:t>,</w:t>
      </w:r>
      <w:r>
        <w:t xml:space="preserve"> in order to carry out a fair evaluation. Failure to respond within the timescales specified and/or to provide an adequate response to such a request may result in your bid not being shortlisted to progress to Stage 2.</w:t>
      </w:r>
    </w:p>
    <w:p w14:paraId="31AFA489" w14:textId="77777777" w:rsidR="00CE0108" w:rsidRPr="00CE0108" w:rsidRDefault="00CE0108" w:rsidP="00A673EC">
      <w:pPr>
        <w:pStyle w:val="ListParagraph"/>
        <w:numPr>
          <w:ilvl w:val="0"/>
          <w:numId w:val="5"/>
        </w:numPr>
        <w:spacing w:line="279" w:lineRule="auto"/>
        <w:jc w:val="both"/>
        <w:rPr>
          <w:rFonts w:ascii="Arial" w:eastAsia="Arial" w:hAnsi="Arial" w:cs="Arial"/>
          <w:color w:val="000000"/>
          <w:lang w:val="en-US" w:eastAsia="ja-JP"/>
        </w:rPr>
      </w:pPr>
      <w:r w:rsidRPr="00CE0108">
        <w:rPr>
          <w:rFonts w:ascii="Arial" w:eastAsia="Arial" w:hAnsi="Arial" w:cs="Arial"/>
          <w:color w:val="000000"/>
          <w:lang w:val="en-US" w:eastAsia="ja-JP"/>
        </w:rPr>
        <w:t>Virtual Market Engagement Session</w:t>
      </w:r>
    </w:p>
    <w:p w14:paraId="3A47F6F6" w14:textId="77777777" w:rsidR="00CE0108" w:rsidRPr="00D12720" w:rsidRDefault="00CE0108" w:rsidP="00CE0108">
      <w:pPr>
        <w:pStyle w:val="ListParagraph"/>
        <w:spacing w:line="279" w:lineRule="auto"/>
        <w:ind w:left="360"/>
        <w:jc w:val="both"/>
        <w:rPr>
          <w:rFonts w:ascii="Arial" w:eastAsia="Arial" w:hAnsi="Arial" w:cs="Arial"/>
          <w:color w:val="000000"/>
          <w:lang w:val="en-US" w:eastAsia="ja-JP"/>
        </w:rPr>
      </w:pPr>
    </w:p>
    <w:p w14:paraId="75D9FC84" w14:textId="77777777" w:rsidR="00CE0108" w:rsidRDefault="00CE0108" w:rsidP="00CE0108">
      <w:pPr>
        <w:pStyle w:val="ListParagraph"/>
        <w:numPr>
          <w:ilvl w:val="1"/>
          <w:numId w:val="5"/>
        </w:numPr>
        <w:spacing w:line="279" w:lineRule="auto"/>
        <w:jc w:val="both"/>
        <w:rPr>
          <w:rFonts w:ascii="Arial" w:eastAsia="Arial" w:hAnsi="Arial" w:cs="Arial"/>
          <w:color w:val="000000"/>
          <w:lang w:val="en-US" w:eastAsia="ja-JP"/>
        </w:rPr>
      </w:pPr>
      <w:r w:rsidRPr="00D12720">
        <w:rPr>
          <w:rFonts w:ascii="Arial" w:eastAsia="Arial" w:hAnsi="Arial" w:cs="Arial"/>
          <w:color w:val="000000"/>
          <w:lang w:val="en-US" w:eastAsia="ja-JP"/>
        </w:rPr>
        <w:t xml:space="preserve">A Question and Answer (Q&amp;A) session will be held virtually over Microsoft Teams on </w:t>
      </w:r>
      <w:r w:rsidRPr="005B073D">
        <w:rPr>
          <w:rFonts w:ascii="Arial" w:eastAsia="Arial" w:hAnsi="Arial" w:cs="Arial"/>
          <w:color w:val="000000"/>
          <w:lang w:val="en-US" w:eastAsia="ja-JP"/>
        </w:rPr>
        <w:t xml:space="preserve">at 1400hrshrs </w:t>
      </w:r>
      <w:r w:rsidRPr="00464703">
        <w:rPr>
          <w:rFonts w:ascii="Arial" w:eastAsia="Arial" w:hAnsi="Arial" w:cs="Arial"/>
          <w:color w:val="000000"/>
          <w:lang w:val="en-US" w:eastAsia="ja-JP"/>
        </w:rPr>
        <w:t>GMT on 03 Nov 25. Should</w:t>
      </w:r>
      <w:r w:rsidRPr="00D12720">
        <w:rPr>
          <w:rFonts w:ascii="Arial" w:eastAsia="Arial" w:hAnsi="Arial" w:cs="Arial"/>
          <w:color w:val="000000"/>
          <w:lang w:val="en-US" w:eastAsia="ja-JP"/>
        </w:rPr>
        <w:t xml:space="preserve"> the Supplier wish to attend, please share the name, email and phone number for each supplier representative by e-mail, on/before</w:t>
      </w:r>
      <w:r>
        <w:rPr>
          <w:rFonts w:ascii="Arial" w:eastAsia="Arial" w:hAnsi="Arial" w:cs="Arial"/>
          <w:color w:val="000000"/>
          <w:lang w:val="en-US" w:eastAsia="ja-JP"/>
        </w:rPr>
        <w:t xml:space="preserve"> 1200hrs GMT on 31 Oct 25</w:t>
      </w:r>
      <w:r w:rsidRPr="00D12720">
        <w:rPr>
          <w:rFonts w:ascii="Arial" w:eastAsia="Arial" w:hAnsi="Arial" w:cs="Arial"/>
          <w:color w:val="000000"/>
          <w:lang w:val="en-US" w:eastAsia="ja-JP"/>
        </w:rPr>
        <w:t xml:space="preserve"> to:</w:t>
      </w:r>
    </w:p>
    <w:p w14:paraId="46B93E80" w14:textId="77777777" w:rsidR="00CE0108" w:rsidRDefault="00CE0108" w:rsidP="00CE0108">
      <w:pPr>
        <w:pStyle w:val="ListParagraph"/>
        <w:spacing w:line="279" w:lineRule="auto"/>
        <w:ind w:left="785"/>
        <w:jc w:val="both"/>
        <w:rPr>
          <w:rFonts w:ascii="Arial" w:eastAsia="Arial" w:hAnsi="Arial" w:cs="Arial"/>
          <w:color w:val="000000"/>
          <w:lang w:val="en-US" w:eastAsia="ja-JP"/>
        </w:rPr>
      </w:pPr>
    </w:p>
    <w:p w14:paraId="4B9F99BA" w14:textId="77777777" w:rsidR="00CE0108" w:rsidRPr="00D12720" w:rsidRDefault="00CE0108" w:rsidP="00CE0108">
      <w:pPr>
        <w:pStyle w:val="ListParagraph"/>
        <w:numPr>
          <w:ilvl w:val="2"/>
          <w:numId w:val="5"/>
        </w:numPr>
        <w:spacing w:line="279" w:lineRule="auto"/>
        <w:jc w:val="both"/>
        <w:rPr>
          <w:rFonts w:ascii="Arial" w:eastAsia="Arial" w:hAnsi="Arial" w:cs="Arial"/>
          <w:color w:val="000000"/>
          <w:lang w:val="en-US" w:eastAsia="ja-JP"/>
        </w:rPr>
      </w:pPr>
      <w:hyperlink r:id="rId19" w:history="1">
        <w:r w:rsidRPr="00EC2967">
          <w:rPr>
            <w:rStyle w:val="Hyperlink"/>
            <w:rFonts w:ascii="Arial" w:eastAsia="Arial" w:hAnsi="Arial" w:cs="Arial"/>
            <w:lang w:val="en-US" w:eastAsia="ja-JP"/>
          </w:rPr>
          <w:t>commercial@ukexportfinance.gov.uk</w:t>
        </w:r>
      </w:hyperlink>
      <w:r w:rsidRPr="00D12720">
        <w:rPr>
          <w:rFonts w:ascii="Arial" w:eastAsia="Arial" w:hAnsi="Arial" w:cs="Arial"/>
          <w:color w:val="000000"/>
          <w:lang w:val="en-US" w:eastAsia="ja-JP"/>
        </w:rPr>
        <w:t xml:space="preserve"> with the reference ‘UKEF 0641 GALP </w:t>
      </w:r>
      <w:r>
        <w:rPr>
          <w:rFonts w:ascii="Arial" w:eastAsia="Arial" w:hAnsi="Arial" w:cs="Arial"/>
          <w:color w:val="000000"/>
          <w:lang w:val="en-US" w:eastAsia="ja-JP"/>
        </w:rPr>
        <w:t>Market Engagement</w:t>
      </w:r>
      <w:r w:rsidRPr="00D12720">
        <w:rPr>
          <w:rFonts w:ascii="Arial" w:eastAsia="Arial" w:hAnsi="Arial" w:cs="Arial"/>
          <w:color w:val="000000"/>
          <w:lang w:val="en-US" w:eastAsia="ja-JP"/>
        </w:rPr>
        <w:t xml:space="preserve"> Session’</w:t>
      </w:r>
    </w:p>
    <w:p w14:paraId="44D95D9F" w14:textId="77777777" w:rsidR="00CE0108" w:rsidRDefault="00CE0108" w:rsidP="00CE0108">
      <w:pPr>
        <w:spacing w:line="279" w:lineRule="auto"/>
        <w:ind w:left="720"/>
        <w:contextualSpacing/>
        <w:rPr>
          <w:rFonts w:ascii="Arial" w:eastAsia="Arial" w:hAnsi="Arial" w:cs="Arial"/>
          <w:color w:val="000000"/>
          <w:lang w:val="en-US" w:eastAsia="ja-JP"/>
        </w:rPr>
      </w:pPr>
    </w:p>
    <w:p w14:paraId="61E96990" w14:textId="77777777" w:rsidR="00CE0108" w:rsidRPr="004416F9" w:rsidRDefault="00CE0108" w:rsidP="00CE0108">
      <w:pPr>
        <w:spacing w:line="279" w:lineRule="auto"/>
        <w:ind w:left="720"/>
        <w:contextualSpacing/>
        <w:rPr>
          <w:rFonts w:ascii="Aptos" w:eastAsia="Aptos" w:hAnsi="Aptos" w:cs="Aptos"/>
          <w:b/>
          <w:bCs/>
          <w:color w:val="000000"/>
          <w:lang w:val="en-US" w:eastAsia="ja-JP"/>
        </w:rPr>
      </w:pPr>
      <w:r w:rsidRPr="004416F9">
        <w:rPr>
          <w:rFonts w:ascii="Arial" w:eastAsia="Arial" w:hAnsi="Arial" w:cs="Arial"/>
          <w:b/>
          <w:bCs/>
          <w:color w:val="000000"/>
          <w:lang w:val="en-US" w:eastAsia="ja-JP"/>
        </w:rPr>
        <w:t>Please note, Suppliers are restricted to two representatives for this session.</w:t>
      </w:r>
    </w:p>
    <w:p w14:paraId="52839A1E" w14:textId="77777777" w:rsidR="00CE0108" w:rsidRPr="00523867" w:rsidRDefault="00CE0108" w:rsidP="00CE0108">
      <w:pPr>
        <w:spacing w:line="279" w:lineRule="auto"/>
        <w:ind w:left="720"/>
        <w:contextualSpacing/>
        <w:rPr>
          <w:rFonts w:ascii="Aptos" w:eastAsia="Aptos" w:hAnsi="Aptos" w:cs="Aptos"/>
          <w:color w:val="000000"/>
          <w:lang w:val="en-US" w:eastAsia="ja-JP"/>
        </w:rPr>
      </w:pPr>
    </w:p>
    <w:p w14:paraId="1DBC64D1" w14:textId="77777777" w:rsidR="00CE0108" w:rsidRDefault="00CE0108" w:rsidP="00CE0108">
      <w:pPr>
        <w:numPr>
          <w:ilvl w:val="1"/>
          <w:numId w:val="5"/>
        </w:numPr>
        <w:shd w:val="clear" w:color="auto" w:fill="FFFFFF"/>
        <w:spacing w:line="278" w:lineRule="auto"/>
        <w:contextualSpacing/>
        <w:rPr>
          <w:rFonts w:ascii="Arial" w:eastAsia="Arial" w:hAnsi="Arial" w:cs="Arial"/>
          <w:color w:val="000000"/>
          <w:lang w:val="en-US" w:eastAsia="ja-JP"/>
        </w:rPr>
      </w:pPr>
      <w:r w:rsidRPr="00CC77B3">
        <w:rPr>
          <w:rFonts w:ascii="Arial" w:eastAsia="Arial" w:hAnsi="Arial" w:cs="Arial"/>
          <w:color w:val="000000"/>
          <w:lang w:val="en-US" w:eastAsia="ja-JP"/>
        </w:rPr>
        <w:t xml:space="preserve">The </w:t>
      </w:r>
      <w:r>
        <w:rPr>
          <w:rFonts w:ascii="Arial" w:eastAsia="Arial" w:hAnsi="Arial" w:cs="Arial"/>
          <w:color w:val="000000"/>
          <w:lang w:val="en-US" w:eastAsia="ja-JP"/>
        </w:rPr>
        <w:t>Marget Engagement session will provide the opportunity for the</w:t>
      </w:r>
      <w:r w:rsidRPr="00CC77B3">
        <w:rPr>
          <w:rFonts w:ascii="Arial" w:eastAsia="Arial" w:hAnsi="Arial" w:cs="Arial"/>
          <w:color w:val="000000"/>
          <w:lang w:val="en-US" w:eastAsia="ja-JP"/>
        </w:rPr>
        <w:t xml:space="preserve"> Authority</w:t>
      </w:r>
      <w:r>
        <w:rPr>
          <w:rFonts w:ascii="Arial" w:eastAsia="Arial" w:hAnsi="Arial" w:cs="Arial"/>
          <w:color w:val="000000"/>
          <w:lang w:val="en-US" w:eastAsia="ja-JP"/>
        </w:rPr>
        <w:t xml:space="preserve"> to</w:t>
      </w:r>
      <w:r w:rsidRPr="00CC77B3">
        <w:rPr>
          <w:rFonts w:ascii="Arial" w:eastAsia="Arial" w:hAnsi="Arial" w:cs="Arial"/>
          <w:color w:val="000000"/>
          <w:lang w:val="en-US" w:eastAsia="ja-JP"/>
        </w:rPr>
        <w:t xml:space="preserve"> present the requirements to all </w:t>
      </w:r>
      <w:r>
        <w:rPr>
          <w:rFonts w:ascii="Arial" w:eastAsia="Arial" w:hAnsi="Arial" w:cs="Arial"/>
          <w:color w:val="000000"/>
          <w:lang w:val="en-US" w:eastAsia="ja-JP"/>
        </w:rPr>
        <w:t>Suppliers</w:t>
      </w:r>
      <w:r w:rsidRPr="00CC77B3">
        <w:rPr>
          <w:rFonts w:ascii="Arial" w:eastAsia="Arial" w:hAnsi="Arial" w:cs="Arial"/>
          <w:color w:val="000000"/>
          <w:lang w:val="en-US" w:eastAsia="ja-JP"/>
        </w:rPr>
        <w:t xml:space="preserve"> at the same time. It </w:t>
      </w:r>
      <w:r>
        <w:rPr>
          <w:rFonts w:ascii="Arial" w:eastAsia="Arial" w:hAnsi="Arial" w:cs="Arial"/>
          <w:color w:val="000000"/>
          <w:lang w:val="en-US" w:eastAsia="ja-JP"/>
        </w:rPr>
        <w:t>will give Suppliers</w:t>
      </w:r>
      <w:r w:rsidRPr="00CC77B3">
        <w:rPr>
          <w:rFonts w:ascii="Arial" w:eastAsia="Arial" w:hAnsi="Arial" w:cs="Arial"/>
          <w:color w:val="000000"/>
          <w:lang w:val="en-US" w:eastAsia="ja-JP"/>
        </w:rPr>
        <w:t xml:space="preserve"> an opportunity to ask questions about the requirement and pre-qualification process.</w:t>
      </w:r>
    </w:p>
    <w:p w14:paraId="5F745953" w14:textId="77777777" w:rsidR="00CE0108" w:rsidRDefault="00CE0108" w:rsidP="00CE0108">
      <w:pPr>
        <w:shd w:val="clear" w:color="auto" w:fill="FFFFFF"/>
        <w:spacing w:line="278" w:lineRule="auto"/>
        <w:ind w:left="785"/>
        <w:contextualSpacing/>
        <w:rPr>
          <w:rFonts w:ascii="Arial" w:eastAsia="Arial" w:hAnsi="Arial" w:cs="Arial"/>
          <w:color w:val="000000"/>
          <w:lang w:val="en-US" w:eastAsia="ja-JP"/>
        </w:rPr>
      </w:pPr>
    </w:p>
    <w:p w14:paraId="0D93B639" w14:textId="77777777" w:rsidR="00CE0108" w:rsidRDefault="00CE0108" w:rsidP="00CE0108">
      <w:pPr>
        <w:numPr>
          <w:ilvl w:val="1"/>
          <w:numId w:val="5"/>
        </w:numPr>
        <w:shd w:val="clear" w:color="auto" w:fill="FFFFFF"/>
        <w:spacing w:line="278" w:lineRule="auto"/>
        <w:contextualSpacing/>
        <w:rPr>
          <w:rFonts w:ascii="Arial" w:eastAsia="Arial" w:hAnsi="Arial" w:cs="Arial"/>
          <w:color w:val="000000"/>
          <w:lang w:val="en-US" w:eastAsia="ja-JP"/>
        </w:rPr>
      </w:pPr>
      <w:r>
        <w:rPr>
          <w:rFonts w:ascii="Arial" w:eastAsia="Arial" w:hAnsi="Arial" w:cs="Arial"/>
          <w:color w:val="000000"/>
          <w:lang w:val="en-US" w:eastAsia="ja-JP"/>
        </w:rPr>
        <w:t xml:space="preserve">Where possible, the Authority will respond to questions during the session. </w:t>
      </w:r>
    </w:p>
    <w:p w14:paraId="76C25FDA" w14:textId="77777777" w:rsidR="00CE0108" w:rsidRDefault="00CE0108" w:rsidP="00CE0108">
      <w:pPr>
        <w:shd w:val="clear" w:color="auto" w:fill="FFFFFF"/>
        <w:spacing w:line="278" w:lineRule="auto"/>
        <w:contextualSpacing/>
        <w:rPr>
          <w:rFonts w:ascii="Arial" w:eastAsia="Arial" w:hAnsi="Arial" w:cs="Arial"/>
          <w:color w:val="000000"/>
          <w:lang w:val="en-US" w:eastAsia="ja-JP"/>
        </w:rPr>
      </w:pPr>
    </w:p>
    <w:p w14:paraId="1B56B0F9" w14:textId="1444AD89" w:rsidR="008B349C" w:rsidRPr="00CE0108" w:rsidRDefault="00CE0108" w:rsidP="00CE0108">
      <w:pPr>
        <w:numPr>
          <w:ilvl w:val="1"/>
          <w:numId w:val="5"/>
        </w:numPr>
        <w:shd w:val="clear" w:color="auto" w:fill="FFFFFF" w:themeFill="background1"/>
        <w:spacing w:line="278" w:lineRule="auto"/>
        <w:contextualSpacing/>
        <w:rPr>
          <w:rFonts w:ascii="Arial" w:eastAsia="Arial" w:hAnsi="Arial" w:cs="Arial"/>
          <w:color w:val="000000"/>
          <w:lang w:eastAsia="ja-JP"/>
        </w:rPr>
      </w:pPr>
      <w:r w:rsidRPr="183CD589">
        <w:rPr>
          <w:rFonts w:ascii="Arial" w:eastAsia="Arial" w:hAnsi="Arial" w:cs="Arial"/>
          <w:color w:val="000000"/>
          <w:lang w:eastAsia="ja-JP"/>
        </w:rPr>
        <w:t xml:space="preserve">Following the Q&amp;A, the Authority will issue an updated Clarification Questions log, in accordance with Section h ‘Clarification Process.’ This will contain all questions and Authority responses from the Market Engagement event and will be </w:t>
      </w:r>
      <w:r w:rsidRPr="183CD589">
        <w:rPr>
          <w:rFonts w:ascii="Arial" w:eastAsia="Arial" w:hAnsi="Arial" w:cs="Arial"/>
          <w:color w:val="000000" w:themeColor="text1"/>
          <w:lang w:eastAsia="ja-JP"/>
        </w:rPr>
        <w:t xml:space="preserve">accessible </w:t>
      </w:r>
      <w:r w:rsidRPr="183CD589">
        <w:rPr>
          <w:rFonts w:ascii="Arial" w:eastAsia="Arial" w:hAnsi="Arial" w:cs="Arial"/>
          <w:color w:val="000000"/>
          <w:lang w:eastAsia="ja-JP"/>
        </w:rPr>
        <w:t>to all Suppliers</w:t>
      </w:r>
      <w:r w:rsidRPr="183CD589">
        <w:rPr>
          <w:rFonts w:ascii="Arial" w:eastAsia="Arial" w:hAnsi="Arial" w:cs="Arial"/>
          <w:color w:val="000000" w:themeColor="text1"/>
          <w:lang w:eastAsia="ja-JP"/>
        </w:rPr>
        <w:t xml:space="preserve"> via the Portal</w:t>
      </w:r>
      <w:r w:rsidRPr="183CD589">
        <w:rPr>
          <w:rFonts w:ascii="Arial" w:eastAsia="Arial" w:hAnsi="Arial" w:cs="Arial"/>
          <w:color w:val="000000"/>
          <w:lang w:eastAsia="ja-JP"/>
        </w:rPr>
        <w:t xml:space="preserve">.  </w:t>
      </w:r>
    </w:p>
    <w:p w14:paraId="1BA525BB" w14:textId="77777777" w:rsidR="000543EB" w:rsidRPr="00DF644D" w:rsidRDefault="000543EB" w:rsidP="008A2418">
      <w:pPr>
        <w:pStyle w:val="BodyText1"/>
        <w:ind w:left="357"/>
      </w:pPr>
    </w:p>
    <w:p w14:paraId="53A5A4B6" w14:textId="77777777" w:rsidR="002147DD" w:rsidRPr="002147DD" w:rsidRDefault="002147DD" w:rsidP="00DF644D">
      <w:pPr>
        <w:pStyle w:val="Heading1"/>
        <w:numPr>
          <w:ilvl w:val="0"/>
          <w:numId w:val="0"/>
        </w:numPr>
      </w:pPr>
      <w:bookmarkStart w:id="15" w:name="_Toc211930143"/>
      <w:r>
        <w:t>The assessment process and award criteria</w:t>
      </w:r>
      <w:bookmarkEnd w:id="15"/>
    </w:p>
    <w:p w14:paraId="14ACC6C4" w14:textId="14F12843" w:rsidR="002147DD" w:rsidRDefault="00EB380D" w:rsidP="001151C6">
      <w:pPr>
        <w:pStyle w:val="BodyText1"/>
        <w:numPr>
          <w:ilvl w:val="0"/>
          <w:numId w:val="5"/>
        </w:numPr>
        <w:ind w:left="357" w:hanging="357"/>
      </w:pPr>
      <w:r>
        <w:t xml:space="preserve"> </w:t>
      </w:r>
      <w:r w:rsidR="00781239">
        <w:t xml:space="preserve">Stage 1: Invitation to participate will be assessed </w:t>
      </w:r>
      <w:r w:rsidR="00DE3621">
        <w:t xml:space="preserve">using a </w:t>
      </w:r>
      <w:r w:rsidR="00CC488F" w:rsidDel="00390719">
        <w:t>Pro</w:t>
      </w:r>
      <w:r w:rsidR="00CC488F">
        <w:t>curement</w:t>
      </w:r>
      <w:r w:rsidR="008A2418">
        <w:t xml:space="preserve"> </w:t>
      </w:r>
      <w:r w:rsidR="00D10F0E">
        <w:t>Specific Questionnaire (PSQ)</w:t>
      </w:r>
      <w:r w:rsidR="00781239">
        <w:t xml:space="preserve">. </w:t>
      </w:r>
    </w:p>
    <w:p w14:paraId="1B429CB9" w14:textId="1D45DBDC" w:rsidR="00DE3621" w:rsidRDefault="00D64286" w:rsidP="001151C6">
      <w:pPr>
        <w:pStyle w:val="BodyText1"/>
        <w:numPr>
          <w:ilvl w:val="0"/>
          <w:numId w:val="5"/>
        </w:numPr>
        <w:ind w:left="357" w:hanging="357"/>
      </w:pPr>
      <w:r>
        <w:t xml:space="preserve">The PSQ is made up of a mixture of pass/fail and scored questions. Full details of how </w:t>
      </w:r>
      <w:r w:rsidR="00856357">
        <w:t>the PSQ</w:t>
      </w:r>
      <w:r>
        <w:t xml:space="preserve"> will be </w:t>
      </w:r>
      <w:r w:rsidR="00856357">
        <w:t xml:space="preserve">scored and evaluated can be found at Appendix I </w:t>
      </w:r>
      <w:r w:rsidR="6241F16D">
        <w:t>(Procurement Specific Questionnaire Guidance Document)</w:t>
      </w:r>
      <w:r w:rsidR="71D3C932">
        <w:t xml:space="preserve"> </w:t>
      </w:r>
      <w:r w:rsidR="00856357">
        <w:t xml:space="preserve">and Appendix J </w:t>
      </w:r>
      <w:r w:rsidR="6241F16D">
        <w:t>(PSQ Response Document)</w:t>
      </w:r>
      <w:r w:rsidR="71D3C932">
        <w:t xml:space="preserve"> </w:t>
      </w:r>
    </w:p>
    <w:p w14:paraId="1D0AB5CF" w14:textId="1952139E" w:rsidR="008B7BAA" w:rsidRDefault="00B2480F" w:rsidP="00216E04">
      <w:pPr>
        <w:pStyle w:val="BodyText1"/>
        <w:numPr>
          <w:ilvl w:val="0"/>
          <w:numId w:val="5"/>
        </w:numPr>
        <w:ind w:left="357" w:hanging="357"/>
      </w:pPr>
      <w:r>
        <w:t xml:space="preserve">Following the evaluation of the PSQ, </w:t>
      </w:r>
      <w:r w:rsidR="00277FBC">
        <w:t xml:space="preserve">and </w:t>
      </w:r>
      <w:r w:rsidR="00C762A3">
        <w:t>subject to paragraph</w:t>
      </w:r>
      <w:r w:rsidR="3E9F151D">
        <w:t>s</w:t>
      </w:r>
      <w:r w:rsidR="00C762A3">
        <w:t xml:space="preserve"> 2</w:t>
      </w:r>
      <w:r w:rsidR="00277FBC">
        <w:t>1(h)</w:t>
      </w:r>
      <w:r w:rsidR="5ED5E8D9">
        <w:t xml:space="preserve"> and 21(i)</w:t>
      </w:r>
      <w:r w:rsidR="00277FBC">
        <w:t xml:space="preserve">, </w:t>
      </w:r>
      <w:r>
        <w:t>a max</w:t>
      </w:r>
      <w:r w:rsidR="00E531BE">
        <w:t>imum of ten</w:t>
      </w:r>
      <w:r w:rsidR="008A2418">
        <w:t xml:space="preserve"> (10)</w:t>
      </w:r>
      <w:r w:rsidR="00E531BE">
        <w:t xml:space="preserve"> suppliers will be invited to Stage 2: Invitation to Tender. </w:t>
      </w:r>
    </w:p>
    <w:p w14:paraId="06FCD8FD" w14:textId="52EAD3AB" w:rsidR="000A257E" w:rsidRDefault="00350F22" w:rsidP="001151C6">
      <w:pPr>
        <w:pStyle w:val="BodyText1"/>
        <w:numPr>
          <w:ilvl w:val="0"/>
          <w:numId w:val="5"/>
        </w:numPr>
        <w:ind w:left="357" w:hanging="357"/>
      </w:pPr>
      <w:r>
        <w:t>Further i</w:t>
      </w:r>
      <w:r w:rsidR="000A257E">
        <w:t>nformation</w:t>
      </w:r>
      <w:r>
        <w:t xml:space="preserve"> and relevant documentation</w:t>
      </w:r>
      <w:r w:rsidR="000A257E">
        <w:t xml:space="preserve"> relating to the assessment of Stage 2:</w:t>
      </w:r>
      <w:r w:rsidR="002425B0">
        <w:t xml:space="preserve"> </w:t>
      </w:r>
      <w:r w:rsidR="00D17A67">
        <w:t>Invitation to Tender</w:t>
      </w:r>
      <w:r w:rsidR="002425B0">
        <w:t xml:space="preserve"> and Stage 3: Interview </w:t>
      </w:r>
      <w:r w:rsidR="3AE478E7">
        <w:t xml:space="preserve">and </w:t>
      </w:r>
      <w:r w:rsidR="29FBFCA0">
        <w:t>P</w:t>
      </w:r>
      <w:r w:rsidR="3AE478E7">
        <w:t>ricing</w:t>
      </w:r>
      <w:r w:rsidR="27EB2C31">
        <w:t xml:space="preserve"> </w:t>
      </w:r>
      <w:r w:rsidR="002425B0">
        <w:t xml:space="preserve">will be released following the </w:t>
      </w:r>
      <w:r w:rsidR="00D17A67">
        <w:t xml:space="preserve">completion of Stage 1: Invitation to Participate. </w:t>
      </w:r>
    </w:p>
    <w:p w14:paraId="521A84E2" w14:textId="1C279499" w:rsidR="00D17A67" w:rsidRPr="00170C6F" w:rsidRDefault="00975782" w:rsidP="001151C6">
      <w:pPr>
        <w:pStyle w:val="BodyText1"/>
        <w:numPr>
          <w:ilvl w:val="0"/>
          <w:numId w:val="5"/>
        </w:numPr>
        <w:ind w:left="357" w:hanging="357"/>
      </w:pPr>
      <w:r>
        <w:t xml:space="preserve"> Documentation will be issued directly to those invited to the relevant stages and will also be added to the Tender Notice and the Authority e-sourcing portal. </w:t>
      </w:r>
    </w:p>
    <w:p w14:paraId="43520F37" w14:textId="10E204E6" w:rsidR="002147DD" w:rsidRPr="002147DD" w:rsidRDefault="002147DD" w:rsidP="00DF644D">
      <w:pPr>
        <w:pStyle w:val="Heading1"/>
        <w:numPr>
          <w:ilvl w:val="0"/>
          <w:numId w:val="0"/>
        </w:numPr>
      </w:pPr>
      <w:bookmarkStart w:id="16" w:name="_Toc211930144"/>
      <w:r>
        <w:t xml:space="preserve">Appendix A: </w:t>
      </w:r>
      <w:r w:rsidR="002A0CCB">
        <w:t>ITP</w:t>
      </w:r>
      <w:r>
        <w:t xml:space="preserve"> terms and conditions</w:t>
      </w:r>
      <w:bookmarkEnd w:id="16"/>
    </w:p>
    <w:p w14:paraId="3E1E8BCB" w14:textId="77777777" w:rsidR="00DF644D" w:rsidRPr="002D5063" w:rsidRDefault="00DF644D" w:rsidP="005963DA">
      <w:pPr>
        <w:pStyle w:val="Heading2"/>
        <w:numPr>
          <w:ilvl w:val="0"/>
          <w:numId w:val="0"/>
        </w:numPr>
      </w:pPr>
      <w:bookmarkStart w:id="17" w:name="_Toc211930145"/>
      <w:r w:rsidRPr="002D5063">
        <w:t>Procedural requirements</w:t>
      </w:r>
      <w:bookmarkEnd w:id="17"/>
    </w:p>
    <w:p w14:paraId="34E5CA48" w14:textId="77777777" w:rsidR="00DF644D" w:rsidRDefault="00DF644D" w:rsidP="005963DA">
      <w:pPr>
        <w:pStyle w:val="BodyText1"/>
        <w:numPr>
          <w:ilvl w:val="0"/>
          <w:numId w:val="6"/>
        </w:numPr>
        <w:ind w:left="357" w:hanging="357"/>
      </w:pPr>
      <w: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Default="00DF644D" w:rsidP="005963DA">
      <w:pPr>
        <w:pStyle w:val="Heading2"/>
        <w:numPr>
          <w:ilvl w:val="0"/>
          <w:numId w:val="0"/>
        </w:numPr>
      </w:pPr>
      <w:bookmarkStart w:id="18" w:name="_Toc211930146"/>
      <w:r>
        <w:t>Central Digital Platform</w:t>
      </w:r>
      <w:bookmarkEnd w:id="18"/>
    </w:p>
    <w:p w14:paraId="355B0C84" w14:textId="77777777" w:rsidR="005F59CB" w:rsidRPr="00167FB4" w:rsidRDefault="00DF644D" w:rsidP="005963DA">
      <w:pPr>
        <w:pStyle w:val="BodyText1"/>
        <w:numPr>
          <w:ilvl w:val="0"/>
          <w:numId w:val="6"/>
        </w:numPr>
        <w:ind w:left="357" w:hanging="357"/>
      </w:pPr>
      <w:r w:rsidRPr="00167FB4">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w:t>
      </w:r>
    </w:p>
    <w:p w14:paraId="57301456" w14:textId="4C2395E6" w:rsidR="00DF644D" w:rsidRPr="00167FB4" w:rsidRDefault="00DF644D" w:rsidP="005963DA">
      <w:pPr>
        <w:pStyle w:val="BodyText1"/>
        <w:numPr>
          <w:ilvl w:val="0"/>
          <w:numId w:val="6"/>
        </w:numPr>
        <w:ind w:left="357" w:hanging="357"/>
      </w:pPr>
      <w:r w:rsidRPr="00167FB4">
        <w:t xml:space="preserve">Suppliers must notify the Authority immediately if </w:t>
      </w:r>
      <w:r w:rsidR="00E85FBA" w:rsidRPr="00167FB4">
        <w:t>they</w:t>
      </w:r>
      <w:r w:rsidRPr="00167FB4">
        <w:t xml:space="preserve"> </w:t>
      </w:r>
      <w:r w:rsidR="00E85FBA" w:rsidRPr="00167FB4">
        <w:t>are</w:t>
      </w:r>
      <w:r w:rsidRPr="00167FB4">
        <w:t xml:space="preserve"> unable to register on the Central Digital Platform and/or provide accurate and up-to-date information via the Central Digital Platform. </w:t>
      </w:r>
    </w:p>
    <w:p w14:paraId="6A891203" w14:textId="77777777" w:rsidR="00DF644D" w:rsidRPr="00C92490" w:rsidRDefault="00DF644D" w:rsidP="00D952C6">
      <w:pPr>
        <w:pStyle w:val="Heading3"/>
        <w:rPr>
          <w:sz w:val="32"/>
          <w:szCs w:val="32"/>
        </w:rPr>
      </w:pPr>
      <w:r w:rsidRPr="00C92490">
        <w:rPr>
          <w:sz w:val="32"/>
          <w:szCs w:val="32"/>
        </w:rPr>
        <w:t>Transparency</w:t>
      </w:r>
    </w:p>
    <w:p w14:paraId="4E25B920" w14:textId="77777777" w:rsidR="00784753" w:rsidRPr="00167FB4" w:rsidRDefault="00DF644D" w:rsidP="005963DA">
      <w:pPr>
        <w:pStyle w:val="BodyText1"/>
        <w:numPr>
          <w:ilvl w:val="0"/>
          <w:numId w:val="6"/>
        </w:numPr>
        <w:ind w:left="357" w:hanging="357"/>
      </w:pPr>
      <w:r w:rsidRPr="00167FB4">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t>
      </w:r>
    </w:p>
    <w:p w14:paraId="2784F713" w14:textId="0FDDE1A2" w:rsidR="00DF644D" w:rsidRPr="00167FB4" w:rsidRDefault="00DF644D" w:rsidP="005963DA">
      <w:pPr>
        <w:pStyle w:val="BodyText1"/>
        <w:numPr>
          <w:ilvl w:val="0"/>
          <w:numId w:val="6"/>
        </w:numPr>
        <w:ind w:left="357" w:hanging="357"/>
      </w:pPr>
      <w:r w:rsidRPr="00167FB4">
        <w:t xml:space="preserve">Where required under the Act, a copy of the contract will be published (subject to making any reasonable and proportionate redactions permitted under the Act). </w:t>
      </w:r>
    </w:p>
    <w:p w14:paraId="330762A7" w14:textId="7D472965" w:rsidR="00DF644D" w:rsidRPr="00167FB4" w:rsidRDefault="00DF644D" w:rsidP="005963DA">
      <w:pPr>
        <w:pStyle w:val="BodyText1"/>
        <w:numPr>
          <w:ilvl w:val="0"/>
          <w:numId w:val="6"/>
        </w:numPr>
        <w:ind w:left="357" w:hanging="357"/>
      </w:pPr>
      <w:r w:rsidRPr="00167FB4">
        <w:t>All central government departments and their executive agencies and non-departmental public bodies are subject to controls and reporting within government. In particular, they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3D6076D6" w14:textId="77777777" w:rsidR="00DF644D" w:rsidRPr="00167FB4" w:rsidRDefault="00DF644D" w:rsidP="005963DA">
      <w:pPr>
        <w:pStyle w:val="BodyText1"/>
        <w:numPr>
          <w:ilvl w:val="0"/>
          <w:numId w:val="6"/>
        </w:numPr>
        <w:ind w:left="357" w:hanging="357"/>
      </w:pPr>
      <w:r w:rsidRPr="00167FB4">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Pr="00167FB4" w:rsidRDefault="00DF644D" w:rsidP="005963DA">
      <w:pPr>
        <w:pStyle w:val="Heading2"/>
        <w:numPr>
          <w:ilvl w:val="0"/>
          <w:numId w:val="0"/>
        </w:numPr>
      </w:pPr>
      <w:bookmarkStart w:id="19" w:name="_Toc211930147"/>
      <w:r w:rsidRPr="00167FB4">
        <w:t>Modifying the Procurement</w:t>
      </w:r>
      <w:bookmarkEnd w:id="19"/>
    </w:p>
    <w:p w14:paraId="168A724E" w14:textId="77777777" w:rsidR="00DF644D" w:rsidRPr="00167FB4" w:rsidRDefault="00DF644D" w:rsidP="005963DA">
      <w:pPr>
        <w:pStyle w:val="BodyText1"/>
        <w:numPr>
          <w:ilvl w:val="0"/>
          <w:numId w:val="6"/>
        </w:numPr>
        <w:ind w:left="357" w:hanging="357"/>
      </w:pPr>
      <w:r w:rsidRPr="00167FB4">
        <w:t>Neither the Tender Notice, this document nor any information given as part of the Procurement shall be regarded as a commitment or representation on the part of the Authority (or any other person) to enter into a contractual agreement.</w:t>
      </w:r>
    </w:p>
    <w:p w14:paraId="584FD634" w14:textId="6FA530D2" w:rsidR="00DF644D" w:rsidRPr="00167FB4" w:rsidRDefault="00DF644D" w:rsidP="005963DA">
      <w:pPr>
        <w:pStyle w:val="BodyText1"/>
        <w:numPr>
          <w:ilvl w:val="0"/>
          <w:numId w:val="6"/>
        </w:numPr>
        <w:ind w:left="357" w:hanging="357"/>
      </w:pPr>
      <w:r w:rsidRPr="00167FB4">
        <w:t xml:space="preserve">The Authority reserves the right to cancel the Procurement at any point and/or to choose not to award any contract as a result of this Procurement. </w:t>
      </w:r>
    </w:p>
    <w:p w14:paraId="09D967C1" w14:textId="77777777" w:rsidR="00DF644D" w:rsidRPr="00167FB4" w:rsidRDefault="00DF644D" w:rsidP="005963DA">
      <w:pPr>
        <w:pStyle w:val="BodyText1"/>
        <w:numPr>
          <w:ilvl w:val="0"/>
          <w:numId w:val="6"/>
        </w:numPr>
        <w:ind w:left="357" w:hanging="357"/>
      </w:pPr>
      <w:r w:rsidRPr="00167FB4">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Pr="00167FB4" w:rsidRDefault="00DF644D" w:rsidP="005963DA">
      <w:pPr>
        <w:pStyle w:val="BodyText1"/>
        <w:numPr>
          <w:ilvl w:val="0"/>
          <w:numId w:val="6"/>
        </w:numPr>
        <w:ind w:left="357" w:hanging="357"/>
      </w:pPr>
      <w:r w:rsidRPr="00167FB4">
        <w:t>The Authority reserves the right at any time:</w:t>
      </w:r>
    </w:p>
    <w:p w14:paraId="3C59D75F" w14:textId="76954C13" w:rsidR="00DF644D" w:rsidRPr="00167FB4" w:rsidRDefault="00DF644D" w:rsidP="002D5063">
      <w:pPr>
        <w:pStyle w:val="BodyText1"/>
        <w:ind w:left="714" w:hanging="357"/>
      </w:pPr>
      <w:r w:rsidRPr="00167FB4">
        <w:t>a.</w:t>
      </w:r>
      <w:r w:rsidRPr="00167FB4">
        <w:tab/>
        <w:t xml:space="preserve">to issue amendments, modifications or additional information to any documentation which forms part of this Procurement, including the Procurement terms and conditions contained in </w:t>
      </w:r>
      <w:r w:rsidR="00AB3299" w:rsidRPr="00167FB4">
        <w:t xml:space="preserve">this </w:t>
      </w:r>
      <w:r w:rsidRPr="00167FB4">
        <w:t>Appendix A</w:t>
      </w:r>
    </w:p>
    <w:p w14:paraId="5DA83ED6" w14:textId="6DCC5962" w:rsidR="00DF644D" w:rsidRPr="00167FB4" w:rsidRDefault="00DF644D" w:rsidP="002D5063">
      <w:pPr>
        <w:pStyle w:val="BodyText1"/>
        <w:ind w:left="714" w:hanging="357"/>
      </w:pPr>
      <w:r w:rsidRPr="00167FB4">
        <w:t>b.</w:t>
      </w:r>
      <w:r w:rsidRPr="00167FB4">
        <w:tab/>
        <w:t xml:space="preserve">to require a Supplier to clarify their proposal(s) and/or tender submission in writing and/or provide additional information – failure by a Supplier to respond adequately may result in their </w:t>
      </w:r>
      <w:r w:rsidR="00297B44" w:rsidRPr="00167FB4">
        <w:t>request to participate</w:t>
      </w:r>
      <w:r w:rsidRPr="00167FB4">
        <w:t xml:space="preserve"> being rejected</w:t>
      </w:r>
    </w:p>
    <w:p w14:paraId="1A7F8417" w14:textId="0BFCCE23" w:rsidR="00DF644D" w:rsidRPr="00167FB4" w:rsidRDefault="00DF644D" w:rsidP="002D5063">
      <w:pPr>
        <w:pStyle w:val="BodyText1"/>
        <w:ind w:left="714" w:hanging="357"/>
      </w:pPr>
      <w:r w:rsidRPr="00167FB4">
        <w:t>c.</w:t>
      </w:r>
      <w:r w:rsidRPr="00167FB4">
        <w:tab/>
        <w:t>to alter the Procurement Timetable for this Procurement</w:t>
      </w:r>
    </w:p>
    <w:p w14:paraId="28FB32DC" w14:textId="77777777" w:rsidR="00DF644D" w:rsidRPr="00167FB4" w:rsidRDefault="00DF644D" w:rsidP="002D5063">
      <w:pPr>
        <w:pStyle w:val="BodyText1"/>
        <w:ind w:left="714" w:hanging="357"/>
      </w:pPr>
      <w:r w:rsidRPr="00167FB4">
        <w:t>d.</w:t>
      </w:r>
      <w:r w:rsidRPr="00167FB4">
        <w:tab/>
        <w:t>to rewind and re-run any part of the Procurement on the same or alternative basis</w:t>
      </w:r>
    </w:p>
    <w:p w14:paraId="47DAE6DB" w14:textId="77777777" w:rsidR="00DF644D" w:rsidRPr="00167FB4" w:rsidRDefault="00DF644D" w:rsidP="002D5063">
      <w:pPr>
        <w:pStyle w:val="BodyText1"/>
        <w:ind w:left="714" w:hanging="357"/>
      </w:pPr>
      <w:r w:rsidRPr="00167FB4">
        <w:t>e.</w:t>
      </w:r>
      <w:r w:rsidRPr="00167FB4">
        <w:tab/>
        <w:t>to amend the Procurement as described herein, including the number of stages and the number of Suppliers to be selected at any stage</w:t>
      </w:r>
    </w:p>
    <w:p w14:paraId="5FB215D6" w14:textId="77777777" w:rsidR="00DF644D" w:rsidRPr="00167FB4" w:rsidRDefault="00DF644D" w:rsidP="005963DA">
      <w:pPr>
        <w:pStyle w:val="Heading2"/>
        <w:numPr>
          <w:ilvl w:val="0"/>
          <w:numId w:val="0"/>
        </w:numPr>
      </w:pPr>
      <w:bookmarkStart w:id="20" w:name="_Toc211930148"/>
      <w:r w:rsidRPr="00167FB4">
        <w:t>Confidentiality and publicity</w:t>
      </w:r>
      <w:bookmarkEnd w:id="20"/>
    </w:p>
    <w:p w14:paraId="4DFC95F2" w14:textId="77777777" w:rsidR="00DF644D" w:rsidRPr="00167FB4" w:rsidRDefault="00DF644D" w:rsidP="005963DA">
      <w:pPr>
        <w:pStyle w:val="BodyText1"/>
        <w:numPr>
          <w:ilvl w:val="0"/>
          <w:numId w:val="6"/>
        </w:numPr>
        <w:ind w:left="357" w:hanging="357"/>
      </w:pPr>
      <w:r w:rsidRPr="00167FB4">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Pr="00167FB4" w:rsidRDefault="00DF644D" w:rsidP="005963DA">
      <w:pPr>
        <w:pStyle w:val="BodyText1"/>
        <w:numPr>
          <w:ilvl w:val="0"/>
          <w:numId w:val="6"/>
        </w:numPr>
        <w:ind w:left="357" w:hanging="357"/>
      </w:pPr>
      <w:r w:rsidRPr="00167FB4">
        <w:t>Suppliers must not take part in any publicity activities with any part of the media about this Procurement without obtaining the express prior written agreement of the Authority.</w:t>
      </w:r>
      <w:r w:rsidR="003F6CC0" w:rsidRPr="00167FB4">
        <w:t xml:space="preserve"> </w:t>
      </w:r>
      <w:r w:rsidRPr="00167FB4">
        <w:t>When requesting prior written agreement, Suppliers are required to detail the proposed media coverage including format and content of any publicity.</w:t>
      </w:r>
    </w:p>
    <w:p w14:paraId="79BC3077" w14:textId="77777777" w:rsidR="00DF644D" w:rsidRPr="004A129F" w:rsidRDefault="00DF644D" w:rsidP="00D952C6">
      <w:pPr>
        <w:pStyle w:val="Heading3"/>
        <w:rPr>
          <w:sz w:val="32"/>
          <w:szCs w:val="32"/>
        </w:rPr>
      </w:pPr>
      <w:r w:rsidRPr="004A129F">
        <w:rPr>
          <w:sz w:val="32"/>
          <w:szCs w:val="32"/>
        </w:rPr>
        <w:t xml:space="preserve">Freedom of information and environmental information </w:t>
      </w:r>
    </w:p>
    <w:p w14:paraId="439C3240" w14:textId="77777777" w:rsidR="00DF644D" w:rsidRPr="00167FB4" w:rsidRDefault="00DF644D" w:rsidP="005963DA">
      <w:pPr>
        <w:pStyle w:val="BodyText1"/>
        <w:numPr>
          <w:ilvl w:val="0"/>
          <w:numId w:val="6"/>
        </w:numPr>
        <w:ind w:left="357" w:hanging="357"/>
      </w:pPr>
      <w:r w:rsidRPr="00167FB4">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Pr="00167FB4" w:rsidRDefault="00DF644D" w:rsidP="005963DA">
      <w:pPr>
        <w:pStyle w:val="BodyText1"/>
        <w:numPr>
          <w:ilvl w:val="0"/>
          <w:numId w:val="6"/>
        </w:numPr>
        <w:ind w:left="357" w:hanging="357"/>
      </w:pPr>
      <w:r w:rsidRPr="00167FB4">
        <w:t>In respect of any information submitted by a Supplier that it considers to be commercially sensitive, the Supplier should:</w:t>
      </w:r>
    </w:p>
    <w:p w14:paraId="7D33FFE2" w14:textId="1529EF6F" w:rsidR="00DF644D" w:rsidRPr="00167FB4" w:rsidRDefault="00DF644D" w:rsidP="002D5063">
      <w:pPr>
        <w:pStyle w:val="BodyText1"/>
        <w:ind w:left="714" w:hanging="357"/>
      </w:pPr>
      <w:r w:rsidRPr="00167FB4">
        <w:t>a.</w:t>
      </w:r>
      <w:r w:rsidRPr="00167FB4">
        <w:tab/>
        <w:t xml:space="preserve">clearly identify which information is considered commercially sensitive </w:t>
      </w:r>
    </w:p>
    <w:p w14:paraId="4EEC84C0" w14:textId="77777777" w:rsidR="00DF644D" w:rsidRPr="00167FB4" w:rsidRDefault="00DF644D" w:rsidP="002D5063">
      <w:pPr>
        <w:pStyle w:val="BodyText1"/>
        <w:ind w:left="714" w:hanging="357"/>
      </w:pPr>
      <w:r w:rsidRPr="00167FB4">
        <w:t>b.</w:t>
      </w:r>
      <w:r w:rsidRPr="00167FB4">
        <w:tab/>
        <w:t xml:space="preserve">explain the potential implications of disclosure of such information </w:t>
      </w:r>
    </w:p>
    <w:p w14:paraId="62AD9922" w14:textId="77777777" w:rsidR="00DF644D" w:rsidRPr="00167FB4" w:rsidRDefault="00DF644D" w:rsidP="002D5063">
      <w:pPr>
        <w:pStyle w:val="BodyText1"/>
        <w:ind w:left="714" w:hanging="357"/>
      </w:pPr>
      <w:r w:rsidRPr="00167FB4">
        <w:t>c.</w:t>
      </w:r>
      <w:r w:rsidRPr="00167FB4">
        <w:tab/>
        <w:t>provide an estimate of the period of time for which the Supplier considers that such information will remain commercially sensitive</w:t>
      </w:r>
    </w:p>
    <w:p w14:paraId="38D88FF5" w14:textId="77777777" w:rsidR="00DF644D" w:rsidRPr="00167FB4" w:rsidRDefault="00DF644D" w:rsidP="005963DA">
      <w:pPr>
        <w:pStyle w:val="BodyText1"/>
        <w:numPr>
          <w:ilvl w:val="0"/>
          <w:numId w:val="6"/>
        </w:numPr>
        <w:ind w:left="357" w:hanging="357"/>
      </w:pPr>
      <w:r w:rsidRPr="00167FB4">
        <w:t>The Authority will endeavour to:</w:t>
      </w:r>
    </w:p>
    <w:p w14:paraId="67178557" w14:textId="77777777" w:rsidR="00DF644D" w:rsidRPr="00167FB4" w:rsidRDefault="00DF644D" w:rsidP="002D5063">
      <w:pPr>
        <w:pStyle w:val="BodyText1"/>
        <w:ind w:left="714" w:hanging="357"/>
      </w:pPr>
      <w:r w:rsidRPr="00167FB4">
        <w:t>a.</w:t>
      </w:r>
      <w:r w:rsidRPr="00167FB4">
        <w:tab/>
        <w:t>hold confidential all information submitted by a Supplier that it identifies as being commercially sensitive</w:t>
      </w:r>
    </w:p>
    <w:p w14:paraId="0C63448F" w14:textId="77777777" w:rsidR="00DF644D" w:rsidRPr="00167FB4" w:rsidRDefault="00DF644D" w:rsidP="002D5063">
      <w:pPr>
        <w:pStyle w:val="BodyText1"/>
        <w:ind w:left="714" w:hanging="357"/>
      </w:pPr>
      <w:r w:rsidRPr="00167FB4">
        <w:t>b.</w:t>
      </w:r>
      <w:r w:rsidRPr="00167FB4">
        <w:tab/>
        <w:t xml:space="preserve">consult with a Supplier about commercially sensitive information before making a decision on any FOIA requests and EIR requests received </w:t>
      </w:r>
    </w:p>
    <w:p w14:paraId="5749CF48" w14:textId="77777777" w:rsidR="00DF644D" w:rsidRPr="00167FB4" w:rsidRDefault="00DF644D" w:rsidP="005963DA">
      <w:pPr>
        <w:pStyle w:val="BodyText1"/>
        <w:numPr>
          <w:ilvl w:val="0"/>
          <w:numId w:val="6"/>
        </w:numPr>
        <w:ind w:left="357" w:hanging="357"/>
      </w:pPr>
      <w:r w:rsidRPr="00167FB4">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Pr="00167FB4" w:rsidRDefault="00DF644D" w:rsidP="005963DA">
      <w:pPr>
        <w:pStyle w:val="Heading2"/>
        <w:numPr>
          <w:ilvl w:val="0"/>
          <w:numId w:val="0"/>
        </w:numPr>
      </w:pPr>
      <w:bookmarkStart w:id="21" w:name="_Toc211930149"/>
      <w:r w:rsidRPr="00167FB4">
        <w:t>Requirements on sub-contractors and consortium</w:t>
      </w:r>
      <w:bookmarkEnd w:id="21"/>
    </w:p>
    <w:p w14:paraId="6C23AD6B" w14:textId="77777777" w:rsidR="00DF644D" w:rsidRPr="00167FB4" w:rsidRDefault="00DF644D" w:rsidP="005963DA">
      <w:pPr>
        <w:pStyle w:val="BodyText1"/>
        <w:numPr>
          <w:ilvl w:val="0"/>
          <w:numId w:val="6"/>
        </w:numPr>
        <w:ind w:left="357" w:hanging="357"/>
      </w:pPr>
      <w:r w:rsidRPr="00167FB4">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FC0DE1A" w14:textId="77777777" w:rsidR="00DF644D" w:rsidRPr="00167FB4" w:rsidRDefault="00DF644D" w:rsidP="005963DA">
      <w:pPr>
        <w:pStyle w:val="Heading2"/>
        <w:numPr>
          <w:ilvl w:val="0"/>
          <w:numId w:val="0"/>
        </w:numPr>
      </w:pPr>
      <w:bookmarkStart w:id="22" w:name="_Toc211930150"/>
      <w:r w:rsidRPr="00167FB4">
        <w:t>Parent company guarantee or other securities</w:t>
      </w:r>
      <w:bookmarkEnd w:id="22"/>
    </w:p>
    <w:p w14:paraId="15156B6E" w14:textId="3A2B10CC" w:rsidR="00DF644D" w:rsidRPr="00167FB4" w:rsidRDefault="00DF644D" w:rsidP="005963DA">
      <w:pPr>
        <w:pStyle w:val="BodyText1"/>
        <w:numPr>
          <w:ilvl w:val="0"/>
          <w:numId w:val="6"/>
        </w:numPr>
        <w:ind w:left="357" w:hanging="357"/>
      </w:pPr>
      <w:r>
        <w:t xml:space="preserve">The Authority reserves the right to require a parent company guarantee or alternative equivalent form of security </w:t>
      </w:r>
      <w:r w:rsidR="00D33341">
        <w:t xml:space="preserve">to satisfy the economic and financial standing requirement </w:t>
      </w:r>
      <w:r w:rsidR="00980D94">
        <w:t>under</w:t>
      </w:r>
      <w:r>
        <w:t xml:space="preserve"> this Procurement.</w:t>
      </w:r>
      <w:r w:rsidR="00560FD6">
        <w:t xml:space="preserve"> </w:t>
      </w:r>
    </w:p>
    <w:p w14:paraId="71C72895" w14:textId="6D1BCB3A" w:rsidR="00DF644D" w:rsidRPr="00167FB4" w:rsidRDefault="00DF644D" w:rsidP="005963DA">
      <w:pPr>
        <w:pStyle w:val="BodyText1"/>
        <w:numPr>
          <w:ilvl w:val="0"/>
          <w:numId w:val="6"/>
        </w:numPr>
        <w:ind w:left="357" w:hanging="357"/>
      </w:pPr>
      <w:r w:rsidRPr="00167FB4">
        <w:t xml:space="preserve">Where the Supplier’s parent company is incorporated outside the United Kingdom, the Authority </w:t>
      </w:r>
      <w:r w:rsidR="00560FD6">
        <w:t xml:space="preserve">may </w:t>
      </w:r>
      <w:r w:rsidRPr="00167FB4">
        <w:t>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Pr="00167FB4" w:rsidRDefault="00DF644D" w:rsidP="005963DA">
      <w:pPr>
        <w:pStyle w:val="BodyText1"/>
        <w:numPr>
          <w:ilvl w:val="0"/>
          <w:numId w:val="6"/>
        </w:numPr>
        <w:ind w:left="357" w:hanging="357"/>
      </w:pPr>
      <w:r w:rsidRPr="00167FB4">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Pr="00167FB4" w:rsidRDefault="00DF644D" w:rsidP="005963DA">
      <w:pPr>
        <w:pStyle w:val="Heading2"/>
        <w:numPr>
          <w:ilvl w:val="0"/>
          <w:numId w:val="0"/>
        </w:numPr>
      </w:pPr>
      <w:bookmarkStart w:id="23" w:name="_Toc211930151"/>
      <w:r w:rsidRPr="00167FB4">
        <w:t>Non-collusion, non-canvassing</w:t>
      </w:r>
      <w:bookmarkEnd w:id="23"/>
    </w:p>
    <w:p w14:paraId="37B43A6D" w14:textId="77777777" w:rsidR="00DF644D" w:rsidRPr="00167FB4" w:rsidRDefault="00DF644D" w:rsidP="005963DA">
      <w:pPr>
        <w:pStyle w:val="BodyText1"/>
        <w:numPr>
          <w:ilvl w:val="0"/>
          <w:numId w:val="6"/>
        </w:numPr>
        <w:ind w:left="357" w:hanging="357"/>
      </w:pPr>
      <w:r w:rsidRPr="00167FB4">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Pr="00167FB4" w:rsidRDefault="00DF644D" w:rsidP="005963DA">
      <w:pPr>
        <w:pStyle w:val="BodyText1"/>
        <w:numPr>
          <w:ilvl w:val="0"/>
          <w:numId w:val="6"/>
        </w:numPr>
        <w:ind w:left="357" w:hanging="357"/>
      </w:pPr>
      <w:r w:rsidRPr="00167FB4">
        <w:t>Specifically, Suppliers must not directly or indirectly at any time:</w:t>
      </w:r>
    </w:p>
    <w:p w14:paraId="59CEC553" w14:textId="77777777" w:rsidR="00DF644D" w:rsidRPr="00167FB4" w:rsidRDefault="00DF644D" w:rsidP="0061744B">
      <w:pPr>
        <w:pStyle w:val="BodyText1"/>
        <w:ind w:left="714" w:hanging="357"/>
      </w:pPr>
      <w:r w:rsidRPr="00167FB4">
        <w:t>a.</w:t>
      </w:r>
      <w:r w:rsidRPr="00167FB4">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Pr="00167FB4" w:rsidRDefault="00DF644D" w:rsidP="0061744B">
      <w:pPr>
        <w:pStyle w:val="BodyText1"/>
        <w:ind w:left="714" w:hanging="357"/>
      </w:pPr>
      <w:r w:rsidRPr="00167FB4">
        <w:t>b.</w:t>
      </w:r>
      <w:r w:rsidRPr="00167FB4">
        <w:tab/>
        <w:t>enter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Pr="00167FB4" w:rsidRDefault="00DF644D" w:rsidP="0061744B">
      <w:pPr>
        <w:pStyle w:val="BodyText1"/>
        <w:ind w:left="714" w:hanging="357"/>
      </w:pPr>
      <w:r w:rsidRPr="00167FB4">
        <w:t>c.</w:t>
      </w:r>
      <w:r w:rsidRPr="00167FB4">
        <w:tab/>
        <w:t>enter into any agreement or arrangement with any other person that has the effect of prohibiting or excluding that person from submitting a response in this Procurement</w:t>
      </w:r>
    </w:p>
    <w:p w14:paraId="33D4EF49" w14:textId="77777777" w:rsidR="00DF644D" w:rsidRPr="00167FB4" w:rsidRDefault="00DF644D" w:rsidP="0061744B">
      <w:pPr>
        <w:pStyle w:val="BodyText1"/>
        <w:ind w:left="714" w:hanging="357"/>
      </w:pPr>
      <w:r w:rsidRPr="00167FB4">
        <w:t>d.</w:t>
      </w:r>
      <w:r w:rsidRPr="00167FB4">
        <w:tab/>
        <w:t>canvass any employees, members or agents of the Authority in relation to this Procurement</w:t>
      </w:r>
    </w:p>
    <w:p w14:paraId="0AEC8FCD" w14:textId="77777777" w:rsidR="00DF644D" w:rsidRPr="00167FB4" w:rsidRDefault="00DF644D" w:rsidP="0061744B">
      <w:pPr>
        <w:pStyle w:val="BodyText1"/>
        <w:ind w:left="714" w:hanging="357"/>
      </w:pPr>
      <w:r w:rsidRPr="00167FB4">
        <w:t>e.</w:t>
      </w:r>
      <w:r w:rsidRPr="00167FB4">
        <w:tab/>
        <w:t>attempt to obtain information from any of the employees, members or agents of the Authority or their advisors concerning another Supplier or submission</w:t>
      </w:r>
    </w:p>
    <w:p w14:paraId="30555B81" w14:textId="77777777" w:rsidR="00DF644D" w:rsidRPr="00167FB4" w:rsidRDefault="00DF644D" w:rsidP="0061744B">
      <w:pPr>
        <w:pStyle w:val="BodyText1"/>
        <w:ind w:left="714" w:hanging="357"/>
      </w:pPr>
      <w:r w:rsidRPr="00167FB4">
        <w:t>f.</w:t>
      </w:r>
      <w:r w:rsidRPr="00167FB4">
        <w:tab/>
        <w:t>carry out any other co-operation or collusion with another Supplier or any other person which the Authority considers capable of undermining fair competition</w:t>
      </w:r>
    </w:p>
    <w:p w14:paraId="159B79B3" w14:textId="77777777" w:rsidR="00DF644D" w:rsidRPr="004A129F" w:rsidRDefault="00DF644D" w:rsidP="00D952C6">
      <w:pPr>
        <w:pStyle w:val="Heading3"/>
        <w:rPr>
          <w:sz w:val="32"/>
          <w:szCs w:val="32"/>
        </w:rPr>
      </w:pPr>
      <w:r w:rsidRPr="004A129F">
        <w:rPr>
          <w:sz w:val="32"/>
          <w:szCs w:val="32"/>
        </w:rPr>
        <w:t>Conflicts of interest</w:t>
      </w:r>
    </w:p>
    <w:p w14:paraId="08988506" w14:textId="4568CF30" w:rsidR="00DF644D" w:rsidRPr="00167FB4" w:rsidRDefault="00DF644D" w:rsidP="005963DA">
      <w:pPr>
        <w:pStyle w:val="BodyText1"/>
        <w:numPr>
          <w:ilvl w:val="0"/>
          <w:numId w:val="6"/>
        </w:numPr>
        <w:ind w:left="357" w:hanging="357"/>
      </w:pPr>
      <w:r w:rsidRPr="00167FB4">
        <w:t>Suppliers are responsible for ensuring that no actual, potential or perceived conflicts of interest (within the meaning of the Act) exist between themselves and the Authority or its advisers.</w:t>
      </w:r>
      <w:r w:rsidR="003F6CC0" w:rsidRPr="00167FB4">
        <w:t xml:space="preserve"> </w:t>
      </w:r>
      <w:r w:rsidRPr="00167FB4">
        <w:t>Suppliers must notify the Authority immediately of any actual, potential or perceived conflict of interest</w:t>
      </w:r>
    </w:p>
    <w:p w14:paraId="5E33E51C" w14:textId="77777777" w:rsidR="00DF644D" w:rsidRPr="00167FB4" w:rsidRDefault="00DF644D" w:rsidP="005963DA">
      <w:pPr>
        <w:pStyle w:val="BodyText1"/>
        <w:numPr>
          <w:ilvl w:val="0"/>
          <w:numId w:val="6"/>
        </w:numPr>
        <w:ind w:left="357" w:hanging="357"/>
      </w:pPr>
      <w:r w:rsidRPr="00167FB4">
        <w:t>In the event of any actual, potential or perceived conflict of interest, the Authority shall in its absolute discretion decide on the appropriate course of action. The Authority reserves the right to:</w:t>
      </w:r>
    </w:p>
    <w:p w14:paraId="07E94A47" w14:textId="77777777" w:rsidR="00DF644D" w:rsidRPr="00167FB4" w:rsidRDefault="00DF644D" w:rsidP="0061744B">
      <w:pPr>
        <w:pStyle w:val="BodyText1"/>
        <w:ind w:left="714" w:hanging="357"/>
      </w:pPr>
      <w:r w:rsidRPr="00167FB4">
        <w:t>a.</w:t>
      </w:r>
      <w:r w:rsidRPr="00167FB4">
        <w:tab/>
        <w:t>exclude any Supplier that fails to notify the Authority of an actual, potential or perceived conflict of interest, or where an actual conflict of interest exists</w:t>
      </w:r>
    </w:p>
    <w:p w14:paraId="1BD336E0" w14:textId="77777777" w:rsidR="00DF644D" w:rsidRPr="00167FB4" w:rsidRDefault="00DF644D" w:rsidP="0061744B">
      <w:pPr>
        <w:pStyle w:val="BodyText1"/>
        <w:ind w:left="714" w:hanging="357"/>
      </w:pPr>
      <w:r w:rsidRPr="00167FB4">
        <w:t>b.</w:t>
      </w:r>
      <w:r w:rsidRPr="00167FB4">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Pr="00167FB4" w:rsidRDefault="00DF644D" w:rsidP="005963DA">
      <w:pPr>
        <w:pStyle w:val="BodyText1"/>
        <w:numPr>
          <w:ilvl w:val="0"/>
          <w:numId w:val="6"/>
        </w:numPr>
        <w:ind w:left="357" w:hanging="357"/>
      </w:pPr>
      <w:r w:rsidRPr="00167FB4">
        <w:t xml:space="preserve">The Authority strongly encourages Suppliers to contact the Authority as soon as possible using the Portal should it have any concerns regarding actual, potential or perceived conflicts of interest. </w:t>
      </w:r>
    </w:p>
    <w:p w14:paraId="249E11B1" w14:textId="5FD9BFC7" w:rsidR="00004BF9" w:rsidRDefault="00004BF9" w:rsidP="001E1371">
      <w:pPr>
        <w:pStyle w:val="ListParagraph"/>
        <w:numPr>
          <w:ilvl w:val="0"/>
          <w:numId w:val="6"/>
        </w:numPr>
        <w:rPr>
          <w:color w:val="000000"/>
        </w:rPr>
      </w:pPr>
      <w:r w:rsidRPr="00004BF9">
        <w:rPr>
          <w:color w:val="000000"/>
        </w:rPr>
        <w:t>Suppliers must notify the Authority immediately in writing where an unfair advantage or a perceived, potential or actual conflict of interest exists between the Supplier (in this context this includes but is not limited to any consortium member, subcontractor and/or advisers of the same) and the Authority and/or its advisers. Any Supplier that fails to comply with this requirement may be disqualified from the Procurement at the discretion of the Authority.</w:t>
      </w:r>
    </w:p>
    <w:p w14:paraId="5561CE05" w14:textId="77777777" w:rsidR="00FF6DD5" w:rsidRPr="00FF6DD5" w:rsidRDefault="00FF6DD5" w:rsidP="00FF6DD5">
      <w:pPr>
        <w:pStyle w:val="ListParagraph"/>
        <w:ind w:left="360"/>
        <w:rPr>
          <w:color w:val="000000"/>
        </w:rPr>
      </w:pPr>
    </w:p>
    <w:p w14:paraId="6AA2388C" w14:textId="77777777" w:rsidR="00DF644D" w:rsidRPr="00405949" w:rsidRDefault="00DF644D" w:rsidP="00D952C6">
      <w:pPr>
        <w:pStyle w:val="Heading3"/>
        <w:rPr>
          <w:sz w:val="32"/>
          <w:szCs w:val="32"/>
        </w:rPr>
      </w:pPr>
      <w:r w:rsidRPr="00405949">
        <w:rPr>
          <w:sz w:val="32"/>
          <w:szCs w:val="32"/>
        </w:rPr>
        <w:t>Conflict assessments</w:t>
      </w:r>
    </w:p>
    <w:p w14:paraId="6C603B75" w14:textId="77777777" w:rsidR="00DF644D" w:rsidRPr="00167FB4" w:rsidRDefault="00DF644D" w:rsidP="005963DA">
      <w:pPr>
        <w:pStyle w:val="BodyText1"/>
        <w:numPr>
          <w:ilvl w:val="0"/>
          <w:numId w:val="6"/>
        </w:numPr>
        <w:ind w:left="357" w:hanging="357"/>
      </w:pPr>
      <w:r w:rsidRPr="00167FB4">
        <w:t>The Authority confirms that, prior to the issue of the Tender Notice in this Procurement, a conflict assessment has been prepared in accordance with the Act.</w:t>
      </w:r>
    </w:p>
    <w:p w14:paraId="42D5E739" w14:textId="77777777" w:rsidR="00DF644D" w:rsidRPr="00405949" w:rsidRDefault="00DF644D" w:rsidP="00D952C6">
      <w:pPr>
        <w:pStyle w:val="Heading3"/>
        <w:rPr>
          <w:sz w:val="32"/>
          <w:szCs w:val="32"/>
        </w:rPr>
      </w:pPr>
      <w:r w:rsidRPr="00405949">
        <w:rPr>
          <w:sz w:val="32"/>
          <w:szCs w:val="32"/>
        </w:rPr>
        <w:t xml:space="preserve">Intellectual property </w:t>
      </w:r>
    </w:p>
    <w:p w14:paraId="363F6C20" w14:textId="77777777" w:rsidR="00B62344" w:rsidRPr="00167FB4" w:rsidRDefault="00DF644D" w:rsidP="005963DA">
      <w:pPr>
        <w:pStyle w:val="BodyText1"/>
        <w:numPr>
          <w:ilvl w:val="0"/>
          <w:numId w:val="6"/>
        </w:numPr>
        <w:ind w:left="357" w:hanging="357"/>
      </w:pPr>
      <w:r w:rsidRPr="00167FB4">
        <w:t xml:space="preserve">Suppliers are reminded that all intellectual property rights, including copyright, in the documents and materials supplied by the Authority and/or its advisers in this Procurement, in whatever format, belong to the Authority, its advisers or the relevant owner/licensor. </w:t>
      </w:r>
    </w:p>
    <w:p w14:paraId="7D0C94D0" w14:textId="77777777" w:rsidR="00A6630E" w:rsidRPr="00167FB4" w:rsidRDefault="00DF644D" w:rsidP="005963DA">
      <w:pPr>
        <w:pStyle w:val="BodyText1"/>
        <w:numPr>
          <w:ilvl w:val="0"/>
          <w:numId w:val="6"/>
        </w:numPr>
        <w:ind w:left="357" w:hanging="357"/>
      </w:pPr>
      <w:r w:rsidRPr="00167FB4">
        <w:t xml:space="preserve">Suppliers shall not copy, reproduce, distribute or otherwise make available any part of these documents to any third party (except for the purpose of preparing a submission) without the prior written consent of the Authority. </w:t>
      </w:r>
    </w:p>
    <w:p w14:paraId="61E0977D" w14:textId="59E8E130" w:rsidR="00DF644D" w:rsidRPr="00A7478C" w:rsidRDefault="00DF644D" w:rsidP="00A7478C">
      <w:pPr>
        <w:pStyle w:val="BodyText1"/>
        <w:numPr>
          <w:ilvl w:val="0"/>
          <w:numId w:val="6"/>
        </w:numPr>
        <w:ind w:left="357" w:hanging="357"/>
      </w:pPr>
      <w:r w:rsidRPr="00167FB4">
        <w:t>All documentation supplied by the Authority in relation to this Procurement must be returned or destroyed on demand, without any copies being retained by Suppliers.</w:t>
      </w:r>
    </w:p>
    <w:p w14:paraId="00208B87" w14:textId="77777777" w:rsidR="00DF644D" w:rsidRPr="008C0086" w:rsidRDefault="00DF644D" w:rsidP="004A5BF8">
      <w:pPr>
        <w:pStyle w:val="Heading3"/>
        <w:rPr>
          <w:sz w:val="32"/>
          <w:szCs w:val="32"/>
        </w:rPr>
      </w:pPr>
      <w:r w:rsidRPr="008C0086">
        <w:rPr>
          <w:sz w:val="32"/>
          <w:szCs w:val="32"/>
        </w:rPr>
        <w:t>Anti-competitive behaviour</w:t>
      </w:r>
    </w:p>
    <w:p w14:paraId="7B9569D8" w14:textId="77777777" w:rsidR="00DF644D" w:rsidRPr="00167FB4" w:rsidRDefault="00DF644D" w:rsidP="005963DA">
      <w:pPr>
        <w:pStyle w:val="BodyText1"/>
        <w:numPr>
          <w:ilvl w:val="0"/>
          <w:numId w:val="6"/>
        </w:numPr>
        <w:ind w:left="357" w:hanging="357"/>
      </w:pPr>
      <w:r w:rsidRPr="00167FB4">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Pr="00167FB4" w:rsidRDefault="00DF644D" w:rsidP="005963DA">
      <w:pPr>
        <w:pStyle w:val="BodyText1"/>
        <w:numPr>
          <w:ilvl w:val="0"/>
          <w:numId w:val="6"/>
        </w:numPr>
        <w:ind w:left="357" w:hanging="357"/>
      </w:pPr>
      <w:r w:rsidRPr="00167FB4">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Pr="00167FB4" w:rsidRDefault="00DF644D" w:rsidP="005963DA">
      <w:pPr>
        <w:pStyle w:val="BodyText1"/>
        <w:numPr>
          <w:ilvl w:val="0"/>
          <w:numId w:val="6"/>
        </w:numPr>
        <w:ind w:left="357" w:hanging="357"/>
      </w:pPr>
      <w:r w:rsidRPr="00167FB4">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rsidRPr="00167FB4">
        <w:t xml:space="preserve">ompetition </w:t>
      </w:r>
      <w:r w:rsidRPr="00167FB4">
        <w:t>A</w:t>
      </w:r>
      <w:r w:rsidR="003F648F" w:rsidRPr="00167FB4">
        <w:t>ct</w:t>
      </w:r>
      <w:r w:rsidRPr="00167FB4">
        <w:t xml:space="preserve"> 1998, the Supplier may also be excluded from bidding for contracts under Schedule 6, paragraph 41 and may be added to the debarment list and/or be liable for civil and/or criminal penalties.</w:t>
      </w:r>
    </w:p>
    <w:p w14:paraId="6B87B224" w14:textId="77777777" w:rsidR="00DF644D" w:rsidRPr="008C0086" w:rsidRDefault="00DF644D" w:rsidP="004A5BF8">
      <w:pPr>
        <w:pStyle w:val="Heading3"/>
        <w:rPr>
          <w:sz w:val="32"/>
          <w:szCs w:val="32"/>
        </w:rPr>
      </w:pPr>
      <w:r w:rsidRPr="008C0086">
        <w:rPr>
          <w:sz w:val="32"/>
          <w:szCs w:val="32"/>
        </w:rPr>
        <w:t xml:space="preserve">Supplier withdrawal </w:t>
      </w:r>
    </w:p>
    <w:p w14:paraId="4FCA0637" w14:textId="0D1C0450" w:rsidR="00DF644D" w:rsidRPr="00167FB4" w:rsidRDefault="00DF644D" w:rsidP="005963DA">
      <w:pPr>
        <w:pStyle w:val="BodyText1"/>
        <w:numPr>
          <w:ilvl w:val="0"/>
          <w:numId w:val="6"/>
        </w:numPr>
        <w:ind w:left="357" w:hanging="357"/>
      </w:pPr>
      <w:r w:rsidRPr="00167FB4">
        <w:t xml:space="preserve">Suppliers may withdraw from the Procurement at any time before </w:t>
      </w:r>
      <w:r w:rsidR="00A7478C">
        <w:t>Contract Award/Signature</w:t>
      </w:r>
      <w:r w:rsidRPr="00167FB4">
        <w:t xml:space="preserve"> providing written notification to the Authority via the Portal.</w:t>
      </w:r>
    </w:p>
    <w:p w14:paraId="145D3E7B" w14:textId="6F57627E" w:rsidR="00DF644D" w:rsidRPr="00167FB4" w:rsidRDefault="00DF644D" w:rsidP="005963DA">
      <w:pPr>
        <w:pStyle w:val="BodyText1"/>
        <w:numPr>
          <w:ilvl w:val="0"/>
          <w:numId w:val="6"/>
        </w:numPr>
        <w:ind w:left="357" w:hanging="357"/>
      </w:pPr>
      <w:r w:rsidRPr="00167FB4">
        <w:t xml:space="preserve">In the event that a Supplier withdraws from the Procurement prior to the submission deadline for </w:t>
      </w:r>
      <w:r w:rsidR="002C036A" w:rsidRPr="00167FB4">
        <w:t>the invitation to submit a tender,</w:t>
      </w:r>
      <w:r w:rsidRPr="00167FB4">
        <w:t xml:space="preserve"> the Authority reserves the right (but shall not be obliged) to invite the next highest ranked Supplier that submitted a </w:t>
      </w:r>
      <w:r w:rsidR="00B42713">
        <w:t>compliant</w:t>
      </w:r>
      <w:r w:rsidR="00B42713" w:rsidRPr="00167FB4">
        <w:t xml:space="preserve"> </w:t>
      </w:r>
      <w:r w:rsidRPr="00167FB4">
        <w:t>response to the invitation to participate but which attained a score that was not sufficiently high for it to be shortlisted, to be re-instated in the Procurement and invited to submit a</w:t>
      </w:r>
      <w:r w:rsidR="00EF7163">
        <w:t>n</w:t>
      </w:r>
      <w:r w:rsidRPr="00167FB4">
        <w:t xml:space="preserve"> initial tender</w:t>
      </w:r>
      <w:r w:rsidR="007543D9" w:rsidRPr="00167FB4">
        <w:t xml:space="preserve"> at Stage two of the procurement procedure</w:t>
      </w:r>
      <w:r w:rsidRPr="00167FB4">
        <w:t>.</w:t>
      </w:r>
    </w:p>
    <w:p w14:paraId="3B6AF4D5" w14:textId="77777777" w:rsidR="00DF644D" w:rsidRPr="008C0086" w:rsidRDefault="00DF644D" w:rsidP="004A5BF8">
      <w:pPr>
        <w:pStyle w:val="Heading3"/>
        <w:rPr>
          <w:sz w:val="32"/>
          <w:szCs w:val="32"/>
        </w:rPr>
      </w:pPr>
      <w:r w:rsidRPr="008C0086">
        <w:rPr>
          <w:sz w:val="32"/>
          <w:szCs w:val="32"/>
        </w:rPr>
        <w:t>Supplier eligibility</w:t>
      </w:r>
    </w:p>
    <w:p w14:paraId="113F5AFC" w14:textId="3020A188" w:rsidR="00DF644D" w:rsidRPr="00167FB4" w:rsidRDefault="00DF644D" w:rsidP="005963DA">
      <w:pPr>
        <w:pStyle w:val="BodyText1"/>
        <w:numPr>
          <w:ilvl w:val="0"/>
          <w:numId w:val="6"/>
        </w:numPr>
        <w:ind w:left="357" w:hanging="357"/>
      </w:pPr>
      <w:r w:rsidRPr="00167FB4">
        <w:t>Suppliers are reminded that the eligibility requirements in this document, Tender Notice and all other associated</w:t>
      </w:r>
      <w:r w:rsidR="007543D9" w:rsidRPr="00167FB4">
        <w:t xml:space="preserve"> participation or tender</w:t>
      </w:r>
      <w:r w:rsidRPr="00167FB4">
        <w:t xml:space="preserve"> documents apply to the Procurement at all times.</w:t>
      </w:r>
    </w:p>
    <w:p w14:paraId="46923396" w14:textId="769F4B95" w:rsidR="00DF644D" w:rsidRPr="00167FB4" w:rsidRDefault="00DF644D" w:rsidP="005963DA">
      <w:pPr>
        <w:pStyle w:val="BodyText1"/>
        <w:numPr>
          <w:ilvl w:val="0"/>
          <w:numId w:val="6"/>
        </w:numPr>
        <w:ind w:left="357" w:hanging="357"/>
      </w:pPr>
      <w:r w:rsidRPr="00167FB4">
        <w:t>The Authority reserves the right to require any Supplier to provide such further information as the Authority may require (and for the avoidance of doubt, the Authority may make multiple requests) as to any issue addressed in the ITP, including, but not limited to, the economic and financial standing of the Supplier at any stage of the Procurement and prior to the notification of the award decision and/or the award of the contract.</w:t>
      </w:r>
    </w:p>
    <w:p w14:paraId="71D1EA9D" w14:textId="77DFF4BF" w:rsidR="00DF644D" w:rsidRPr="00167FB4" w:rsidRDefault="00DF644D" w:rsidP="005963DA">
      <w:pPr>
        <w:pStyle w:val="BodyText1"/>
        <w:numPr>
          <w:ilvl w:val="0"/>
          <w:numId w:val="6"/>
        </w:numPr>
        <w:ind w:left="357" w:hanging="357"/>
      </w:pPr>
      <w:r w:rsidRPr="00167FB4">
        <w:t>The Authority must be notified in writing via the</w:t>
      </w:r>
      <w:r w:rsidR="00F831EF" w:rsidRPr="00167FB4">
        <w:t xml:space="preserve"> </w:t>
      </w:r>
      <w:r w:rsidRPr="00167FB4">
        <w:t>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Pr="00A420F2" w:rsidRDefault="00DF644D" w:rsidP="004A5BF8">
      <w:pPr>
        <w:pStyle w:val="Heading3"/>
        <w:rPr>
          <w:sz w:val="32"/>
          <w:szCs w:val="32"/>
        </w:rPr>
      </w:pPr>
      <w:r w:rsidRPr="00A420F2">
        <w:rPr>
          <w:sz w:val="32"/>
          <w:szCs w:val="32"/>
        </w:rPr>
        <w:t xml:space="preserve">Supplier warranties </w:t>
      </w:r>
    </w:p>
    <w:p w14:paraId="500EE54F" w14:textId="77777777" w:rsidR="00DF644D" w:rsidRPr="00167FB4" w:rsidRDefault="00DF644D" w:rsidP="005963DA">
      <w:pPr>
        <w:pStyle w:val="BodyText1"/>
        <w:numPr>
          <w:ilvl w:val="0"/>
          <w:numId w:val="6"/>
        </w:numPr>
        <w:ind w:left="357" w:hanging="357"/>
      </w:pPr>
      <w:r w:rsidRPr="00167FB4">
        <w:t>In responding to this invitation, the Supplier warrants, represents and undertakes to the Authority that:</w:t>
      </w:r>
    </w:p>
    <w:p w14:paraId="667FD59F" w14:textId="77777777" w:rsidR="00DF644D" w:rsidRPr="00167FB4" w:rsidRDefault="00DF644D" w:rsidP="0061744B">
      <w:pPr>
        <w:pStyle w:val="BodyText1"/>
        <w:ind w:left="714" w:hanging="357"/>
      </w:pPr>
      <w:r w:rsidRPr="00167FB4">
        <w:t>a.</w:t>
      </w:r>
      <w:r w:rsidRPr="00167FB4">
        <w:tab/>
        <w:t>it understands and has complied with the conditions set out in this document</w:t>
      </w:r>
    </w:p>
    <w:p w14:paraId="5133315E" w14:textId="77777777" w:rsidR="00DF644D" w:rsidRPr="00167FB4" w:rsidRDefault="00DF644D" w:rsidP="0061744B">
      <w:pPr>
        <w:pStyle w:val="BodyText1"/>
        <w:ind w:left="714" w:hanging="357"/>
      </w:pPr>
      <w:r w:rsidRPr="00167FB4">
        <w:t>b.</w:t>
      </w:r>
      <w:r w:rsidRPr="00167FB4">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Pr="00167FB4" w:rsidRDefault="00DF644D" w:rsidP="0061744B">
      <w:pPr>
        <w:pStyle w:val="BodyText1"/>
        <w:ind w:left="714" w:hanging="357"/>
      </w:pPr>
      <w:r w:rsidRPr="00167FB4">
        <w:t>c.</w:t>
      </w:r>
      <w:r w:rsidRPr="00167FB4">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Pr="00167FB4" w:rsidRDefault="00DF644D" w:rsidP="0061744B">
      <w:pPr>
        <w:pStyle w:val="BodyText1"/>
        <w:ind w:left="714" w:hanging="357"/>
      </w:pPr>
      <w:r w:rsidRPr="00167FB4">
        <w:t>d.</w:t>
      </w:r>
      <w:r w:rsidRPr="00167FB4">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Pr="00167FB4" w:rsidRDefault="00DF644D" w:rsidP="005963DA">
      <w:pPr>
        <w:pStyle w:val="BodyText1"/>
        <w:numPr>
          <w:ilvl w:val="0"/>
          <w:numId w:val="6"/>
        </w:numPr>
        <w:ind w:left="357" w:hanging="357"/>
      </w:pPr>
      <w:r w:rsidRPr="00167FB4">
        <w:t>Suppliers should note that the potential consequences of providing incomplete, inaccurate or misleading information include that:</w:t>
      </w:r>
    </w:p>
    <w:p w14:paraId="09A98BA4" w14:textId="77777777" w:rsidR="00DF644D" w:rsidRPr="00167FB4" w:rsidRDefault="00DF644D" w:rsidP="0061744B">
      <w:pPr>
        <w:pStyle w:val="BodyText1"/>
        <w:ind w:left="714" w:hanging="357"/>
      </w:pPr>
      <w:r w:rsidRPr="00167FB4">
        <w:t>a.</w:t>
      </w:r>
      <w:r w:rsidRPr="00167FB4">
        <w:tab/>
        <w:t>the Authority may exclude the Supplier from participating in this Procurement</w:t>
      </w:r>
    </w:p>
    <w:p w14:paraId="485ED62A" w14:textId="77777777" w:rsidR="00DF644D" w:rsidRPr="00167FB4" w:rsidRDefault="00DF644D" w:rsidP="0061744B">
      <w:pPr>
        <w:pStyle w:val="BodyText1"/>
        <w:ind w:left="714" w:hanging="357"/>
      </w:pPr>
      <w:r w:rsidRPr="00167FB4">
        <w:t>b.</w:t>
      </w:r>
      <w:r w:rsidRPr="00167FB4">
        <w:tab/>
        <w:t>the Supplier may be excluded from bidding for contracts under Schedule 7, Paragraph 13 of the Act</w:t>
      </w:r>
    </w:p>
    <w:p w14:paraId="794ADCF3" w14:textId="77777777" w:rsidR="00DF644D" w:rsidRPr="00167FB4" w:rsidRDefault="00DF644D" w:rsidP="0061744B">
      <w:pPr>
        <w:pStyle w:val="BodyText1"/>
        <w:ind w:left="714" w:hanging="357"/>
      </w:pPr>
      <w:r w:rsidRPr="00167FB4">
        <w:t>c.</w:t>
      </w:r>
      <w:r w:rsidRPr="00167FB4">
        <w:tab/>
        <w:t>the Authority may rescind any resulting contract under the Misrepresentation Act 1967 and may sue the Supplier for damages</w:t>
      </w:r>
    </w:p>
    <w:p w14:paraId="480B525C" w14:textId="77777777" w:rsidR="00DF644D" w:rsidRPr="00167FB4" w:rsidRDefault="00DF644D" w:rsidP="0061744B">
      <w:pPr>
        <w:pStyle w:val="BodyText1"/>
        <w:ind w:left="714" w:hanging="357"/>
      </w:pPr>
      <w:r w:rsidRPr="00167FB4">
        <w:t>d.</w:t>
      </w:r>
      <w:r w:rsidRPr="00167FB4">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Pr="00167FB4" w:rsidRDefault="00DF644D" w:rsidP="004A5BF8">
      <w:pPr>
        <w:pStyle w:val="Heading3"/>
      </w:pPr>
      <w:r w:rsidRPr="00167FB4">
        <w:t>Third parties</w:t>
      </w:r>
    </w:p>
    <w:p w14:paraId="01388277" w14:textId="77777777" w:rsidR="00DF644D" w:rsidRPr="00167FB4" w:rsidRDefault="00DF644D" w:rsidP="005963DA">
      <w:pPr>
        <w:pStyle w:val="BodyText1"/>
        <w:numPr>
          <w:ilvl w:val="0"/>
          <w:numId w:val="6"/>
        </w:numPr>
        <w:ind w:left="357" w:hanging="357"/>
      </w:pPr>
      <w:r w:rsidRPr="00167FB4">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Pr="00167FB4" w:rsidRDefault="00DF644D" w:rsidP="004A5BF8">
      <w:pPr>
        <w:pStyle w:val="Heading3"/>
      </w:pPr>
      <w:r w:rsidRPr="00167FB4">
        <w:t>Applicable law</w:t>
      </w:r>
    </w:p>
    <w:p w14:paraId="29B320D3" w14:textId="431C507F" w:rsidR="00DF644D" w:rsidRPr="00167FB4" w:rsidRDefault="00DF644D" w:rsidP="005963DA">
      <w:pPr>
        <w:pStyle w:val="BodyText1"/>
        <w:numPr>
          <w:ilvl w:val="0"/>
          <w:numId w:val="6"/>
        </w:numPr>
        <w:ind w:left="357" w:hanging="357"/>
      </w:pPr>
      <w:r w:rsidRPr="00167FB4">
        <w:t>The law</w:t>
      </w:r>
      <w:r w:rsidR="00086B14" w:rsidRPr="00167FB4">
        <w:t>s</w:t>
      </w:r>
      <w:r w:rsidRPr="00167FB4">
        <w:t xml:space="preserve"> of England </w:t>
      </w:r>
      <w:r w:rsidR="00086B14" w:rsidRPr="00167FB4">
        <w:t>and Wales are</w:t>
      </w:r>
      <w:r w:rsidRPr="00167FB4">
        <w:t xml:space="preserve"> applicable to this Procurement. </w:t>
      </w:r>
    </w:p>
    <w:p w14:paraId="57FF048F" w14:textId="77777777" w:rsidR="002147DD" w:rsidRPr="00167FB4" w:rsidRDefault="00DF644D" w:rsidP="005963DA">
      <w:pPr>
        <w:pStyle w:val="BodyText1"/>
        <w:numPr>
          <w:ilvl w:val="0"/>
          <w:numId w:val="6"/>
        </w:numPr>
        <w:ind w:left="357" w:hanging="357"/>
      </w:pPr>
      <w:r w:rsidRPr="00167FB4">
        <w:t>Suppliers must agree to submit to the exclusive jurisdiction of the Courts of England and Wales in relation to any dispute arising out of or in connection with this Procurement.</w:t>
      </w:r>
    </w:p>
    <w:p w14:paraId="6D5ECDD8" w14:textId="77777777" w:rsidR="002147DD" w:rsidRDefault="002147DD" w:rsidP="00DF644D">
      <w:pPr>
        <w:pStyle w:val="Heading1"/>
        <w:numPr>
          <w:ilvl w:val="0"/>
          <w:numId w:val="0"/>
        </w:numPr>
      </w:pPr>
      <w:bookmarkStart w:id="24" w:name="_Toc211930152"/>
      <w:r>
        <w:t>Appendix B: The Authority’s detailed requirement</w:t>
      </w:r>
      <w:bookmarkEnd w:id="24"/>
    </w:p>
    <w:p w14:paraId="690BC6E3" w14:textId="1BC19A69" w:rsidR="002147DD" w:rsidRPr="00170C6F" w:rsidRDefault="006E1CB7" w:rsidP="002147DD">
      <w:pPr>
        <w:pStyle w:val="BodyText1"/>
      </w:pPr>
      <w:r w:rsidRPr="2CAEAB3E">
        <w:rPr>
          <w:color w:val="auto"/>
        </w:rPr>
        <w:t>See Framework Schedule 1 (Specification) in attached document ref: ‘202510</w:t>
      </w:r>
      <w:r w:rsidR="001507B6" w:rsidRPr="2CAEAB3E">
        <w:rPr>
          <w:color w:val="auto"/>
        </w:rPr>
        <w:t>20</w:t>
      </w:r>
      <w:r w:rsidRPr="2CAEAB3E">
        <w:rPr>
          <w:color w:val="auto"/>
        </w:rPr>
        <w:t>-UKEF_0641_GALP_</w:t>
      </w:r>
      <w:r w:rsidR="0047301D" w:rsidRPr="2CAEAB3E">
        <w:rPr>
          <w:color w:val="auto"/>
        </w:rPr>
        <w:t>ITP_</w:t>
      </w:r>
      <w:r w:rsidRPr="2CAEAB3E">
        <w:rPr>
          <w:color w:val="auto"/>
        </w:rPr>
        <w:t>Appendix_</w:t>
      </w:r>
      <w:r w:rsidR="7BE571A6" w:rsidRPr="2CAEAB3E">
        <w:rPr>
          <w:color w:val="auto"/>
        </w:rPr>
        <w:t>D</w:t>
      </w:r>
      <w:r w:rsidRPr="2CAEAB3E">
        <w:rPr>
          <w:color w:val="auto"/>
        </w:rPr>
        <w:t>_Contract_Schedules’</w:t>
      </w:r>
    </w:p>
    <w:p w14:paraId="03D9D034" w14:textId="5247CC6C" w:rsidR="002147DD" w:rsidRDefault="002147DD" w:rsidP="00DF644D">
      <w:pPr>
        <w:pStyle w:val="Heading1"/>
        <w:numPr>
          <w:ilvl w:val="0"/>
          <w:numId w:val="0"/>
        </w:numPr>
      </w:pPr>
      <w:bookmarkStart w:id="25" w:name="_Toc211930153"/>
      <w:r>
        <w:t xml:space="preserve">Appendix C: </w:t>
      </w:r>
      <w:r w:rsidR="006E6692">
        <w:t xml:space="preserve">Performance </w:t>
      </w:r>
      <w:r>
        <w:t>Levels, Service Credits and KPIs</w:t>
      </w:r>
      <w:bookmarkEnd w:id="25"/>
    </w:p>
    <w:p w14:paraId="63B3BA47" w14:textId="5849BC05" w:rsidR="00167FB4" w:rsidRPr="00167FB4" w:rsidRDefault="00167FB4" w:rsidP="2CAEAB3E">
      <w:pPr>
        <w:spacing w:before="240" w:after="240"/>
        <w:rPr>
          <w:rFonts w:ascii="Arial" w:eastAsia="Arial" w:hAnsi="Arial" w:cs="Arial"/>
        </w:rPr>
      </w:pPr>
      <w:r>
        <w:t xml:space="preserve">See </w:t>
      </w:r>
      <w:r w:rsidR="006146BA">
        <w:t>Framework Schedule 4 (Framework Management)</w:t>
      </w:r>
      <w:r w:rsidR="3D6F8FD5">
        <w:t xml:space="preserve">  </w:t>
      </w:r>
      <w:r w:rsidR="006146BA">
        <w:t xml:space="preserve">and </w:t>
      </w:r>
      <w:r w:rsidR="00D1179A">
        <w:t xml:space="preserve">Call-Off Schedule 14 </w:t>
      </w:r>
      <w:r w:rsidR="00416660">
        <w:t>(Performance Levels)</w:t>
      </w:r>
      <w:r w:rsidR="007512BE">
        <w:t xml:space="preserve"> in </w:t>
      </w:r>
      <w:r>
        <w:t>attached document</w:t>
      </w:r>
      <w:r w:rsidR="20B423CE">
        <w:t>s</w:t>
      </w:r>
      <w:r>
        <w:t xml:space="preserve"> ref: ‘</w:t>
      </w:r>
      <w:r w:rsidR="006146BA">
        <w:t>202510</w:t>
      </w:r>
      <w:r w:rsidR="00EE0CCF">
        <w:t>20</w:t>
      </w:r>
      <w:r w:rsidR="006146BA">
        <w:t>-UKEF_0641_GALP</w:t>
      </w:r>
      <w:r w:rsidR="0047301D">
        <w:t>_ITP</w:t>
      </w:r>
      <w:r w:rsidR="006146BA">
        <w:t>_Appendix_</w:t>
      </w:r>
      <w:r w:rsidR="473481D6">
        <w:t>D</w:t>
      </w:r>
      <w:r w:rsidR="006146BA">
        <w:t>_Contract_Schedules</w:t>
      </w:r>
      <w:r w:rsidR="006E1CB7">
        <w:t>’</w:t>
      </w:r>
      <w:r w:rsidR="246BD429">
        <w:t xml:space="preserve"> and </w:t>
      </w:r>
      <w:r w:rsidR="246BD429" w:rsidRPr="2CAEAB3E">
        <w:rPr>
          <w:rFonts w:ascii="Arial" w:eastAsia="Arial" w:hAnsi="Arial" w:cs="Arial"/>
        </w:rPr>
        <w:t>20251020</w:t>
      </w:r>
      <w:r w:rsidR="53161EB4" w:rsidRPr="2CAEAB3E">
        <w:rPr>
          <w:rFonts w:ascii="Arial" w:eastAsia="Arial" w:hAnsi="Arial" w:cs="Arial"/>
        </w:rPr>
        <w:t xml:space="preserve"> </w:t>
      </w:r>
      <w:r w:rsidR="246BD429" w:rsidRPr="2CAEAB3E">
        <w:rPr>
          <w:rFonts w:ascii="Arial" w:eastAsia="Arial" w:hAnsi="Arial" w:cs="Arial"/>
        </w:rPr>
        <w:t>UKEF_0641_GALP_ITP_Appendix_C_Annex_A_to_Framework_Schedule_5_(MI_Repor</w:t>
      </w:r>
      <w:r w:rsidR="68C63110" w:rsidRPr="2CAEAB3E">
        <w:rPr>
          <w:rFonts w:ascii="Arial" w:eastAsia="Arial" w:hAnsi="Arial" w:cs="Arial"/>
        </w:rPr>
        <w:t>ti</w:t>
      </w:r>
      <w:r w:rsidR="246BD429" w:rsidRPr="2CAEAB3E">
        <w:rPr>
          <w:rFonts w:ascii="Arial" w:eastAsia="Arial" w:hAnsi="Arial" w:cs="Arial"/>
        </w:rPr>
        <w:t>ng_Template)</w:t>
      </w:r>
    </w:p>
    <w:p w14:paraId="0590BD8F" w14:textId="02575A3B" w:rsidR="00167FB4" w:rsidRPr="00167FB4" w:rsidRDefault="00167FB4" w:rsidP="00167FB4"/>
    <w:p w14:paraId="0041F325" w14:textId="78EA7513" w:rsidR="00167FB4" w:rsidRPr="00167FB4" w:rsidRDefault="00167FB4" w:rsidP="00167FB4"/>
    <w:p w14:paraId="56151748" w14:textId="77777777" w:rsidR="002147DD" w:rsidRPr="00170C6F" w:rsidRDefault="002147DD" w:rsidP="002147DD">
      <w:pPr>
        <w:pStyle w:val="BodyText1"/>
      </w:pPr>
    </w:p>
    <w:p w14:paraId="022B0E6F" w14:textId="5DD2D648" w:rsidR="00DF644D" w:rsidRDefault="00DF644D" w:rsidP="00DF644D">
      <w:pPr>
        <w:pStyle w:val="Heading1"/>
        <w:numPr>
          <w:ilvl w:val="0"/>
          <w:numId w:val="0"/>
        </w:numPr>
      </w:pPr>
      <w:bookmarkStart w:id="26" w:name="_Toc211930154"/>
      <w:r>
        <w:t>Appendix D: The draft contract terms</w:t>
      </w:r>
      <w:r w:rsidR="006E6692">
        <w:t xml:space="preserve"> and conditions</w:t>
      </w:r>
      <w:bookmarkEnd w:id="26"/>
    </w:p>
    <w:p w14:paraId="63A27C7D" w14:textId="0F77EC4C" w:rsidR="00A7478C" w:rsidRPr="00A7478C" w:rsidRDefault="00A7478C" w:rsidP="2CAEAB3E">
      <w:r>
        <w:t>See attached document ref: ‘20251</w:t>
      </w:r>
      <w:r w:rsidR="001047E9">
        <w:t>020</w:t>
      </w:r>
      <w:r w:rsidR="0047301D">
        <w:t>-UKEF_0641_GALP_ITP_Appendix_D_D</w:t>
      </w:r>
      <w:r w:rsidR="001047E9">
        <w:t>raft</w:t>
      </w:r>
      <w:r w:rsidR="0047301D">
        <w:t>_Terms_and_Conditions’</w:t>
      </w:r>
      <w:r w:rsidR="2240F2DF">
        <w:t xml:space="preserve"> and ‘20251020-UKEF_0641_GALP_ITP_Appendix_D_Contract_Schedules’</w:t>
      </w:r>
    </w:p>
    <w:p w14:paraId="48D573AB" w14:textId="77777777" w:rsidR="00DF644D" w:rsidRPr="00170C6F" w:rsidRDefault="00DF644D" w:rsidP="00DF644D">
      <w:pPr>
        <w:pStyle w:val="BodyText1"/>
      </w:pPr>
    </w:p>
    <w:p w14:paraId="3FC33B91" w14:textId="77777777" w:rsidR="00DF644D" w:rsidRPr="002147DD" w:rsidRDefault="00DF644D" w:rsidP="00DF644D">
      <w:pPr>
        <w:pStyle w:val="Heading1"/>
        <w:numPr>
          <w:ilvl w:val="0"/>
          <w:numId w:val="0"/>
        </w:numPr>
      </w:pPr>
      <w:bookmarkStart w:id="27" w:name="_Toc211930155"/>
      <w:bookmarkStart w:id="28" w:name="_Hlk208392401"/>
      <w:r>
        <w:t>Appendix E: Glossary</w:t>
      </w:r>
      <w:bookmarkEnd w:id="2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AB450C" w:rsidRPr="00845A54" w14:paraId="037A1E3E" w14:textId="77777777" w:rsidTr="44802323">
        <w:trPr>
          <w:tblHeader/>
        </w:trPr>
        <w:tc>
          <w:tcPr>
            <w:tcW w:w="3119" w:type="dxa"/>
            <w:shd w:val="clear" w:color="auto" w:fill="BEDDFF" w:themeFill="accent2" w:themeFillTint="33"/>
          </w:tcPr>
          <w:bookmarkEnd w:id="28"/>
          <w:p w14:paraId="3FD10F5B" w14:textId="77777777" w:rsidR="00AB450C" w:rsidRPr="00845A54" w:rsidRDefault="00AB450C" w:rsidP="007E54D1">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Defined term</w:t>
            </w:r>
          </w:p>
        </w:tc>
        <w:tc>
          <w:tcPr>
            <w:tcW w:w="6519" w:type="dxa"/>
            <w:shd w:val="clear" w:color="auto" w:fill="BEDDFF" w:themeFill="accent2" w:themeFillTint="33"/>
          </w:tcPr>
          <w:p w14:paraId="5246DC31" w14:textId="77777777" w:rsidR="00AB450C" w:rsidRPr="00845A54" w:rsidRDefault="00AB450C" w:rsidP="007E54D1">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AB450C" w:rsidRPr="0018563A" w14:paraId="07467181" w14:textId="77777777" w:rsidTr="44802323">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AB450C">
            <w:pPr>
              <w:pStyle w:val="BodyText1"/>
              <w:spacing w:after="120"/>
            </w:pPr>
            <w:r>
              <w:t>means t</w:t>
            </w:r>
            <w:r w:rsidRPr="00CC010A">
              <w:t xml:space="preserve">he </w:t>
            </w:r>
            <w:r w:rsidR="00AB450C" w:rsidRPr="00CC010A">
              <w:t>Procurement Act 2023.</w:t>
            </w:r>
          </w:p>
        </w:tc>
      </w:tr>
      <w:tr w:rsidR="00AB450C" w:rsidRPr="0018563A" w14:paraId="1B41E898" w14:textId="77777777" w:rsidTr="44802323">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7427BAC3" w:rsidR="00AB450C" w:rsidRPr="0018563A" w:rsidRDefault="00092A59" w:rsidP="00AB450C">
            <w:pPr>
              <w:pStyle w:val="BodyText1"/>
              <w:spacing w:after="0"/>
            </w:pPr>
            <w:r w:rsidRPr="00092A59">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rsidTr="44802323">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489D903B" w:rsidR="00AB450C" w:rsidRPr="0018563A" w:rsidRDefault="00092A59" w:rsidP="00AB450C">
            <w:pPr>
              <w:tabs>
                <w:tab w:val="left" w:pos="2751"/>
              </w:tabs>
              <w:ind w:left="57"/>
            </w:pPr>
            <w:r>
              <w:t xml:space="preserve">means </w:t>
            </w:r>
            <w:r w:rsidR="00BB58A0" w:rsidRPr="00BB58A0">
              <w:t>The Secretary of State acting through the Export Credits Guarantee Department (operating as UK Export Finance) whose registered office is at 1 Horse Guards Road, London SW1A 2HQ</w:t>
            </w:r>
          </w:p>
        </w:tc>
      </w:tr>
      <w:tr w:rsidR="00AB450C" w:rsidRPr="0018563A" w14:paraId="6E334BA5" w14:textId="77777777" w:rsidTr="44802323">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AB450C">
            <w:pPr>
              <w:tabs>
                <w:tab w:val="left" w:pos="2751"/>
              </w:tabs>
              <w:ind w:left="57"/>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rsidTr="44802323">
        <w:tc>
          <w:tcPr>
            <w:tcW w:w="3119" w:type="dxa"/>
          </w:tcPr>
          <w:p w14:paraId="40E9F420" w14:textId="77777777" w:rsidR="00AB450C" w:rsidRPr="0018563A" w:rsidRDefault="00AB450C" w:rsidP="00AB450C">
            <w:pPr>
              <w:pStyle w:val="BodyText1"/>
              <w:spacing w:after="0"/>
            </w:pPr>
            <w:r w:rsidRPr="0041156C">
              <w:t>Competitive Flexible Procedure</w:t>
            </w:r>
          </w:p>
        </w:tc>
        <w:tc>
          <w:tcPr>
            <w:tcW w:w="6519" w:type="dxa"/>
          </w:tcPr>
          <w:p w14:paraId="6A473AC7" w14:textId="726EDB1D" w:rsidR="00AB450C" w:rsidRPr="0018563A" w:rsidRDefault="00CB75CC" w:rsidP="00AB450C">
            <w:pPr>
              <w:tabs>
                <w:tab w:val="left" w:pos="2751"/>
              </w:tabs>
              <w:ind w:left="57"/>
            </w:pPr>
            <w:r>
              <w:t>means</w:t>
            </w:r>
            <w:r w:rsidR="00092A59">
              <w:t xml:space="preserve"> t</w:t>
            </w:r>
            <w:r w:rsidR="00092A59" w:rsidRPr="00CC010A">
              <w:t xml:space="preserve">he </w:t>
            </w:r>
            <w:r w:rsidR="00AB450C" w:rsidRPr="00CC010A">
              <w:t>competitive flexible procedure as defined by section 20 of the Act.</w:t>
            </w:r>
          </w:p>
        </w:tc>
      </w:tr>
      <w:tr w:rsidR="00AB450C" w:rsidRPr="0018563A" w14:paraId="12514588" w14:textId="77777777" w:rsidTr="44802323">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AB450C">
            <w:pPr>
              <w:tabs>
                <w:tab w:val="left" w:pos="2751"/>
              </w:tabs>
              <w:ind w:left="57"/>
            </w:pPr>
            <w:r>
              <w:t>means t</w:t>
            </w:r>
            <w:r w:rsidRPr="00CC010A">
              <w:t xml:space="preserve">he </w:t>
            </w:r>
            <w:r w:rsidR="00AB450C" w:rsidRPr="00CC010A">
              <w:t>contract to be entered into by the Authority with the successful Supplier.</w:t>
            </w:r>
          </w:p>
        </w:tc>
      </w:tr>
      <w:tr w:rsidR="00BC3B32" w:rsidRPr="0018563A" w14:paraId="3C2873CC" w14:textId="77777777" w:rsidTr="44802323">
        <w:tc>
          <w:tcPr>
            <w:tcW w:w="3119" w:type="dxa"/>
          </w:tcPr>
          <w:p w14:paraId="3F1D5AC9" w14:textId="595BA3DE" w:rsidR="00BC3B32" w:rsidRDefault="00BC3B32" w:rsidP="00AB450C">
            <w:pPr>
              <w:pStyle w:val="BodyText1"/>
              <w:spacing w:after="0"/>
            </w:pPr>
            <w:r>
              <w:t>Final Tender Score</w:t>
            </w:r>
          </w:p>
        </w:tc>
        <w:tc>
          <w:tcPr>
            <w:tcW w:w="6519" w:type="dxa"/>
          </w:tcPr>
          <w:p w14:paraId="6430B8A5" w14:textId="287598F9" w:rsidR="00BC3B32" w:rsidRDefault="00FC72EE" w:rsidP="00AB450C">
            <w:pPr>
              <w:tabs>
                <w:tab w:val="left" w:pos="2751"/>
              </w:tabs>
              <w:ind w:left="57"/>
            </w:pPr>
            <w:r>
              <w:t>m</w:t>
            </w:r>
            <w:r w:rsidR="00092C5C">
              <w:t>eans the score awarded to the Supplier at the end of the tender process, combining all moderated and weighted scores (tech</w:t>
            </w:r>
            <w:r w:rsidR="00EA4CDD">
              <w:t>nical, social value and pricing) from stages 2 and 3 of the procurement process</w:t>
            </w:r>
            <w:r w:rsidR="003962AB">
              <w:t xml:space="preserve"> which will be used to identify the successful Suppliers. </w:t>
            </w:r>
          </w:p>
        </w:tc>
      </w:tr>
      <w:tr w:rsidR="00F5394D" w:rsidRPr="0018563A" w14:paraId="39CCD879" w14:textId="77777777" w:rsidTr="44802323">
        <w:tc>
          <w:tcPr>
            <w:tcW w:w="3119" w:type="dxa"/>
          </w:tcPr>
          <w:p w14:paraId="4ACEDF18" w14:textId="3E235EEE" w:rsidR="00F5394D" w:rsidRPr="0041156C" w:rsidRDefault="00F5394D" w:rsidP="00AB450C">
            <w:pPr>
              <w:pStyle w:val="BodyText1"/>
              <w:spacing w:after="0"/>
            </w:pPr>
            <w:r>
              <w:t>Framework Contract</w:t>
            </w:r>
          </w:p>
        </w:tc>
        <w:tc>
          <w:tcPr>
            <w:tcW w:w="6519" w:type="dxa"/>
          </w:tcPr>
          <w:p w14:paraId="7D517A46" w14:textId="25626637" w:rsidR="00F5394D" w:rsidRDefault="0A03AA65" w:rsidP="002F397D">
            <w:pPr>
              <w:tabs>
                <w:tab w:val="left" w:pos="2751"/>
              </w:tabs>
              <w:ind w:left="57"/>
            </w:pPr>
            <w:r>
              <w:t>m</w:t>
            </w:r>
            <w:r w:rsidR="36876CC3">
              <w:t>eans</w:t>
            </w:r>
            <w:r w:rsidR="00C4690F">
              <w:t xml:space="preserve"> the </w:t>
            </w:r>
            <w:r w:rsidR="002F397D">
              <w:t>framework agreement</w:t>
            </w:r>
            <w:r w:rsidR="00CE0620">
              <w:t xml:space="preserve"> that the Authority is looking to</w:t>
            </w:r>
            <w:r w:rsidR="002F397D">
              <w:t xml:space="preserve"> </w:t>
            </w:r>
            <w:r w:rsidR="00705168">
              <w:t>form</w:t>
            </w:r>
            <w:r w:rsidR="002F397D">
              <w:t xml:space="preserve"> </w:t>
            </w:r>
            <w:r w:rsidR="00CE0620">
              <w:t>with</w:t>
            </w:r>
            <w:r w:rsidR="002F397D">
              <w:t xml:space="preserve"> the</w:t>
            </w:r>
            <w:r w:rsidR="00CE0620">
              <w:t xml:space="preserve"> successful</w:t>
            </w:r>
            <w:r w:rsidR="002F397D">
              <w:t xml:space="preserve"> Supplier</w:t>
            </w:r>
            <w:r w:rsidR="00CE0620">
              <w:t>(s)</w:t>
            </w:r>
            <w:r w:rsidR="002F397D">
              <w:t xml:space="preserve"> </w:t>
            </w:r>
            <w:r w:rsidR="00705168">
              <w:t xml:space="preserve">to establish a General </w:t>
            </w:r>
            <w:r w:rsidR="00551740">
              <w:t xml:space="preserve">Aerospace </w:t>
            </w:r>
            <w:r w:rsidR="00705168">
              <w:t>Legal Panel</w:t>
            </w:r>
            <w:r w:rsidR="00551740">
              <w:t xml:space="preserve"> (GALP) in accordance with the Terms and Conditions and associated Schedules included at Appendix D</w:t>
            </w:r>
            <w:r w:rsidR="3489FCA1">
              <w:t>.</w:t>
            </w:r>
            <w:r w:rsidR="00CE0620">
              <w:t xml:space="preserve"> </w:t>
            </w:r>
          </w:p>
        </w:tc>
      </w:tr>
      <w:tr w:rsidR="006E6692" w:rsidRPr="0018563A" w14:paraId="4552E776" w14:textId="77777777" w:rsidTr="44802323">
        <w:tc>
          <w:tcPr>
            <w:tcW w:w="3119" w:type="dxa"/>
          </w:tcPr>
          <w:p w14:paraId="74E90C1B" w14:textId="358D5D1D" w:rsidR="006E6692" w:rsidRPr="0041156C" w:rsidRDefault="006E6692" w:rsidP="00AB450C">
            <w:pPr>
              <w:pStyle w:val="BodyText1"/>
              <w:spacing w:after="0"/>
            </w:pPr>
            <w:r>
              <w:t>Industry</w:t>
            </w:r>
          </w:p>
        </w:tc>
        <w:tc>
          <w:tcPr>
            <w:tcW w:w="6519" w:type="dxa"/>
          </w:tcPr>
          <w:p w14:paraId="2B826B16" w14:textId="738CF4FA" w:rsidR="006E6692" w:rsidRDefault="008850FD" w:rsidP="00AB450C">
            <w:pPr>
              <w:tabs>
                <w:tab w:val="left" w:pos="2751"/>
              </w:tabs>
              <w:ind w:left="57"/>
            </w:pPr>
            <w:r>
              <w:t>means the</w:t>
            </w:r>
            <w:r w:rsidRPr="008850FD">
              <w:t xml:space="preserve"> distinct group of productive or profit-making enterprises</w:t>
            </w:r>
            <w:r>
              <w:t xml:space="preserve"> associated wi</w:t>
            </w:r>
            <w:r w:rsidR="00B85FF1">
              <w:t>th or interested in providing</w:t>
            </w:r>
            <w:r>
              <w:t xml:space="preserve"> legal services</w:t>
            </w:r>
            <w:r w:rsidR="5AF51823">
              <w:t xml:space="preserve"> in connection with the financing of aerospace sector assets, services and projects</w:t>
            </w:r>
            <w:r w:rsidR="002C1426">
              <w:t>.</w:t>
            </w:r>
            <w:r w:rsidR="5AF51823">
              <w:t xml:space="preserve"> </w:t>
            </w:r>
          </w:p>
        </w:tc>
      </w:tr>
      <w:tr w:rsidR="00AB450C" w:rsidRPr="0018563A" w14:paraId="63F4883D" w14:textId="77777777" w:rsidTr="44802323">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AB450C">
            <w:pPr>
              <w:tabs>
                <w:tab w:val="left" w:pos="2751"/>
              </w:tabs>
              <w:ind w:left="57"/>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rsidTr="44802323">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760A9B4B" w:rsidR="00AB450C" w:rsidRPr="0018563A" w:rsidRDefault="00092A59" w:rsidP="00AB450C">
            <w:pPr>
              <w:tabs>
                <w:tab w:val="left" w:pos="2751"/>
              </w:tabs>
              <w:ind w:left="57"/>
            </w:pPr>
            <w:r>
              <w:t>means the</w:t>
            </w:r>
            <w:r w:rsidRPr="00CC010A">
              <w:t xml:space="preserve"> </w:t>
            </w:r>
            <w:r w:rsidR="00551740">
              <w:t xml:space="preserve">Atamis </w:t>
            </w:r>
            <w:r w:rsidR="00AB450C" w:rsidRPr="00CC010A">
              <w:t xml:space="preserve">portal used by the Authority for the purposes of this Procurement and which can be accessed here: </w:t>
            </w:r>
            <w:r w:rsidR="00290DC9" w:rsidRPr="00290DC9">
              <w:t xml:space="preserve">https://ukef-atamis.my.site.com/s/Welcome </w:t>
            </w:r>
          </w:p>
        </w:tc>
      </w:tr>
      <w:tr w:rsidR="00F312DB" w:rsidRPr="0018563A" w14:paraId="3B86B89F" w14:textId="77777777" w:rsidTr="44802323">
        <w:tc>
          <w:tcPr>
            <w:tcW w:w="3119" w:type="dxa"/>
          </w:tcPr>
          <w:p w14:paraId="42A968C4" w14:textId="2CA07343" w:rsidR="00F312DB" w:rsidRPr="0041156C" w:rsidRDefault="00F312DB" w:rsidP="00AB450C">
            <w:pPr>
              <w:pStyle w:val="BodyText1"/>
              <w:spacing w:after="0"/>
            </w:pPr>
            <w:r>
              <w:t>Pricing Schedule</w:t>
            </w:r>
          </w:p>
        </w:tc>
        <w:tc>
          <w:tcPr>
            <w:tcW w:w="6519" w:type="dxa"/>
          </w:tcPr>
          <w:p w14:paraId="7824EC35" w14:textId="255974B1" w:rsidR="00F312DB" w:rsidRPr="00CC010A" w:rsidRDefault="005B4263" w:rsidP="00AB450C">
            <w:pPr>
              <w:tabs>
                <w:tab w:val="left" w:pos="2751"/>
              </w:tabs>
              <w:ind w:left="57"/>
            </w:pPr>
            <w:r>
              <w:t xml:space="preserve">means the </w:t>
            </w:r>
            <w:r w:rsidR="00904F2C">
              <w:t xml:space="preserve">table at Annex 1 to </w:t>
            </w:r>
            <w:r w:rsidR="00705468" w:rsidRPr="00705468">
              <w:t>Framework Schedule 3 (Framework Prices)</w:t>
            </w:r>
            <w:r w:rsidR="00705468">
              <w:t xml:space="preserve"> included at Appendix C, which will form </w:t>
            </w:r>
            <w:r w:rsidR="00391E0D">
              <w:t xml:space="preserve">part of the </w:t>
            </w:r>
            <w:r w:rsidR="00FC72EE">
              <w:t>pricing assessment of the ITT process.</w:t>
            </w:r>
          </w:p>
        </w:tc>
      </w:tr>
      <w:tr w:rsidR="00AB450C" w:rsidRPr="0018563A" w14:paraId="295BE2A8" w14:textId="77777777" w:rsidTr="44802323">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4B99848B" w:rsidR="00AB450C" w:rsidRPr="0018563A" w:rsidRDefault="11519953" w:rsidP="00AB450C">
            <w:pPr>
              <w:tabs>
                <w:tab w:val="left" w:pos="2751"/>
              </w:tabs>
              <w:ind w:left="57"/>
            </w:pPr>
            <w:r>
              <w:t>means t</w:t>
            </w:r>
            <w:r w:rsidR="2A9A876B">
              <w:t>his</w:t>
            </w:r>
            <w:r w:rsidR="00AB450C" w:rsidRPr="00CC010A">
              <w:t xml:space="preserve"> Competitive Flexible Procedure procurement process.</w:t>
            </w:r>
          </w:p>
        </w:tc>
      </w:tr>
      <w:tr w:rsidR="00AB450C" w:rsidRPr="0018563A" w14:paraId="3A3C67BD" w14:textId="77777777" w:rsidTr="44802323">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43ACDC43" w:rsidR="00AB450C" w:rsidRPr="0018563A" w:rsidRDefault="260B0E73" w:rsidP="00AB450C">
            <w:pPr>
              <w:tabs>
                <w:tab w:val="left" w:pos="2751"/>
              </w:tabs>
              <w:ind w:left="57"/>
            </w:pPr>
            <w:r>
              <w:t>m</w:t>
            </w:r>
            <w:r w:rsidR="2076B3D5">
              <w:t>eans</w:t>
            </w:r>
            <w:r w:rsidR="590862C6">
              <w:t xml:space="preserve"> t</w:t>
            </w:r>
            <w:r w:rsidR="2A9A876B">
              <w:t>he</w:t>
            </w:r>
            <w:r w:rsidR="00AB450C" w:rsidRPr="00CC010A">
              <w:t xml:space="preserve"> timetable for this Procurement as set out in this document.</w:t>
            </w:r>
          </w:p>
        </w:tc>
      </w:tr>
      <w:tr w:rsidR="009B0959" w:rsidRPr="0018563A" w14:paraId="3C6FBB27" w14:textId="77777777" w:rsidTr="44802323">
        <w:tc>
          <w:tcPr>
            <w:tcW w:w="3119" w:type="dxa"/>
          </w:tcPr>
          <w:p w14:paraId="146ED7E4" w14:textId="0C287F31" w:rsidR="009B0959" w:rsidRPr="0041156C" w:rsidRDefault="00576509" w:rsidP="00AB450C">
            <w:pPr>
              <w:pStyle w:val="BodyText1"/>
              <w:spacing w:after="0"/>
            </w:pPr>
            <w:r>
              <w:t>Procurement Specific</w:t>
            </w:r>
            <w:r w:rsidR="009B0959">
              <w:t xml:space="preserve"> Questionnaire </w:t>
            </w:r>
          </w:p>
        </w:tc>
        <w:tc>
          <w:tcPr>
            <w:tcW w:w="6519" w:type="dxa"/>
          </w:tcPr>
          <w:p w14:paraId="7B5D115B" w14:textId="1AEECA5A" w:rsidR="009B0959" w:rsidRPr="00CC010A" w:rsidRDefault="56A03FFD" w:rsidP="00AB450C">
            <w:pPr>
              <w:tabs>
                <w:tab w:val="left" w:pos="2751"/>
              </w:tabs>
              <w:ind w:left="57"/>
            </w:pPr>
            <w:r>
              <w:t>m</w:t>
            </w:r>
            <w:r w:rsidR="66613BCD">
              <w:t>eans</w:t>
            </w:r>
            <w:r w:rsidR="00DE53C3">
              <w:t xml:space="preserve"> the qu</w:t>
            </w:r>
            <w:r w:rsidR="00CE65EA">
              <w:t>estionnaire included at Appendix I to this document which includes, but is not limited, to</w:t>
            </w:r>
            <w:r w:rsidR="00CE65EA" w:rsidRPr="00CE65EA">
              <w:t xml:space="preserve"> core supplier information (from the central digital platform), additional exclusions and debarment information, and information relating to conditions of participation</w:t>
            </w:r>
            <w:r w:rsidR="00CE65EA">
              <w:t xml:space="preserve">. </w:t>
            </w:r>
          </w:p>
        </w:tc>
      </w:tr>
      <w:tr w:rsidR="00AB450C" w:rsidRPr="0018563A" w14:paraId="16E17F3C" w14:textId="77777777" w:rsidTr="44802323">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AB450C">
            <w:pPr>
              <w:tabs>
                <w:tab w:val="left" w:pos="2751"/>
              </w:tabs>
              <w:ind w:left="57"/>
            </w:pPr>
            <w:r>
              <w:t>m</w:t>
            </w:r>
            <w:r w:rsidR="00092A59">
              <w:t>eans t</w:t>
            </w:r>
            <w:r w:rsidR="00AB450C" w:rsidRPr="00CC010A">
              <w:t>he service credits set out in Appendix C.</w:t>
            </w:r>
          </w:p>
        </w:tc>
      </w:tr>
      <w:tr w:rsidR="00AB450C" w:rsidRPr="0018563A" w14:paraId="5C630B15" w14:textId="77777777" w:rsidTr="44802323">
        <w:tc>
          <w:tcPr>
            <w:tcW w:w="3119" w:type="dxa"/>
          </w:tcPr>
          <w:p w14:paraId="63DAD0AD" w14:textId="499A9FA5" w:rsidR="00AB450C" w:rsidRPr="0018563A" w:rsidRDefault="00F5394D" w:rsidP="00AB450C">
            <w:pPr>
              <w:pStyle w:val="BodyText1"/>
              <w:spacing w:after="0"/>
            </w:pPr>
            <w:r>
              <w:t>Performance</w:t>
            </w:r>
            <w:r w:rsidRPr="0041156C">
              <w:t xml:space="preserve"> </w:t>
            </w:r>
            <w:r w:rsidR="00AB450C" w:rsidRPr="0041156C">
              <w:t>Levels</w:t>
            </w:r>
          </w:p>
        </w:tc>
        <w:tc>
          <w:tcPr>
            <w:tcW w:w="6519" w:type="dxa"/>
          </w:tcPr>
          <w:p w14:paraId="5C84594F" w14:textId="100945EF" w:rsidR="00AB450C" w:rsidRPr="0018563A" w:rsidRDefault="00CB75CC" w:rsidP="00AB450C">
            <w:pPr>
              <w:tabs>
                <w:tab w:val="left" w:pos="2751"/>
              </w:tabs>
              <w:ind w:left="57"/>
            </w:pPr>
            <w:r>
              <w:t>m</w:t>
            </w:r>
            <w:r w:rsidR="00092A59">
              <w:t>ean</w:t>
            </w:r>
            <w:r>
              <w:t>s</w:t>
            </w:r>
            <w:r w:rsidR="00092A59">
              <w:t xml:space="preserve"> t</w:t>
            </w:r>
            <w:r w:rsidR="00AB450C" w:rsidRPr="00CC010A">
              <w:t>he service levels set out in</w:t>
            </w:r>
            <w:r w:rsidR="00092A59">
              <w:t xml:space="preserve"> Appendix C</w:t>
            </w:r>
            <w:r w:rsidR="30251CE6">
              <w:t>.</w:t>
            </w:r>
            <w:r w:rsidR="00AB450C" w:rsidRPr="00CC010A">
              <w:t xml:space="preserve"> </w:t>
            </w:r>
          </w:p>
        </w:tc>
      </w:tr>
      <w:tr w:rsidR="00AB450C" w:rsidRPr="0018563A" w14:paraId="7D3D564C" w14:textId="77777777" w:rsidTr="44802323">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97E8E9" w:rsidR="00AB450C" w:rsidRPr="0018563A" w:rsidRDefault="00092A59" w:rsidP="00AB450C">
            <w:pPr>
              <w:tabs>
                <w:tab w:val="left" w:pos="2751"/>
              </w:tabs>
              <w:ind w:left="57"/>
            </w:pPr>
            <w:r w:rsidRPr="00092A59">
              <w:t>means a supplier or suppliers (as the case may be) participating in the Procurement</w:t>
            </w:r>
            <w:r w:rsidR="30251CE6">
              <w:t>.</w:t>
            </w:r>
          </w:p>
        </w:tc>
      </w:tr>
      <w:tr w:rsidR="00AB450C" w:rsidRPr="0018563A" w14:paraId="12B31E07" w14:textId="77777777" w:rsidTr="44802323">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106B7CBB" w:rsidR="00AB450C" w:rsidRPr="0018563A" w:rsidRDefault="1080BC4D" w:rsidP="00AB450C">
            <w:pPr>
              <w:pStyle w:val="BodyText1"/>
              <w:spacing w:after="0"/>
            </w:pPr>
            <w:r>
              <w:t xml:space="preserve">means the tender notice with reference </w:t>
            </w:r>
            <w:r w:rsidR="5A9FF4BA">
              <w:t xml:space="preserve">2025-000033 </w:t>
            </w:r>
            <w:r>
              <w:t xml:space="preserve">published on </w:t>
            </w:r>
            <w:r w:rsidR="39C4C996">
              <w:t>22</w:t>
            </w:r>
            <w:r w:rsidR="678F9C97">
              <w:t xml:space="preserve"> Oct 25</w:t>
            </w:r>
            <w:r>
              <w:t xml:space="preserve"> on the Central Digital Platform</w:t>
            </w:r>
            <w:r w:rsidR="399DE568">
              <w:t>.</w:t>
            </w:r>
          </w:p>
        </w:tc>
      </w:tr>
      <w:tr w:rsidR="006E6692" w:rsidRPr="0018563A" w14:paraId="44166FA9" w14:textId="77777777" w:rsidTr="44802323">
        <w:tc>
          <w:tcPr>
            <w:tcW w:w="3119" w:type="dxa"/>
          </w:tcPr>
          <w:p w14:paraId="4F02066C" w14:textId="173A9134" w:rsidR="006E6692" w:rsidRPr="0041156C" w:rsidRDefault="006E6692" w:rsidP="00AB450C">
            <w:pPr>
              <w:pStyle w:val="BodyText1"/>
              <w:spacing w:after="0"/>
            </w:pPr>
            <w:r>
              <w:t>Terms and Conditions</w:t>
            </w:r>
          </w:p>
        </w:tc>
        <w:tc>
          <w:tcPr>
            <w:tcW w:w="6519" w:type="dxa"/>
          </w:tcPr>
          <w:p w14:paraId="1BBD313B" w14:textId="612C1BF5" w:rsidR="006E6692" w:rsidRPr="00092A59" w:rsidRDefault="00192D15" w:rsidP="00AB450C">
            <w:pPr>
              <w:pStyle w:val="BodyText1"/>
              <w:spacing w:after="0"/>
            </w:pPr>
            <w:r>
              <w:t>means the terms and conditions of contract that will govern any resultant Framework Agreement</w:t>
            </w:r>
            <w:r w:rsidR="142E1C1D">
              <w:t>.</w:t>
            </w:r>
          </w:p>
        </w:tc>
      </w:tr>
    </w:tbl>
    <w:p w14:paraId="7C939DEC" w14:textId="77777777" w:rsidR="00DF644D" w:rsidRPr="00170C6F" w:rsidRDefault="00DF644D" w:rsidP="00AB450C">
      <w:pPr>
        <w:pStyle w:val="BodyText1"/>
      </w:pPr>
    </w:p>
    <w:p w14:paraId="395A55C1" w14:textId="77777777" w:rsidR="00945728" w:rsidRDefault="00945728" w:rsidP="00BE665B">
      <w:pPr>
        <w:tabs>
          <w:tab w:val="left" w:pos="2751"/>
        </w:tabs>
        <w:ind w:left="57"/>
        <w:rPr>
          <w:color w:val="000000"/>
        </w:rPr>
      </w:pPr>
    </w:p>
    <w:p w14:paraId="4D727108" w14:textId="77777777" w:rsidR="00945728" w:rsidRDefault="00945728" w:rsidP="00BE665B">
      <w:pPr>
        <w:tabs>
          <w:tab w:val="left" w:pos="2751"/>
        </w:tabs>
        <w:ind w:left="57"/>
        <w:rPr>
          <w:color w:val="000000"/>
        </w:rPr>
      </w:pPr>
    </w:p>
    <w:p w14:paraId="2147DB11" w14:textId="77777777" w:rsidR="00945728" w:rsidRDefault="00945728" w:rsidP="00BE665B">
      <w:pPr>
        <w:tabs>
          <w:tab w:val="left" w:pos="2751"/>
        </w:tabs>
        <w:ind w:left="57"/>
        <w:rPr>
          <w:color w:val="000000"/>
        </w:rPr>
      </w:pPr>
    </w:p>
    <w:p w14:paraId="4B119591" w14:textId="77777777" w:rsidR="00945728" w:rsidRDefault="00945728" w:rsidP="00BE665B">
      <w:pPr>
        <w:tabs>
          <w:tab w:val="left" w:pos="2751"/>
        </w:tabs>
        <w:ind w:left="57"/>
        <w:rPr>
          <w:color w:val="000000"/>
        </w:rPr>
      </w:pPr>
    </w:p>
    <w:p w14:paraId="2E7D45E1" w14:textId="77777777" w:rsidR="00945728" w:rsidRDefault="00945728" w:rsidP="00BE665B">
      <w:pPr>
        <w:tabs>
          <w:tab w:val="left" w:pos="2751"/>
        </w:tabs>
        <w:ind w:left="57"/>
        <w:rPr>
          <w:color w:val="000000"/>
        </w:rPr>
      </w:pPr>
    </w:p>
    <w:p w14:paraId="580E8568" w14:textId="77777777" w:rsidR="00945728" w:rsidRDefault="00945728" w:rsidP="00BE665B">
      <w:pPr>
        <w:tabs>
          <w:tab w:val="left" w:pos="2751"/>
        </w:tabs>
        <w:ind w:left="57"/>
        <w:rPr>
          <w:color w:val="000000"/>
        </w:rPr>
      </w:pPr>
    </w:p>
    <w:p w14:paraId="467B838D" w14:textId="77777777" w:rsidR="00945728" w:rsidRDefault="00945728" w:rsidP="00BE665B">
      <w:pPr>
        <w:tabs>
          <w:tab w:val="left" w:pos="2751"/>
        </w:tabs>
        <w:ind w:left="57"/>
        <w:rPr>
          <w:color w:val="000000"/>
        </w:rPr>
      </w:pPr>
    </w:p>
    <w:p w14:paraId="44744BD5" w14:textId="77777777" w:rsidR="00945728" w:rsidRDefault="00945728" w:rsidP="00BE665B">
      <w:pPr>
        <w:tabs>
          <w:tab w:val="left" w:pos="2751"/>
        </w:tabs>
        <w:ind w:left="57"/>
        <w:rPr>
          <w:color w:val="000000"/>
        </w:rPr>
      </w:pPr>
    </w:p>
    <w:p w14:paraId="2CDD85B1" w14:textId="77777777" w:rsidR="00945728" w:rsidRDefault="00945728" w:rsidP="00BE665B">
      <w:pPr>
        <w:tabs>
          <w:tab w:val="left" w:pos="2751"/>
        </w:tabs>
        <w:ind w:left="57"/>
        <w:rPr>
          <w:color w:val="000000"/>
        </w:rPr>
      </w:pPr>
    </w:p>
    <w:p w14:paraId="509C054D" w14:textId="77777777" w:rsidR="00945728" w:rsidRDefault="00945728" w:rsidP="00BE665B">
      <w:pPr>
        <w:tabs>
          <w:tab w:val="left" w:pos="2751"/>
        </w:tabs>
        <w:ind w:left="57"/>
        <w:rPr>
          <w:color w:val="000000"/>
        </w:rPr>
      </w:pPr>
    </w:p>
    <w:p w14:paraId="48830EDF" w14:textId="77777777" w:rsidR="00945728" w:rsidRDefault="00945728" w:rsidP="00BE665B">
      <w:pPr>
        <w:tabs>
          <w:tab w:val="left" w:pos="2751"/>
        </w:tabs>
        <w:ind w:left="57"/>
        <w:rPr>
          <w:color w:val="000000"/>
        </w:rPr>
      </w:pPr>
    </w:p>
    <w:p w14:paraId="79C94074" w14:textId="77777777" w:rsidR="00945728" w:rsidRDefault="00945728" w:rsidP="00BE665B">
      <w:pPr>
        <w:tabs>
          <w:tab w:val="left" w:pos="2751"/>
        </w:tabs>
        <w:ind w:left="57"/>
        <w:rPr>
          <w:color w:val="000000"/>
        </w:rPr>
      </w:pPr>
    </w:p>
    <w:p w14:paraId="68A2B65B" w14:textId="77777777" w:rsidR="00945728" w:rsidRDefault="00945728" w:rsidP="00BE665B">
      <w:pPr>
        <w:tabs>
          <w:tab w:val="left" w:pos="2751"/>
        </w:tabs>
        <w:ind w:left="57"/>
        <w:rPr>
          <w:color w:val="000000"/>
        </w:rPr>
      </w:pPr>
    </w:p>
    <w:p w14:paraId="760D0770" w14:textId="77777777" w:rsidR="00945728" w:rsidRDefault="00945728" w:rsidP="00BE665B">
      <w:pPr>
        <w:tabs>
          <w:tab w:val="left" w:pos="2751"/>
        </w:tabs>
        <w:ind w:left="57"/>
        <w:rPr>
          <w:color w:val="000000"/>
        </w:rPr>
      </w:pPr>
    </w:p>
    <w:p w14:paraId="4E5FF445" w14:textId="77777777" w:rsidR="00945728" w:rsidRDefault="00945728" w:rsidP="003F15E2">
      <w:pPr>
        <w:tabs>
          <w:tab w:val="left" w:pos="2751"/>
        </w:tabs>
        <w:rPr>
          <w:color w:val="000000"/>
        </w:rPr>
      </w:pPr>
    </w:p>
    <w:p w14:paraId="31223B64" w14:textId="7B25E753" w:rsidR="00BF6F24" w:rsidRDefault="00BF6F24" w:rsidP="00BF6F24">
      <w:pPr>
        <w:pStyle w:val="Heading1"/>
        <w:numPr>
          <w:ilvl w:val="0"/>
          <w:numId w:val="0"/>
        </w:numPr>
      </w:pPr>
      <w:bookmarkStart w:id="29" w:name="_Toc211930156"/>
      <w:r>
        <w:t xml:space="preserve">Appendix F: </w:t>
      </w:r>
      <w:r w:rsidR="007E4675">
        <w:t>PME RFI</w:t>
      </w:r>
      <w:bookmarkEnd w:id="29"/>
    </w:p>
    <w:p w14:paraId="0ADE67A6" w14:textId="3CD09083" w:rsidR="003F15E2" w:rsidRPr="003F15E2" w:rsidRDefault="00E02B85" w:rsidP="003F15E2">
      <w:r>
        <w:t>See attached document ref: ‘</w:t>
      </w:r>
      <w:r w:rsidRPr="00E02B85">
        <w:t>20251020-UKEF0641_GALP</w:t>
      </w:r>
      <w:r w:rsidR="004D5B3B">
        <w:t>_</w:t>
      </w:r>
      <w:r w:rsidR="0063233D">
        <w:t>ITP</w:t>
      </w:r>
      <w:r w:rsidRPr="00E02B85">
        <w:t>_Appendix_F_PME_RFI</w:t>
      </w:r>
      <w:r>
        <w:t>’</w:t>
      </w:r>
    </w:p>
    <w:p w14:paraId="638438AA" w14:textId="77777777" w:rsidR="00CB16FD" w:rsidRPr="00CB16FD" w:rsidRDefault="00CB16FD" w:rsidP="00CB16FD"/>
    <w:p w14:paraId="02D11052" w14:textId="77777777" w:rsidR="00552166" w:rsidRPr="00552166" w:rsidRDefault="00552166" w:rsidP="00552166"/>
    <w:p w14:paraId="7B83153C" w14:textId="77777777" w:rsidR="006F6D67" w:rsidRPr="006F6D67" w:rsidRDefault="006F6D67" w:rsidP="006F6D67"/>
    <w:p w14:paraId="0AEA2FCF" w14:textId="77777777" w:rsidR="002A3F54" w:rsidRDefault="002A3F54" w:rsidP="00BE665B">
      <w:pPr>
        <w:tabs>
          <w:tab w:val="left" w:pos="2751"/>
        </w:tabs>
        <w:ind w:left="57"/>
      </w:pPr>
    </w:p>
    <w:p w14:paraId="7DCB15F3" w14:textId="77777777" w:rsidR="002A3F54" w:rsidRDefault="002A3F54" w:rsidP="00BE665B">
      <w:pPr>
        <w:tabs>
          <w:tab w:val="left" w:pos="2751"/>
        </w:tabs>
        <w:ind w:left="57"/>
      </w:pPr>
    </w:p>
    <w:p w14:paraId="306717FC" w14:textId="77777777" w:rsidR="002A3F54" w:rsidRDefault="002A3F54" w:rsidP="00BE665B">
      <w:pPr>
        <w:tabs>
          <w:tab w:val="left" w:pos="2751"/>
        </w:tabs>
        <w:ind w:left="57"/>
      </w:pPr>
    </w:p>
    <w:p w14:paraId="44F5486E" w14:textId="77777777" w:rsidR="002A3F54" w:rsidRDefault="002A3F54" w:rsidP="00BE665B">
      <w:pPr>
        <w:tabs>
          <w:tab w:val="left" w:pos="2751"/>
        </w:tabs>
        <w:ind w:left="57"/>
      </w:pPr>
    </w:p>
    <w:p w14:paraId="43E3DF7D" w14:textId="77777777" w:rsidR="002A3F54" w:rsidRDefault="002A3F54" w:rsidP="00BE665B">
      <w:pPr>
        <w:tabs>
          <w:tab w:val="left" w:pos="2751"/>
        </w:tabs>
        <w:ind w:left="57"/>
      </w:pPr>
    </w:p>
    <w:p w14:paraId="0E46776E" w14:textId="77777777" w:rsidR="002A3F54" w:rsidRDefault="002A3F54" w:rsidP="00BE665B">
      <w:pPr>
        <w:tabs>
          <w:tab w:val="left" w:pos="2751"/>
        </w:tabs>
        <w:ind w:left="57"/>
      </w:pPr>
    </w:p>
    <w:p w14:paraId="4C08B192" w14:textId="77777777" w:rsidR="002A3F54" w:rsidRDefault="002A3F54" w:rsidP="00BE665B">
      <w:pPr>
        <w:tabs>
          <w:tab w:val="left" w:pos="2751"/>
        </w:tabs>
        <w:ind w:left="57"/>
      </w:pPr>
    </w:p>
    <w:p w14:paraId="48A36E89" w14:textId="77777777" w:rsidR="002A3F54" w:rsidRDefault="002A3F54" w:rsidP="00BE665B">
      <w:pPr>
        <w:tabs>
          <w:tab w:val="left" w:pos="2751"/>
        </w:tabs>
        <w:ind w:left="57"/>
      </w:pPr>
    </w:p>
    <w:p w14:paraId="2B65E20A" w14:textId="77777777" w:rsidR="002A3F54" w:rsidRDefault="002A3F54" w:rsidP="00BE665B">
      <w:pPr>
        <w:tabs>
          <w:tab w:val="left" w:pos="2751"/>
        </w:tabs>
        <w:ind w:left="57"/>
      </w:pPr>
    </w:p>
    <w:p w14:paraId="74A6B134" w14:textId="77777777" w:rsidR="002A3F54" w:rsidRDefault="002A3F54" w:rsidP="00BE665B">
      <w:pPr>
        <w:tabs>
          <w:tab w:val="left" w:pos="2751"/>
        </w:tabs>
        <w:ind w:left="57"/>
      </w:pPr>
    </w:p>
    <w:p w14:paraId="3A65CF79" w14:textId="77777777" w:rsidR="002A3F54" w:rsidRDefault="002A3F54" w:rsidP="00BE665B">
      <w:pPr>
        <w:tabs>
          <w:tab w:val="left" w:pos="2751"/>
        </w:tabs>
        <w:ind w:left="57"/>
      </w:pPr>
    </w:p>
    <w:p w14:paraId="00DED767" w14:textId="77777777" w:rsidR="002A3F54" w:rsidRDefault="002A3F54" w:rsidP="00BE665B">
      <w:pPr>
        <w:tabs>
          <w:tab w:val="left" w:pos="2751"/>
        </w:tabs>
        <w:ind w:left="57"/>
      </w:pPr>
    </w:p>
    <w:p w14:paraId="3BC9A706" w14:textId="77777777" w:rsidR="002A3F54" w:rsidRDefault="002A3F54" w:rsidP="00BE665B">
      <w:pPr>
        <w:tabs>
          <w:tab w:val="left" w:pos="2751"/>
        </w:tabs>
        <w:ind w:left="57"/>
      </w:pPr>
    </w:p>
    <w:p w14:paraId="634B3A93" w14:textId="77777777" w:rsidR="002A3F54" w:rsidRDefault="002A3F54" w:rsidP="00BE665B">
      <w:pPr>
        <w:tabs>
          <w:tab w:val="left" w:pos="2751"/>
        </w:tabs>
        <w:ind w:left="57"/>
      </w:pPr>
    </w:p>
    <w:p w14:paraId="6C26CAE1" w14:textId="77777777" w:rsidR="002A3F54" w:rsidRDefault="002A3F54" w:rsidP="00BE665B">
      <w:pPr>
        <w:tabs>
          <w:tab w:val="left" w:pos="2751"/>
        </w:tabs>
        <w:ind w:left="57"/>
      </w:pPr>
    </w:p>
    <w:p w14:paraId="2CB95202" w14:textId="77777777" w:rsidR="002A3F54" w:rsidRDefault="002A3F54" w:rsidP="00BE665B">
      <w:pPr>
        <w:tabs>
          <w:tab w:val="left" w:pos="2751"/>
        </w:tabs>
        <w:ind w:left="57"/>
      </w:pPr>
    </w:p>
    <w:p w14:paraId="7D0C39B4" w14:textId="77777777" w:rsidR="002A3F54" w:rsidRDefault="002A3F54" w:rsidP="00BE665B">
      <w:pPr>
        <w:tabs>
          <w:tab w:val="left" w:pos="2751"/>
        </w:tabs>
        <w:ind w:left="57"/>
      </w:pPr>
    </w:p>
    <w:p w14:paraId="1FB2188E" w14:textId="77777777" w:rsidR="002A3F54" w:rsidRDefault="002A3F54" w:rsidP="00BE665B">
      <w:pPr>
        <w:tabs>
          <w:tab w:val="left" w:pos="2751"/>
        </w:tabs>
        <w:ind w:left="57"/>
      </w:pPr>
    </w:p>
    <w:p w14:paraId="4D01A743" w14:textId="77777777" w:rsidR="002A3F54" w:rsidRDefault="002A3F54" w:rsidP="00BE665B">
      <w:pPr>
        <w:tabs>
          <w:tab w:val="left" w:pos="2751"/>
        </w:tabs>
        <w:ind w:left="57"/>
      </w:pPr>
    </w:p>
    <w:p w14:paraId="2083017F" w14:textId="77777777" w:rsidR="002A3F54" w:rsidRDefault="002A3F54" w:rsidP="00BE665B">
      <w:pPr>
        <w:tabs>
          <w:tab w:val="left" w:pos="2751"/>
        </w:tabs>
        <w:ind w:left="57"/>
      </w:pPr>
    </w:p>
    <w:p w14:paraId="2B8713DE" w14:textId="77777777" w:rsidR="002A3F54" w:rsidRDefault="002A3F54" w:rsidP="00BE665B">
      <w:pPr>
        <w:tabs>
          <w:tab w:val="left" w:pos="2751"/>
        </w:tabs>
        <w:ind w:left="57"/>
      </w:pPr>
    </w:p>
    <w:p w14:paraId="669A3BE2" w14:textId="77777777" w:rsidR="002A3F54" w:rsidRDefault="002A3F54" w:rsidP="00BE665B">
      <w:pPr>
        <w:tabs>
          <w:tab w:val="left" w:pos="2751"/>
        </w:tabs>
        <w:ind w:left="57"/>
      </w:pPr>
    </w:p>
    <w:p w14:paraId="5CEC325C" w14:textId="77777777" w:rsidR="002A3F54" w:rsidRDefault="002A3F54" w:rsidP="00BE665B">
      <w:pPr>
        <w:tabs>
          <w:tab w:val="left" w:pos="2751"/>
        </w:tabs>
        <w:ind w:left="57"/>
      </w:pPr>
    </w:p>
    <w:p w14:paraId="0C1F9758" w14:textId="77777777" w:rsidR="002A3F54" w:rsidRDefault="002A3F54" w:rsidP="00BE665B">
      <w:pPr>
        <w:tabs>
          <w:tab w:val="left" w:pos="2751"/>
        </w:tabs>
        <w:ind w:left="57"/>
      </w:pPr>
    </w:p>
    <w:p w14:paraId="4B0CF242" w14:textId="77777777" w:rsidR="002A3F54" w:rsidRDefault="002A3F54" w:rsidP="00BE665B">
      <w:pPr>
        <w:tabs>
          <w:tab w:val="left" w:pos="2751"/>
        </w:tabs>
        <w:ind w:left="57"/>
      </w:pPr>
    </w:p>
    <w:p w14:paraId="5DF47BB7" w14:textId="77777777" w:rsidR="002A3F54" w:rsidRDefault="002A3F54" w:rsidP="00BE665B">
      <w:pPr>
        <w:tabs>
          <w:tab w:val="left" w:pos="2751"/>
        </w:tabs>
        <w:ind w:left="57"/>
      </w:pPr>
    </w:p>
    <w:p w14:paraId="7DA28848" w14:textId="77777777" w:rsidR="002A3F54" w:rsidRDefault="002A3F54" w:rsidP="00BE665B">
      <w:pPr>
        <w:tabs>
          <w:tab w:val="left" w:pos="2751"/>
        </w:tabs>
        <w:ind w:left="57"/>
      </w:pPr>
    </w:p>
    <w:p w14:paraId="1712F5E9" w14:textId="77777777" w:rsidR="002A3F54" w:rsidRDefault="002A3F54" w:rsidP="00BE665B">
      <w:pPr>
        <w:tabs>
          <w:tab w:val="left" w:pos="2751"/>
        </w:tabs>
        <w:ind w:left="57"/>
      </w:pPr>
    </w:p>
    <w:p w14:paraId="776C7936" w14:textId="77777777" w:rsidR="002A3F54" w:rsidRDefault="002A3F54" w:rsidP="00BE665B">
      <w:pPr>
        <w:tabs>
          <w:tab w:val="left" w:pos="2751"/>
        </w:tabs>
        <w:ind w:left="57"/>
      </w:pPr>
    </w:p>
    <w:p w14:paraId="32A8D2A8" w14:textId="77777777" w:rsidR="002A3F54" w:rsidRDefault="002A3F54" w:rsidP="00BE665B">
      <w:pPr>
        <w:tabs>
          <w:tab w:val="left" w:pos="2751"/>
        </w:tabs>
        <w:ind w:left="57"/>
      </w:pPr>
    </w:p>
    <w:p w14:paraId="3328FBD1" w14:textId="77777777" w:rsidR="002A3F54" w:rsidRDefault="002A3F54" w:rsidP="00BE665B">
      <w:pPr>
        <w:tabs>
          <w:tab w:val="left" w:pos="2751"/>
        </w:tabs>
        <w:ind w:left="57"/>
      </w:pPr>
    </w:p>
    <w:p w14:paraId="3787603C" w14:textId="77777777" w:rsidR="002A3F54" w:rsidRDefault="002A3F54" w:rsidP="00BE665B">
      <w:pPr>
        <w:tabs>
          <w:tab w:val="left" w:pos="2751"/>
        </w:tabs>
        <w:ind w:left="57"/>
      </w:pPr>
    </w:p>
    <w:p w14:paraId="578E0366" w14:textId="77777777" w:rsidR="002A3F54" w:rsidRDefault="002A3F54" w:rsidP="00BE665B">
      <w:pPr>
        <w:tabs>
          <w:tab w:val="left" w:pos="2751"/>
        </w:tabs>
        <w:ind w:left="57"/>
      </w:pPr>
    </w:p>
    <w:p w14:paraId="77DF98B1" w14:textId="77777777" w:rsidR="002A3F54" w:rsidRDefault="002A3F54" w:rsidP="00BE665B">
      <w:pPr>
        <w:tabs>
          <w:tab w:val="left" w:pos="2751"/>
        </w:tabs>
        <w:ind w:left="57"/>
      </w:pPr>
    </w:p>
    <w:p w14:paraId="70BBA5E2" w14:textId="77777777" w:rsidR="002A3F54" w:rsidRDefault="002A3F54" w:rsidP="00BE665B">
      <w:pPr>
        <w:tabs>
          <w:tab w:val="left" w:pos="2751"/>
        </w:tabs>
        <w:ind w:left="57"/>
      </w:pPr>
    </w:p>
    <w:p w14:paraId="14D470B5" w14:textId="77777777" w:rsidR="002A3F54" w:rsidRDefault="002A3F54" w:rsidP="00BE665B">
      <w:pPr>
        <w:tabs>
          <w:tab w:val="left" w:pos="2751"/>
        </w:tabs>
        <w:ind w:left="57"/>
      </w:pPr>
    </w:p>
    <w:p w14:paraId="24B150B8" w14:textId="77777777" w:rsidR="002A3F54" w:rsidRDefault="002A3F54" w:rsidP="00BE665B">
      <w:pPr>
        <w:tabs>
          <w:tab w:val="left" w:pos="2751"/>
        </w:tabs>
        <w:ind w:left="57"/>
      </w:pPr>
    </w:p>
    <w:p w14:paraId="5B942BE1" w14:textId="77777777" w:rsidR="002A3F54" w:rsidRDefault="002A3F54" w:rsidP="00BE665B">
      <w:pPr>
        <w:tabs>
          <w:tab w:val="left" w:pos="2751"/>
        </w:tabs>
        <w:ind w:left="57"/>
      </w:pPr>
    </w:p>
    <w:p w14:paraId="48BBE07E" w14:textId="77777777" w:rsidR="002A3F54" w:rsidRDefault="002A3F54" w:rsidP="00BE665B">
      <w:pPr>
        <w:tabs>
          <w:tab w:val="left" w:pos="2751"/>
        </w:tabs>
        <w:ind w:left="57"/>
      </w:pPr>
    </w:p>
    <w:p w14:paraId="1B478819" w14:textId="77777777" w:rsidR="002A3F54" w:rsidRDefault="002A3F54" w:rsidP="00BE665B">
      <w:pPr>
        <w:tabs>
          <w:tab w:val="left" w:pos="2751"/>
        </w:tabs>
        <w:ind w:left="57"/>
      </w:pPr>
    </w:p>
    <w:p w14:paraId="15627D10" w14:textId="77777777" w:rsidR="002A3F54" w:rsidRDefault="002A3F54" w:rsidP="00BE665B">
      <w:pPr>
        <w:tabs>
          <w:tab w:val="left" w:pos="2751"/>
        </w:tabs>
        <w:ind w:left="57"/>
      </w:pPr>
    </w:p>
    <w:p w14:paraId="706008A1" w14:textId="77777777" w:rsidR="002A3F54" w:rsidRDefault="002A3F54" w:rsidP="00BE665B">
      <w:pPr>
        <w:tabs>
          <w:tab w:val="left" w:pos="2751"/>
        </w:tabs>
        <w:ind w:left="57"/>
      </w:pPr>
    </w:p>
    <w:p w14:paraId="3E5CAE5B" w14:textId="4DB22767" w:rsidR="007E4675" w:rsidRDefault="007E4675" w:rsidP="007E4675">
      <w:pPr>
        <w:pStyle w:val="Heading1"/>
        <w:numPr>
          <w:ilvl w:val="0"/>
          <w:numId w:val="0"/>
        </w:numPr>
      </w:pPr>
      <w:bookmarkStart w:id="30" w:name="_Toc211930157"/>
      <w:r>
        <w:t>Appendix G: PME RFI Clarification Questions and Authority responses</w:t>
      </w:r>
      <w:bookmarkEnd w:id="30"/>
      <w:r>
        <w:t xml:space="preserve"> </w:t>
      </w:r>
    </w:p>
    <w:p w14:paraId="06AFD5C4" w14:textId="7EE6225F" w:rsidR="00B87D49" w:rsidRPr="00B87D49" w:rsidRDefault="00B87D49" w:rsidP="00B87D49">
      <w:r>
        <w:t>See attached document ref: ‘</w:t>
      </w:r>
      <w:r w:rsidRPr="00B87D49">
        <w:t>20251020-UKEF_0641_GALP_</w:t>
      </w:r>
      <w:r w:rsidR="0063233D">
        <w:t>ITP_</w:t>
      </w:r>
      <w:r w:rsidRPr="00B87D49">
        <w:t>Appendix_G_PME_RFI_Clarification_Questions_and_Authority_responses</w:t>
      </w:r>
      <w:r>
        <w:t>’</w:t>
      </w:r>
    </w:p>
    <w:p w14:paraId="0191B1A5" w14:textId="77777777" w:rsidR="002A3F54" w:rsidRDefault="002A3F54" w:rsidP="002A3F54">
      <w:pPr>
        <w:tabs>
          <w:tab w:val="left" w:pos="2751"/>
        </w:tabs>
      </w:pPr>
    </w:p>
    <w:p w14:paraId="668F6203" w14:textId="66BEDF25" w:rsidR="007E4675" w:rsidRDefault="007E4675" w:rsidP="002A3F54">
      <w:pPr>
        <w:pStyle w:val="Heading1"/>
        <w:numPr>
          <w:ilvl w:val="0"/>
          <w:numId w:val="0"/>
        </w:numPr>
      </w:pPr>
      <w:bookmarkStart w:id="31" w:name="_Toc211930158"/>
      <w:r>
        <w:t>Appendix H: PME RFI Authority Update</w:t>
      </w:r>
      <w:bookmarkEnd w:id="31"/>
    </w:p>
    <w:p w14:paraId="22EAA7D9" w14:textId="32574AC6" w:rsidR="009A5196" w:rsidRPr="009A5196" w:rsidRDefault="009A5196" w:rsidP="009A5196">
      <w:r>
        <w:t>See attached document ref: ‘20251020-UKEF_0641_GALP_</w:t>
      </w:r>
      <w:r w:rsidR="0063233D">
        <w:t>ITP_</w:t>
      </w:r>
      <w:r>
        <w:t>Appendix_H_PME_RFI_Authority_Update’</w:t>
      </w:r>
    </w:p>
    <w:p w14:paraId="62EC52E9" w14:textId="303F94E4" w:rsidR="00945728" w:rsidRPr="00B24E28" w:rsidRDefault="00945728" w:rsidP="00B24E28">
      <w:pPr>
        <w:pStyle w:val="Heading1"/>
        <w:numPr>
          <w:ilvl w:val="0"/>
          <w:numId w:val="0"/>
        </w:numPr>
      </w:pPr>
      <w:bookmarkStart w:id="32" w:name="_Toc211930159"/>
      <w:r>
        <w:t>A</w:t>
      </w:r>
      <w:r w:rsidR="00992B9E">
        <w:t>ppendix</w:t>
      </w:r>
      <w:r w:rsidR="002A3F54">
        <w:t xml:space="preserve"> </w:t>
      </w:r>
      <w:r w:rsidR="00713625">
        <w:t>I</w:t>
      </w:r>
      <w:r w:rsidR="002A3F54">
        <w:t>:</w:t>
      </w:r>
      <w:r>
        <w:t xml:space="preserve"> </w:t>
      </w:r>
      <w:r w:rsidR="00576509">
        <w:t>Procurement Specific</w:t>
      </w:r>
      <w:r>
        <w:t xml:space="preserve"> Questionnaire (PSQ) Guidance Document</w:t>
      </w:r>
      <w:bookmarkEnd w:id="32"/>
    </w:p>
    <w:p w14:paraId="64B93BF1" w14:textId="6906AD12" w:rsidR="00945728" w:rsidRDefault="00945728" w:rsidP="00BE665B">
      <w:pPr>
        <w:tabs>
          <w:tab w:val="left" w:pos="2751"/>
        </w:tabs>
        <w:ind w:left="57"/>
        <w:rPr>
          <w:color w:val="000000"/>
        </w:rPr>
      </w:pPr>
      <w:r>
        <w:rPr>
          <w:color w:val="000000"/>
        </w:rPr>
        <w:t>Please see attached document</w:t>
      </w:r>
      <w:r w:rsidR="00992B9E">
        <w:rPr>
          <w:color w:val="000000"/>
        </w:rPr>
        <w:t xml:space="preserve"> ref ‘</w:t>
      </w:r>
      <w:r w:rsidR="00B24E28">
        <w:rPr>
          <w:color w:val="000000"/>
        </w:rPr>
        <w:t>20201020-UKEF_0641_GALP_</w:t>
      </w:r>
      <w:r w:rsidR="0063233D">
        <w:rPr>
          <w:color w:val="000000"/>
        </w:rPr>
        <w:t>ITP_</w:t>
      </w:r>
      <w:r w:rsidR="00B24E28">
        <w:rPr>
          <w:color w:val="000000"/>
        </w:rPr>
        <w:t>Appendix_I_PSQ_Guidance_Document’</w:t>
      </w:r>
    </w:p>
    <w:p w14:paraId="4F9CF961" w14:textId="77777777" w:rsidR="00945728" w:rsidRDefault="00945728" w:rsidP="00BE665B">
      <w:pPr>
        <w:tabs>
          <w:tab w:val="left" w:pos="2751"/>
        </w:tabs>
        <w:ind w:left="57"/>
        <w:rPr>
          <w:color w:val="000000"/>
        </w:rPr>
      </w:pPr>
    </w:p>
    <w:p w14:paraId="347B29E6" w14:textId="77777777" w:rsidR="00945728" w:rsidRDefault="00945728" w:rsidP="00BE665B">
      <w:pPr>
        <w:tabs>
          <w:tab w:val="left" w:pos="2751"/>
        </w:tabs>
        <w:ind w:left="57"/>
        <w:rPr>
          <w:color w:val="000000"/>
        </w:rPr>
      </w:pPr>
    </w:p>
    <w:p w14:paraId="3B7B44A8" w14:textId="77777777" w:rsidR="00945728" w:rsidRDefault="00945728" w:rsidP="00BE665B">
      <w:pPr>
        <w:tabs>
          <w:tab w:val="left" w:pos="2751"/>
        </w:tabs>
        <w:ind w:left="57"/>
        <w:rPr>
          <w:color w:val="000000"/>
        </w:rPr>
      </w:pPr>
    </w:p>
    <w:p w14:paraId="0B946912" w14:textId="77777777" w:rsidR="00945728" w:rsidRDefault="00945728" w:rsidP="00BE665B">
      <w:pPr>
        <w:tabs>
          <w:tab w:val="left" w:pos="2751"/>
        </w:tabs>
        <w:ind w:left="57"/>
        <w:rPr>
          <w:color w:val="000000"/>
        </w:rPr>
      </w:pPr>
    </w:p>
    <w:p w14:paraId="38454796" w14:textId="77777777" w:rsidR="00945728" w:rsidRDefault="00945728" w:rsidP="00BE665B">
      <w:pPr>
        <w:tabs>
          <w:tab w:val="left" w:pos="2751"/>
        </w:tabs>
        <w:ind w:left="57"/>
        <w:rPr>
          <w:color w:val="000000"/>
        </w:rPr>
      </w:pPr>
    </w:p>
    <w:p w14:paraId="00A183CA" w14:textId="77777777" w:rsidR="00945728" w:rsidRDefault="00945728" w:rsidP="00BE665B">
      <w:pPr>
        <w:tabs>
          <w:tab w:val="left" w:pos="2751"/>
        </w:tabs>
        <w:ind w:left="57"/>
        <w:rPr>
          <w:color w:val="000000"/>
        </w:rPr>
      </w:pPr>
    </w:p>
    <w:p w14:paraId="54E713AC" w14:textId="77777777" w:rsidR="00945728" w:rsidRDefault="00945728" w:rsidP="00BE665B">
      <w:pPr>
        <w:tabs>
          <w:tab w:val="left" w:pos="2751"/>
        </w:tabs>
        <w:ind w:left="57"/>
        <w:rPr>
          <w:color w:val="000000"/>
        </w:rPr>
      </w:pPr>
    </w:p>
    <w:p w14:paraId="229E551A" w14:textId="77777777" w:rsidR="00945728" w:rsidRDefault="00945728" w:rsidP="00BE665B">
      <w:pPr>
        <w:tabs>
          <w:tab w:val="left" w:pos="2751"/>
        </w:tabs>
        <w:ind w:left="57"/>
        <w:rPr>
          <w:color w:val="000000"/>
        </w:rPr>
      </w:pPr>
    </w:p>
    <w:p w14:paraId="69CFAB3E" w14:textId="77777777" w:rsidR="00945728" w:rsidRDefault="00945728" w:rsidP="00BE665B">
      <w:pPr>
        <w:tabs>
          <w:tab w:val="left" w:pos="2751"/>
        </w:tabs>
        <w:ind w:left="57"/>
        <w:rPr>
          <w:color w:val="000000"/>
        </w:rPr>
      </w:pPr>
    </w:p>
    <w:p w14:paraId="38B576D5" w14:textId="77777777" w:rsidR="00945728" w:rsidRDefault="00945728" w:rsidP="00BE665B">
      <w:pPr>
        <w:tabs>
          <w:tab w:val="left" w:pos="2751"/>
        </w:tabs>
        <w:ind w:left="57"/>
        <w:rPr>
          <w:color w:val="000000"/>
        </w:rPr>
      </w:pPr>
    </w:p>
    <w:p w14:paraId="2884A923" w14:textId="77777777" w:rsidR="00945728" w:rsidRDefault="00945728" w:rsidP="00BE665B">
      <w:pPr>
        <w:tabs>
          <w:tab w:val="left" w:pos="2751"/>
        </w:tabs>
        <w:ind w:left="57"/>
        <w:rPr>
          <w:color w:val="000000"/>
        </w:rPr>
      </w:pPr>
    </w:p>
    <w:p w14:paraId="76D991C6" w14:textId="77777777" w:rsidR="00945728" w:rsidRDefault="00945728" w:rsidP="00BE665B">
      <w:pPr>
        <w:tabs>
          <w:tab w:val="left" w:pos="2751"/>
        </w:tabs>
        <w:ind w:left="57"/>
        <w:rPr>
          <w:color w:val="000000"/>
        </w:rPr>
      </w:pPr>
    </w:p>
    <w:p w14:paraId="6E48071D" w14:textId="77777777" w:rsidR="00945728" w:rsidRDefault="00945728" w:rsidP="00BE665B">
      <w:pPr>
        <w:tabs>
          <w:tab w:val="left" w:pos="2751"/>
        </w:tabs>
        <w:ind w:left="57"/>
        <w:rPr>
          <w:color w:val="000000"/>
        </w:rPr>
      </w:pPr>
    </w:p>
    <w:p w14:paraId="7F448694" w14:textId="77777777" w:rsidR="00945728" w:rsidRDefault="00945728" w:rsidP="00BE665B">
      <w:pPr>
        <w:tabs>
          <w:tab w:val="left" w:pos="2751"/>
        </w:tabs>
        <w:ind w:left="57"/>
        <w:rPr>
          <w:color w:val="000000"/>
        </w:rPr>
      </w:pPr>
    </w:p>
    <w:p w14:paraId="2F4E14CD" w14:textId="77777777" w:rsidR="00945728" w:rsidRDefault="00945728" w:rsidP="00BE665B">
      <w:pPr>
        <w:tabs>
          <w:tab w:val="left" w:pos="2751"/>
        </w:tabs>
        <w:ind w:left="57"/>
        <w:rPr>
          <w:color w:val="000000"/>
        </w:rPr>
      </w:pPr>
    </w:p>
    <w:p w14:paraId="2690C4E7" w14:textId="77777777" w:rsidR="00945728" w:rsidRDefault="00945728" w:rsidP="00BE665B">
      <w:pPr>
        <w:tabs>
          <w:tab w:val="left" w:pos="2751"/>
        </w:tabs>
        <w:ind w:left="57"/>
        <w:rPr>
          <w:color w:val="000000"/>
        </w:rPr>
      </w:pPr>
    </w:p>
    <w:p w14:paraId="69D215C5" w14:textId="77777777" w:rsidR="00945728" w:rsidRDefault="00945728" w:rsidP="00BE665B">
      <w:pPr>
        <w:tabs>
          <w:tab w:val="left" w:pos="2751"/>
        </w:tabs>
        <w:ind w:left="57"/>
        <w:rPr>
          <w:color w:val="000000"/>
        </w:rPr>
      </w:pPr>
    </w:p>
    <w:p w14:paraId="20AF0931" w14:textId="77777777" w:rsidR="00945728" w:rsidRDefault="00945728" w:rsidP="00BE665B">
      <w:pPr>
        <w:tabs>
          <w:tab w:val="left" w:pos="2751"/>
        </w:tabs>
        <w:ind w:left="57"/>
        <w:rPr>
          <w:color w:val="000000"/>
        </w:rPr>
      </w:pPr>
    </w:p>
    <w:p w14:paraId="09F9CD15" w14:textId="77777777" w:rsidR="00945728" w:rsidRDefault="00945728" w:rsidP="00BE665B">
      <w:pPr>
        <w:tabs>
          <w:tab w:val="left" w:pos="2751"/>
        </w:tabs>
        <w:ind w:left="57"/>
        <w:rPr>
          <w:color w:val="000000"/>
        </w:rPr>
      </w:pPr>
    </w:p>
    <w:p w14:paraId="7F699D21" w14:textId="77777777" w:rsidR="00945728" w:rsidRDefault="00945728" w:rsidP="00BE665B">
      <w:pPr>
        <w:tabs>
          <w:tab w:val="left" w:pos="2751"/>
        </w:tabs>
        <w:ind w:left="57"/>
        <w:rPr>
          <w:color w:val="000000"/>
        </w:rPr>
      </w:pPr>
    </w:p>
    <w:p w14:paraId="429EFE6D" w14:textId="77777777" w:rsidR="00945728" w:rsidRDefault="00945728" w:rsidP="00BE665B">
      <w:pPr>
        <w:tabs>
          <w:tab w:val="left" w:pos="2751"/>
        </w:tabs>
        <w:ind w:left="57"/>
        <w:rPr>
          <w:color w:val="000000"/>
        </w:rPr>
      </w:pPr>
    </w:p>
    <w:p w14:paraId="79021E67" w14:textId="77777777" w:rsidR="00945728" w:rsidRDefault="00945728" w:rsidP="00BE665B">
      <w:pPr>
        <w:tabs>
          <w:tab w:val="left" w:pos="2751"/>
        </w:tabs>
        <w:ind w:left="57"/>
        <w:rPr>
          <w:color w:val="000000"/>
        </w:rPr>
      </w:pPr>
    </w:p>
    <w:p w14:paraId="22551FFD" w14:textId="77777777" w:rsidR="00945728" w:rsidRDefault="00945728" w:rsidP="00BE665B">
      <w:pPr>
        <w:tabs>
          <w:tab w:val="left" w:pos="2751"/>
        </w:tabs>
        <w:ind w:left="57"/>
        <w:rPr>
          <w:color w:val="000000"/>
        </w:rPr>
      </w:pPr>
    </w:p>
    <w:p w14:paraId="7289EDD3" w14:textId="77777777" w:rsidR="00945728" w:rsidRDefault="00945728" w:rsidP="00BE665B">
      <w:pPr>
        <w:tabs>
          <w:tab w:val="left" w:pos="2751"/>
        </w:tabs>
        <w:ind w:left="57"/>
        <w:rPr>
          <w:color w:val="000000"/>
        </w:rPr>
      </w:pPr>
    </w:p>
    <w:p w14:paraId="2EF0002C" w14:textId="77777777" w:rsidR="00945728" w:rsidRDefault="00945728" w:rsidP="00BE665B">
      <w:pPr>
        <w:tabs>
          <w:tab w:val="left" w:pos="2751"/>
        </w:tabs>
        <w:ind w:left="57"/>
        <w:rPr>
          <w:color w:val="000000"/>
        </w:rPr>
      </w:pPr>
    </w:p>
    <w:p w14:paraId="5C2537D6" w14:textId="77777777" w:rsidR="00945728" w:rsidRDefault="00945728" w:rsidP="00BE665B">
      <w:pPr>
        <w:tabs>
          <w:tab w:val="left" w:pos="2751"/>
        </w:tabs>
        <w:ind w:left="57"/>
        <w:rPr>
          <w:color w:val="000000"/>
        </w:rPr>
      </w:pPr>
    </w:p>
    <w:p w14:paraId="01381329" w14:textId="77777777" w:rsidR="00945728" w:rsidRDefault="00945728" w:rsidP="00BE665B">
      <w:pPr>
        <w:tabs>
          <w:tab w:val="left" w:pos="2751"/>
        </w:tabs>
        <w:ind w:left="57"/>
        <w:rPr>
          <w:color w:val="000000"/>
        </w:rPr>
      </w:pPr>
    </w:p>
    <w:p w14:paraId="41E9B587" w14:textId="77777777" w:rsidR="00945728" w:rsidRDefault="00945728" w:rsidP="00BE665B">
      <w:pPr>
        <w:tabs>
          <w:tab w:val="left" w:pos="2751"/>
        </w:tabs>
        <w:ind w:left="57"/>
        <w:rPr>
          <w:color w:val="000000"/>
        </w:rPr>
      </w:pPr>
    </w:p>
    <w:p w14:paraId="3242F3B1" w14:textId="77777777" w:rsidR="00945728" w:rsidRDefault="00945728" w:rsidP="00BE665B">
      <w:pPr>
        <w:tabs>
          <w:tab w:val="left" w:pos="2751"/>
        </w:tabs>
        <w:ind w:left="57"/>
        <w:rPr>
          <w:color w:val="000000"/>
        </w:rPr>
      </w:pPr>
    </w:p>
    <w:p w14:paraId="018C6245" w14:textId="77777777" w:rsidR="00945728" w:rsidRDefault="00945728" w:rsidP="00BE665B">
      <w:pPr>
        <w:tabs>
          <w:tab w:val="left" w:pos="2751"/>
        </w:tabs>
        <w:ind w:left="57"/>
        <w:rPr>
          <w:color w:val="000000"/>
        </w:rPr>
      </w:pPr>
    </w:p>
    <w:p w14:paraId="59F65E7E" w14:textId="77777777" w:rsidR="00945728" w:rsidRDefault="00945728" w:rsidP="00BE665B">
      <w:pPr>
        <w:tabs>
          <w:tab w:val="left" w:pos="2751"/>
        </w:tabs>
        <w:ind w:left="57"/>
        <w:rPr>
          <w:color w:val="000000"/>
        </w:rPr>
      </w:pPr>
    </w:p>
    <w:p w14:paraId="54FC3AE4" w14:textId="77777777" w:rsidR="00945728" w:rsidRDefault="00945728" w:rsidP="00BE665B">
      <w:pPr>
        <w:tabs>
          <w:tab w:val="left" w:pos="2751"/>
        </w:tabs>
        <w:ind w:left="57"/>
        <w:rPr>
          <w:color w:val="000000"/>
        </w:rPr>
      </w:pPr>
    </w:p>
    <w:p w14:paraId="2BAE9B4E" w14:textId="77777777" w:rsidR="00945728" w:rsidRDefault="00945728" w:rsidP="00BE665B">
      <w:pPr>
        <w:tabs>
          <w:tab w:val="left" w:pos="2751"/>
        </w:tabs>
        <w:ind w:left="57"/>
        <w:rPr>
          <w:color w:val="000000"/>
        </w:rPr>
      </w:pPr>
    </w:p>
    <w:p w14:paraId="6E6B42C3" w14:textId="77777777" w:rsidR="00945728" w:rsidRDefault="00945728" w:rsidP="00BE665B">
      <w:pPr>
        <w:tabs>
          <w:tab w:val="left" w:pos="2751"/>
        </w:tabs>
        <w:ind w:left="57"/>
        <w:rPr>
          <w:color w:val="000000"/>
        </w:rPr>
      </w:pPr>
    </w:p>
    <w:p w14:paraId="5C0B92EB" w14:textId="77777777" w:rsidR="00945728" w:rsidRDefault="00945728" w:rsidP="00BE665B">
      <w:pPr>
        <w:tabs>
          <w:tab w:val="left" w:pos="2751"/>
        </w:tabs>
        <w:ind w:left="57"/>
        <w:rPr>
          <w:color w:val="000000"/>
        </w:rPr>
      </w:pPr>
    </w:p>
    <w:p w14:paraId="5B865D13" w14:textId="77777777" w:rsidR="00945728" w:rsidRDefault="00945728" w:rsidP="00BE665B">
      <w:pPr>
        <w:tabs>
          <w:tab w:val="left" w:pos="2751"/>
        </w:tabs>
        <w:ind w:left="57"/>
        <w:rPr>
          <w:color w:val="000000"/>
        </w:rPr>
      </w:pPr>
    </w:p>
    <w:p w14:paraId="363A5C27" w14:textId="77777777" w:rsidR="00945728" w:rsidRDefault="00945728" w:rsidP="00BE665B">
      <w:pPr>
        <w:tabs>
          <w:tab w:val="left" w:pos="2751"/>
        </w:tabs>
        <w:ind w:left="57"/>
        <w:rPr>
          <w:color w:val="000000"/>
        </w:rPr>
      </w:pPr>
    </w:p>
    <w:p w14:paraId="052D2276" w14:textId="77777777" w:rsidR="00945728" w:rsidRDefault="00945728" w:rsidP="00BE665B">
      <w:pPr>
        <w:tabs>
          <w:tab w:val="left" w:pos="2751"/>
        </w:tabs>
        <w:ind w:left="57"/>
        <w:rPr>
          <w:color w:val="000000"/>
        </w:rPr>
      </w:pPr>
    </w:p>
    <w:p w14:paraId="2D0CA666" w14:textId="77777777" w:rsidR="00945728" w:rsidRDefault="00945728" w:rsidP="0047301D">
      <w:pPr>
        <w:tabs>
          <w:tab w:val="left" w:pos="2751"/>
        </w:tabs>
        <w:rPr>
          <w:color w:val="000000"/>
        </w:rPr>
      </w:pPr>
    </w:p>
    <w:p w14:paraId="36B11CC7" w14:textId="21432093" w:rsidR="00945728" w:rsidRDefault="002A3F54" w:rsidP="002A3F54">
      <w:pPr>
        <w:pStyle w:val="Heading1"/>
        <w:numPr>
          <w:ilvl w:val="0"/>
          <w:numId w:val="0"/>
        </w:numPr>
      </w:pPr>
      <w:bookmarkStart w:id="33" w:name="_Toc211930160"/>
      <w:r>
        <w:t>A</w:t>
      </w:r>
      <w:r w:rsidR="0047301D">
        <w:t>ppendix</w:t>
      </w:r>
      <w:r>
        <w:t xml:space="preserve"> </w:t>
      </w:r>
      <w:r w:rsidR="0047301D">
        <w:t>J</w:t>
      </w:r>
      <w:r>
        <w:t xml:space="preserve">: </w:t>
      </w:r>
      <w:r w:rsidR="00945728">
        <w:t>P</w:t>
      </w:r>
      <w:r w:rsidR="009B0959">
        <w:t>SQ</w:t>
      </w:r>
      <w:r w:rsidR="7082DB58">
        <w:t xml:space="preserve"> Supplier</w:t>
      </w:r>
      <w:r w:rsidR="009B0959">
        <w:t xml:space="preserve"> Response Document</w:t>
      </w:r>
      <w:bookmarkEnd w:id="33"/>
      <w:r w:rsidR="6319EFA4">
        <w:t xml:space="preserve"> </w:t>
      </w:r>
    </w:p>
    <w:p w14:paraId="074EE7E5" w14:textId="110947B4" w:rsidR="00945728" w:rsidRDefault="0620C9D1" w:rsidP="60FBA861">
      <w:r>
        <w:t>Please see attached document ref ‘20251020-UKEF_0641_GALP</w:t>
      </w:r>
      <w:r w:rsidR="0063233D">
        <w:t>_ITP</w:t>
      </w:r>
      <w:r>
        <w:t>_Appendix_J_PSQ_Supplier_response_document’</w:t>
      </w:r>
    </w:p>
    <w:sectPr w:rsidR="00945728" w:rsidSect="001C5F1D">
      <w:headerReference w:type="default" r:id="rId20"/>
      <w:footerReference w:type="default" r:id="rId21"/>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7C00" w14:textId="77777777" w:rsidR="00D86AB5" w:rsidRDefault="00D86AB5">
      <w:r>
        <w:separator/>
      </w:r>
    </w:p>
  </w:endnote>
  <w:endnote w:type="continuationSeparator" w:id="0">
    <w:p w14:paraId="4202DA64" w14:textId="77777777" w:rsidR="00D86AB5" w:rsidRDefault="00D86AB5">
      <w:r>
        <w:continuationSeparator/>
      </w:r>
    </w:p>
  </w:endnote>
  <w:endnote w:type="continuationNotice" w:id="1">
    <w:p w14:paraId="2937A169" w14:textId="77777777" w:rsidR="00D86AB5" w:rsidRDefault="00D86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77777777" w:rsidR="002F0AA3" w:rsidRDefault="002F0AA3"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24A476E0" w14:textId="1DFF6D1C" w:rsidR="00434DCD" w:rsidRDefault="001D41D0" w:rsidP="001D41D0">
    <w:pPr>
      <w:pStyle w:val="Header"/>
      <w:jc w:val="center"/>
      <w:rPr>
        <w:color w:val="000000"/>
        <w:sz w:val="20"/>
        <w:szCs w:val="20"/>
      </w:rPr>
    </w:pPr>
    <w:r w:rsidRPr="001D41D0">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A21B" w14:textId="546CA5AB" w:rsidR="002F0AA3" w:rsidRPr="00296B53" w:rsidRDefault="002F0AA3" w:rsidP="002F0AA3">
    <w:pPr>
      <w:tabs>
        <w:tab w:val="center" w:pos="4820"/>
      </w:tabs>
      <w:spacing w:after="120" w:line="192" w:lineRule="auto"/>
      <w:rPr>
        <w:color w:val="000000"/>
      </w:rPr>
    </w:pPr>
    <w:r>
      <w:rPr>
        <w:color w:val="000000"/>
        <w:sz w:val="10"/>
        <w:szCs w:val="10"/>
      </w:rPr>
      <w:tab/>
    </w:r>
    <w:r w:rsidRPr="00296B53">
      <w:rPr>
        <w:color w:val="000000"/>
      </w:rPr>
      <w:fldChar w:fldCharType="begin"/>
    </w:r>
    <w:r w:rsidRPr="00296B53">
      <w:rPr>
        <w:color w:val="000000"/>
      </w:rPr>
      <w:instrText>PAGE</w:instrText>
    </w:r>
    <w:r w:rsidRPr="00296B53">
      <w:rPr>
        <w:color w:val="000000"/>
      </w:rPr>
      <w:fldChar w:fldCharType="separate"/>
    </w:r>
    <w:r w:rsidRPr="00296B53">
      <w:rPr>
        <w:color w:val="000000"/>
      </w:rPr>
      <w:t>1</w:t>
    </w:r>
    <w:r w:rsidRPr="00296B53">
      <w:rPr>
        <w:color w:val="000000"/>
      </w:rPr>
      <w:fldChar w:fldCharType="end"/>
    </w:r>
  </w:p>
  <w:p w14:paraId="2C429F6E" w14:textId="18CEE67A" w:rsidR="001C5F1D" w:rsidRPr="00296B53" w:rsidRDefault="00296B53" w:rsidP="00AB3299">
    <w:pPr>
      <w:pBdr>
        <w:top w:val="nil"/>
        <w:left w:val="nil"/>
        <w:bottom w:val="nil"/>
        <w:right w:val="nil"/>
        <w:between w:val="nil"/>
      </w:pBdr>
      <w:jc w:val="center"/>
      <w:rPr>
        <w:color w:val="000000"/>
      </w:rPr>
    </w:pPr>
    <w:r w:rsidRPr="00296B53">
      <w:rPr>
        <w:color w:val="00000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03310984" w14:textId="602C244D" w:rsidR="00AB3299" w:rsidRPr="001C5F1D" w:rsidRDefault="001D41D0" w:rsidP="00AB3299">
    <w:pPr>
      <w:pStyle w:val="Header"/>
      <w:jc w:val="center"/>
    </w:pPr>
    <w:r>
      <w:t>OFFICIAL</w:t>
    </w:r>
    <w:r w:rsidR="00AC7357">
      <w:t xml:space="preser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9E2A" w14:textId="77777777" w:rsidR="00D86AB5" w:rsidRDefault="00D86AB5">
      <w:r>
        <w:separator/>
      </w:r>
    </w:p>
  </w:footnote>
  <w:footnote w:type="continuationSeparator" w:id="0">
    <w:p w14:paraId="0467408E" w14:textId="77777777" w:rsidR="00D86AB5" w:rsidRDefault="00D86AB5">
      <w:r>
        <w:continuationSeparator/>
      </w:r>
    </w:p>
  </w:footnote>
  <w:footnote w:type="continuationNotice" w:id="1">
    <w:p w14:paraId="6FB5D518" w14:textId="77777777" w:rsidR="00D86AB5" w:rsidRDefault="00D86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C8C1" w14:textId="21FA5CD7" w:rsidR="00B47953" w:rsidRDefault="004B3D02" w:rsidP="00D310F9">
    <w:pPr>
      <w:pStyle w:val="Header"/>
      <w:jc w:val="center"/>
    </w:pPr>
    <w:r>
      <w:t>OFFICIAL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D958" w14:textId="722C70D4" w:rsidR="00B47953" w:rsidRDefault="00E60608" w:rsidP="00E60608">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7777777" w:rsidR="00B47953" w:rsidRDefault="00B47953">
    <w:pPr>
      <w:pStyle w:val="Header"/>
    </w:pPr>
    <w:r>
      <w:rPr>
        <w:noProof/>
      </w:rPr>
      <w:drawing>
        <wp:inline distT="0" distB="0" distL="0" distR="0" wp14:anchorId="1A58867E" wp14:editId="512C454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0EC5BA02" w:rsidR="001C5F1D" w:rsidRDefault="003214BD" w:rsidP="001C5F1D">
    <w:pPr>
      <w:pStyle w:val="Header"/>
      <w:jc w:val="center"/>
    </w:pPr>
    <w:r>
      <w:t>OFFICIAL</w:t>
    </w:r>
  </w:p>
  <w:p w14:paraId="381F1263" w14:textId="77777777" w:rsidR="003214BD" w:rsidRDefault="003214BD" w:rsidP="001C5F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F92"/>
    <w:multiLevelType w:val="hybridMultilevel"/>
    <w:tmpl w:val="C1FE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F5ADE"/>
    <w:multiLevelType w:val="hybridMultilevel"/>
    <w:tmpl w:val="8C623470"/>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EB88F"/>
    <w:multiLevelType w:val="hybridMultilevel"/>
    <w:tmpl w:val="A204E202"/>
    <w:lvl w:ilvl="0" w:tplc="E2D4852E">
      <w:start w:val="1"/>
      <w:numFmt w:val="lowerLetter"/>
      <w:lvlText w:val="%1)"/>
      <w:lvlJc w:val="left"/>
      <w:pPr>
        <w:ind w:left="360" w:hanging="360"/>
      </w:pPr>
      <w:rPr>
        <w:b w:val="0"/>
        <w:bCs w:val="0"/>
      </w:rPr>
    </w:lvl>
    <w:lvl w:ilvl="1" w:tplc="ACA6D3B4">
      <w:start w:val="1"/>
      <w:numFmt w:val="lowerRoman"/>
      <w:lvlText w:val="%2."/>
      <w:lvlJc w:val="left"/>
      <w:pPr>
        <w:ind w:left="785" w:hanging="360"/>
      </w:pPr>
      <w:rPr>
        <w:rFonts w:hint="default"/>
        <w:b w:val="0"/>
        <w:bCs w:val="0"/>
      </w:rPr>
    </w:lvl>
    <w:lvl w:ilvl="2" w:tplc="7A20A6BA">
      <w:start w:val="1"/>
      <w:numFmt w:val="lowerLetter"/>
      <w:lvlText w:val="%3)"/>
      <w:lvlJc w:val="left"/>
      <w:pPr>
        <w:ind w:left="1494" w:hanging="360"/>
      </w:pPr>
      <w:rPr>
        <w:b w:val="0"/>
        <w:bCs w:val="0"/>
      </w:rPr>
    </w:lvl>
    <w:lvl w:ilvl="3" w:tplc="23B4F400">
      <w:start w:val="1"/>
      <w:numFmt w:val="decimal"/>
      <w:lvlText w:val="%4."/>
      <w:lvlJc w:val="left"/>
      <w:pPr>
        <w:ind w:left="1919" w:hanging="360"/>
      </w:pPr>
    </w:lvl>
    <w:lvl w:ilvl="4" w:tplc="33606B70">
      <w:start w:val="1"/>
      <w:numFmt w:val="lowerLetter"/>
      <w:lvlText w:val="%5."/>
      <w:lvlJc w:val="left"/>
      <w:pPr>
        <w:ind w:left="3240" w:hanging="360"/>
      </w:pPr>
    </w:lvl>
    <w:lvl w:ilvl="5" w:tplc="14CE6B14">
      <w:start w:val="1"/>
      <w:numFmt w:val="lowerRoman"/>
      <w:lvlText w:val="%6."/>
      <w:lvlJc w:val="right"/>
      <w:pPr>
        <w:ind w:left="3960" w:hanging="180"/>
      </w:pPr>
    </w:lvl>
    <w:lvl w:ilvl="6" w:tplc="43FC8C86">
      <w:start w:val="1"/>
      <w:numFmt w:val="decimal"/>
      <w:lvlText w:val="%7."/>
      <w:lvlJc w:val="left"/>
      <w:pPr>
        <w:ind w:left="4680" w:hanging="360"/>
      </w:pPr>
    </w:lvl>
    <w:lvl w:ilvl="7" w:tplc="6F9E6BE8">
      <w:start w:val="1"/>
      <w:numFmt w:val="lowerLetter"/>
      <w:lvlText w:val="%8."/>
      <w:lvlJc w:val="left"/>
      <w:pPr>
        <w:ind w:left="5400" w:hanging="360"/>
      </w:pPr>
    </w:lvl>
    <w:lvl w:ilvl="8" w:tplc="3F923FF4">
      <w:start w:val="1"/>
      <w:numFmt w:val="lowerRoman"/>
      <w:lvlText w:val="%9."/>
      <w:lvlJc w:val="right"/>
      <w:pPr>
        <w:ind w:left="6120" w:hanging="180"/>
      </w:pPr>
    </w:lvl>
  </w:abstractNum>
  <w:abstractNum w:abstractNumId="3" w15:restartNumberingAfterBreak="0">
    <w:nsid w:val="31FA7AF5"/>
    <w:multiLevelType w:val="hybridMultilevel"/>
    <w:tmpl w:val="DB9A306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C52AC"/>
    <w:multiLevelType w:val="hybridMultilevel"/>
    <w:tmpl w:val="A7BA3FA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50131F4F"/>
    <w:multiLevelType w:val="hybridMultilevel"/>
    <w:tmpl w:val="2FD6A482"/>
    <w:lvl w:ilvl="0" w:tplc="E2380742">
      <w:start w:val="1"/>
      <w:numFmt w:val="decimal"/>
      <w:lvlText w:val="%1."/>
      <w:lvlJc w:val="left"/>
      <w:pPr>
        <w:ind w:left="501"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482506">
    <w:abstractNumId w:val="6"/>
  </w:num>
  <w:num w:numId="2" w16cid:durableId="1810589863">
    <w:abstractNumId w:val="9"/>
  </w:num>
  <w:num w:numId="3" w16cid:durableId="763696029">
    <w:abstractNumId w:val="8"/>
  </w:num>
  <w:num w:numId="4" w16cid:durableId="1082066606">
    <w:abstractNumId w:val="7"/>
  </w:num>
  <w:num w:numId="5" w16cid:durableId="83917371">
    <w:abstractNumId w:val="5"/>
  </w:num>
  <w:num w:numId="6" w16cid:durableId="1282375519">
    <w:abstractNumId w:val="3"/>
  </w:num>
  <w:num w:numId="7" w16cid:durableId="1502350263">
    <w:abstractNumId w:val="0"/>
  </w:num>
  <w:num w:numId="8" w16cid:durableId="1396778790">
    <w:abstractNumId w:val="1"/>
  </w:num>
  <w:num w:numId="9" w16cid:durableId="1575698447">
    <w:abstractNumId w:val="4"/>
  </w:num>
  <w:num w:numId="10" w16cid:durableId="103581663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89B"/>
    <w:rsid w:val="000008BA"/>
    <w:rsid w:val="00001280"/>
    <w:rsid w:val="0000269F"/>
    <w:rsid w:val="00002963"/>
    <w:rsid w:val="00002DF4"/>
    <w:rsid w:val="00002E51"/>
    <w:rsid w:val="0000334A"/>
    <w:rsid w:val="000048F6"/>
    <w:rsid w:val="00004BF9"/>
    <w:rsid w:val="000063A3"/>
    <w:rsid w:val="000066C6"/>
    <w:rsid w:val="00007AFE"/>
    <w:rsid w:val="000134EB"/>
    <w:rsid w:val="00014CDC"/>
    <w:rsid w:val="00014EA5"/>
    <w:rsid w:val="00014EF3"/>
    <w:rsid w:val="00015DA7"/>
    <w:rsid w:val="0001684B"/>
    <w:rsid w:val="0002266B"/>
    <w:rsid w:val="000250AC"/>
    <w:rsid w:val="00027F6E"/>
    <w:rsid w:val="00033349"/>
    <w:rsid w:val="00033883"/>
    <w:rsid w:val="000341D3"/>
    <w:rsid w:val="00034ACA"/>
    <w:rsid w:val="00037312"/>
    <w:rsid w:val="00037EBA"/>
    <w:rsid w:val="00041D6A"/>
    <w:rsid w:val="00043E35"/>
    <w:rsid w:val="00052814"/>
    <w:rsid w:val="00053C37"/>
    <w:rsid w:val="000543EB"/>
    <w:rsid w:val="00054510"/>
    <w:rsid w:val="00057E7C"/>
    <w:rsid w:val="000633EA"/>
    <w:rsid w:val="000653B6"/>
    <w:rsid w:val="00066425"/>
    <w:rsid w:val="00066629"/>
    <w:rsid w:val="000702F8"/>
    <w:rsid w:val="0007118F"/>
    <w:rsid w:val="00071E38"/>
    <w:rsid w:val="00074354"/>
    <w:rsid w:val="00074A8E"/>
    <w:rsid w:val="000756E9"/>
    <w:rsid w:val="0007780E"/>
    <w:rsid w:val="00077D46"/>
    <w:rsid w:val="000804D5"/>
    <w:rsid w:val="0008069C"/>
    <w:rsid w:val="00081BA5"/>
    <w:rsid w:val="0008233A"/>
    <w:rsid w:val="00082BDE"/>
    <w:rsid w:val="00086AFD"/>
    <w:rsid w:val="00086B14"/>
    <w:rsid w:val="00087DDB"/>
    <w:rsid w:val="00090D35"/>
    <w:rsid w:val="00091B9B"/>
    <w:rsid w:val="00092A59"/>
    <w:rsid w:val="00092C5C"/>
    <w:rsid w:val="00095582"/>
    <w:rsid w:val="00095E99"/>
    <w:rsid w:val="00096B0D"/>
    <w:rsid w:val="0009744F"/>
    <w:rsid w:val="000A0C55"/>
    <w:rsid w:val="000A15A5"/>
    <w:rsid w:val="000A257E"/>
    <w:rsid w:val="000A35AB"/>
    <w:rsid w:val="000A55A1"/>
    <w:rsid w:val="000A6797"/>
    <w:rsid w:val="000B060E"/>
    <w:rsid w:val="000B50F9"/>
    <w:rsid w:val="000B50FB"/>
    <w:rsid w:val="000B6483"/>
    <w:rsid w:val="000B789C"/>
    <w:rsid w:val="000B7B7E"/>
    <w:rsid w:val="000C0FC6"/>
    <w:rsid w:val="000C29C0"/>
    <w:rsid w:val="000C48B0"/>
    <w:rsid w:val="000C524C"/>
    <w:rsid w:val="000C53E6"/>
    <w:rsid w:val="000C6CB6"/>
    <w:rsid w:val="000C7052"/>
    <w:rsid w:val="000D0015"/>
    <w:rsid w:val="000D2562"/>
    <w:rsid w:val="000D47B1"/>
    <w:rsid w:val="000D4C16"/>
    <w:rsid w:val="000D4DEF"/>
    <w:rsid w:val="000D568F"/>
    <w:rsid w:val="000D62EF"/>
    <w:rsid w:val="000D648B"/>
    <w:rsid w:val="000D7D04"/>
    <w:rsid w:val="000E4360"/>
    <w:rsid w:val="000E4A11"/>
    <w:rsid w:val="000E5D93"/>
    <w:rsid w:val="000E66ED"/>
    <w:rsid w:val="000F0005"/>
    <w:rsid w:val="000F0E9B"/>
    <w:rsid w:val="000F2971"/>
    <w:rsid w:val="000F2BA1"/>
    <w:rsid w:val="000F77EA"/>
    <w:rsid w:val="001047E9"/>
    <w:rsid w:val="00104A20"/>
    <w:rsid w:val="001065E2"/>
    <w:rsid w:val="00114581"/>
    <w:rsid w:val="00114CB1"/>
    <w:rsid w:val="001151C6"/>
    <w:rsid w:val="001163E2"/>
    <w:rsid w:val="00116EB1"/>
    <w:rsid w:val="00116ED1"/>
    <w:rsid w:val="00116F9F"/>
    <w:rsid w:val="00117BDC"/>
    <w:rsid w:val="00117E2C"/>
    <w:rsid w:val="0012652D"/>
    <w:rsid w:val="00126F29"/>
    <w:rsid w:val="001331C3"/>
    <w:rsid w:val="00135507"/>
    <w:rsid w:val="00136057"/>
    <w:rsid w:val="00140C1B"/>
    <w:rsid w:val="00140CE3"/>
    <w:rsid w:val="00142FE5"/>
    <w:rsid w:val="00143125"/>
    <w:rsid w:val="001434A2"/>
    <w:rsid w:val="00144A55"/>
    <w:rsid w:val="00145010"/>
    <w:rsid w:val="00146F2C"/>
    <w:rsid w:val="00146F6D"/>
    <w:rsid w:val="00146FFE"/>
    <w:rsid w:val="00150486"/>
    <w:rsid w:val="001507B6"/>
    <w:rsid w:val="00150935"/>
    <w:rsid w:val="00154DE8"/>
    <w:rsid w:val="001568E9"/>
    <w:rsid w:val="00157DDF"/>
    <w:rsid w:val="00160352"/>
    <w:rsid w:val="00160B36"/>
    <w:rsid w:val="00160CD8"/>
    <w:rsid w:val="00163BAF"/>
    <w:rsid w:val="0016480B"/>
    <w:rsid w:val="001648B6"/>
    <w:rsid w:val="00164BF6"/>
    <w:rsid w:val="00167485"/>
    <w:rsid w:val="00167FB4"/>
    <w:rsid w:val="00170C6F"/>
    <w:rsid w:val="00174D51"/>
    <w:rsid w:val="0017504E"/>
    <w:rsid w:val="0017570A"/>
    <w:rsid w:val="00175C69"/>
    <w:rsid w:val="00176E88"/>
    <w:rsid w:val="00180B25"/>
    <w:rsid w:val="00180E1F"/>
    <w:rsid w:val="0018175D"/>
    <w:rsid w:val="0018563A"/>
    <w:rsid w:val="00186FCC"/>
    <w:rsid w:val="00187DC7"/>
    <w:rsid w:val="00190CC6"/>
    <w:rsid w:val="00192D15"/>
    <w:rsid w:val="00196C31"/>
    <w:rsid w:val="001A3707"/>
    <w:rsid w:val="001A411C"/>
    <w:rsid w:val="001A4ADE"/>
    <w:rsid w:val="001A4EB4"/>
    <w:rsid w:val="001A5F90"/>
    <w:rsid w:val="001B0AE0"/>
    <w:rsid w:val="001B2BE3"/>
    <w:rsid w:val="001B3834"/>
    <w:rsid w:val="001B5152"/>
    <w:rsid w:val="001B5AA6"/>
    <w:rsid w:val="001B7722"/>
    <w:rsid w:val="001B7FC4"/>
    <w:rsid w:val="001C01E9"/>
    <w:rsid w:val="001C1B13"/>
    <w:rsid w:val="001C1DCF"/>
    <w:rsid w:val="001C3557"/>
    <w:rsid w:val="001C4AE5"/>
    <w:rsid w:val="001C5F1D"/>
    <w:rsid w:val="001C64AF"/>
    <w:rsid w:val="001C7A35"/>
    <w:rsid w:val="001D02D0"/>
    <w:rsid w:val="001D0DD3"/>
    <w:rsid w:val="001D2105"/>
    <w:rsid w:val="001D41D0"/>
    <w:rsid w:val="001D4DDF"/>
    <w:rsid w:val="001D5839"/>
    <w:rsid w:val="001D780F"/>
    <w:rsid w:val="001E1371"/>
    <w:rsid w:val="001E3D8E"/>
    <w:rsid w:val="001E5E9B"/>
    <w:rsid w:val="001E6758"/>
    <w:rsid w:val="001E6B22"/>
    <w:rsid w:val="001F1F9A"/>
    <w:rsid w:val="001F31B1"/>
    <w:rsid w:val="001F426E"/>
    <w:rsid w:val="001F5318"/>
    <w:rsid w:val="00201623"/>
    <w:rsid w:val="002049F1"/>
    <w:rsid w:val="00207561"/>
    <w:rsid w:val="002107B6"/>
    <w:rsid w:val="00210879"/>
    <w:rsid w:val="00211989"/>
    <w:rsid w:val="00213D2B"/>
    <w:rsid w:val="002147DD"/>
    <w:rsid w:val="00214A8F"/>
    <w:rsid w:val="00216E04"/>
    <w:rsid w:val="00220436"/>
    <w:rsid w:val="00220C8D"/>
    <w:rsid w:val="002221C8"/>
    <w:rsid w:val="00223651"/>
    <w:rsid w:val="00223FD2"/>
    <w:rsid w:val="00224DBE"/>
    <w:rsid w:val="00226B2A"/>
    <w:rsid w:val="002272A1"/>
    <w:rsid w:val="002303B8"/>
    <w:rsid w:val="00231F90"/>
    <w:rsid w:val="00233A89"/>
    <w:rsid w:val="0023435A"/>
    <w:rsid w:val="002361D8"/>
    <w:rsid w:val="002372F6"/>
    <w:rsid w:val="002425B0"/>
    <w:rsid w:val="00245C93"/>
    <w:rsid w:val="00245F83"/>
    <w:rsid w:val="002507B1"/>
    <w:rsid w:val="00251A5A"/>
    <w:rsid w:val="002528E2"/>
    <w:rsid w:val="002531E9"/>
    <w:rsid w:val="0025467C"/>
    <w:rsid w:val="0025534C"/>
    <w:rsid w:val="002562E6"/>
    <w:rsid w:val="00256AD3"/>
    <w:rsid w:val="00257E13"/>
    <w:rsid w:val="002632D2"/>
    <w:rsid w:val="00263FD9"/>
    <w:rsid w:val="00264126"/>
    <w:rsid w:val="0026426E"/>
    <w:rsid w:val="0026484A"/>
    <w:rsid w:val="002657C8"/>
    <w:rsid w:val="00267ABC"/>
    <w:rsid w:val="00271CF0"/>
    <w:rsid w:val="00273769"/>
    <w:rsid w:val="00274AA5"/>
    <w:rsid w:val="00277FBC"/>
    <w:rsid w:val="00280049"/>
    <w:rsid w:val="002819CE"/>
    <w:rsid w:val="00281B19"/>
    <w:rsid w:val="00281B73"/>
    <w:rsid w:val="002853FC"/>
    <w:rsid w:val="00290C95"/>
    <w:rsid w:val="00290DC9"/>
    <w:rsid w:val="00293180"/>
    <w:rsid w:val="00293CAE"/>
    <w:rsid w:val="0029458C"/>
    <w:rsid w:val="00295019"/>
    <w:rsid w:val="00296B53"/>
    <w:rsid w:val="00296BEC"/>
    <w:rsid w:val="00297B44"/>
    <w:rsid w:val="002A0CCB"/>
    <w:rsid w:val="002A284C"/>
    <w:rsid w:val="002A3CCB"/>
    <w:rsid w:val="002A3EA4"/>
    <w:rsid w:val="002A3F54"/>
    <w:rsid w:val="002A45A7"/>
    <w:rsid w:val="002A5404"/>
    <w:rsid w:val="002A54DB"/>
    <w:rsid w:val="002A5542"/>
    <w:rsid w:val="002A7E9E"/>
    <w:rsid w:val="002B0D92"/>
    <w:rsid w:val="002B27C1"/>
    <w:rsid w:val="002B2D0B"/>
    <w:rsid w:val="002B3517"/>
    <w:rsid w:val="002B4971"/>
    <w:rsid w:val="002B52D5"/>
    <w:rsid w:val="002B6718"/>
    <w:rsid w:val="002C036A"/>
    <w:rsid w:val="002C06D8"/>
    <w:rsid w:val="002C1426"/>
    <w:rsid w:val="002C1DF1"/>
    <w:rsid w:val="002C2A5F"/>
    <w:rsid w:val="002C39AE"/>
    <w:rsid w:val="002C42AA"/>
    <w:rsid w:val="002C4514"/>
    <w:rsid w:val="002C6ED6"/>
    <w:rsid w:val="002C710C"/>
    <w:rsid w:val="002D0CB9"/>
    <w:rsid w:val="002D149E"/>
    <w:rsid w:val="002D2EA2"/>
    <w:rsid w:val="002D4976"/>
    <w:rsid w:val="002D4D30"/>
    <w:rsid w:val="002D5063"/>
    <w:rsid w:val="002D6107"/>
    <w:rsid w:val="002D7110"/>
    <w:rsid w:val="002E105D"/>
    <w:rsid w:val="002E2125"/>
    <w:rsid w:val="002E27BA"/>
    <w:rsid w:val="002E38A6"/>
    <w:rsid w:val="002E5383"/>
    <w:rsid w:val="002F06A2"/>
    <w:rsid w:val="002F0AA3"/>
    <w:rsid w:val="002F36CF"/>
    <w:rsid w:val="002F397D"/>
    <w:rsid w:val="002F3CE3"/>
    <w:rsid w:val="002F4A43"/>
    <w:rsid w:val="002F5B9F"/>
    <w:rsid w:val="00300EA5"/>
    <w:rsid w:val="003010CB"/>
    <w:rsid w:val="00301FDA"/>
    <w:rsid w:val="00302908"/>
    <w:rsid w:val="00307218"/>
    <w:rsid w:val="003102C0"/>
    <w:rsid w:val="00311924"/>
    <w:rsid w:val="00312469"/>
    <w:rsid w:val="00312B33"/>
    <w:rsid w:val="00316DE9"/>
    <w:rsid w:val="003203BC"/>
    <w:rsid w:val="003214BD"/>
    <w:rsid w:val="00324C25"/>
    <w:rsid w:val="003257E2"/>
    <w:rsid w:val="00327D0F"/>
    <w:rsid w:val="00331E3B"/>
    <w:rsid w:val="00334403"/>
    <w:rsid w:val="00334828"/>
    <w:rsid w:val="003360FE"/>
    <w:rsid w:val="00336821"/>
    <w:rsid w:val="003426BC"/>
    <w:rsid w:val="00342AB9"/>
    <w:rsid w:val="00342E5D"/>
    <w:rsid w:val="003439F9"/>
    <w:rsid w:val="00343F98"/>
    <w:rsid w:val="0034572D"/>
    <w:rsid w:val="00346372"/>
    <w:rsid w:val="00350D51"/>
    <w:rsid w:val="00350F22"/>
    <w:rsid w:val="00351C98"/>
    <w:rsid w:val="00354E05"/>
    <w:rsid w:val="00355E48"/>
    <w:rsid w:val="00362301"/>
    <w:rsid w:val="00365F97"/>
    <w:rsid w:val="00371042"/>
    <w:rsid w:val="00372D37"/>
    <w:rsid w:val="003751AC"/>
    <w:rsid w:val="00384193"/>
    <w:rsid w:val="0038660B"/>
    <w:rsid w:val="00387C2B"/>
    <w:rsid w:val="00390719"/>
    <w:rsid w:val="00391E0D"/>
    <w:rsid w:val="00393028"/>
    <w:rsid w:val="0039622C"/>
    <w:rsid w:val="003962AB"/>
    <w:rsid w:val="003A07D0"/>
    <w:rsid w:val="003A21EA"/>
    <w:rsid w:val="003A2CDC"/>
    <w:rsid w:val="003A3F0F"/>
    <w:rsid w:val="003A4A61"/>
    <w:rsid w:val="003A4D4A"/>
    <w:rsid w:val="003A4F4D"/>
    <w:rsid w:val="003A4F8F"/>
    <w:rsid w:val="003A68F2"/>
    <w:rsid w:val="003A6CB5"/>
    <w:rsid w:val="003B0D96"/>
    <w:rsid w:val="003B1A9C"/>
    <w:rsid w:val="003B3CAC"/>
    <w:rsid w:val="003B534A"/>
    <w:rsid w:val="003B685F"/>
    <w:rsid w:val="003C03C8"/>
    <w:rsid w:val="003C110B"/>
    <w:rsid w:val="003C633B"/>
    <w:rsid w:val="003C738B"/>
    <w:rsid w:val="003C760D"/>
    <w:rsid w:val="003D4C14"/>
    <w:rsid w:val="003D5696"/>
    <w:rsid w:val="003E1139"/>
    <w:rsid w:val="003E13D6"/>
    <w:rsid w:val="003E1B15"/>
    <w:rsid w:val="003E6CF8"/>
    <w:rsid w:val="003E7D1C"/>
    <w:rsid w:val="003F0AB8"/>
    <w:rsid w:val="003F11AD"/>
    <w:rsid w:val="003F15E2"/>
    <w:rsid w:val="003F1AD3"/>
    <w:rsid w:val="003F1E75"/>
    <w:rsid w:val="003F453B"/>
    <w:rsid w:val="003F648F"/>
    <w:rsid w:val="003F6BED"/>
    <w:rsid w:val="003F6CC0"/>
    <w:rsid w:val="00400348"/>
    <w:rsid w:val="0040207A"/>
    <w:rsid w:val="0040285F"/>
    <w:rsid w:val="004031AB"/>
    <w:rsid w:val="00405949"/>
    <w:rsid w:val="004062D4"/>
    <w:rsid w:val="00406FF0"/>
    <w:rsid w:val="0040772C"/>
    <w:rsid w:val="00407800"/>
    <w:rsid w:val="004118EE"/>
    <w:rsid w:val="004139C3"/>
    <w:rsid w:val="004149C3"/>
    <w:rsid w:val="00415DBE"/>
    <w:rsid w:val="00416660"/>
    <w:rsid w:val="0041782C"/>
    <w:rsid w:val="004206AE"/>
    <w:rsid w:val="004214DB"/>
    <w:rsid w:val="00421A13"/>
    <w:rsid w:val="00422C7F"/>
    <w:rsid w:val="004236DF"/>
    <w:rsid w:val="00426EC7"/>
    <w:rsid w:val="004274AC"/>
    <w:rsid w:val="00432A23"/>
    <w:rsid w:val="00432FC0"/>
    <w:rsid w:val="0043326D"/>
    <w:rsid w:val="0043372A"/>
    <w:rsid w:val="00434DCD"/>
    <w:rsid w:val="00435C95"/>
    <w:rsid w:val="00442242"/>
    <w:rsid w:val="0044564E"/>
    <w:rsid w:val="00446BCA"/>
    <w:rsid w:val="00452A2E"/>
    <w:rsid w:val="004574ED"/>
    <w:rsid w:val="00457765"/>
    <w:rsid w:val="00460BAC"/>
    <w:rsid w:val="004614A5"/>
    <w:rsid w:val="00461F53"/>
    <w:rsid w:val="00462D60"/>
    <w:rsid w:val="004636E0"/>
    <w:rsid w:val="004645A8"/>
    <w:rsid w:val="00465118"/>
    <w:rsid w:val="00467AFF"/>
    <w:rsid w:val="004707CC"/>
    <w:rsid w:val="00470A2C"/>
    <w:rsid w:val="00470B13"/>
    <w:rsid w:val="00471AE5"/>
    <w:rsid w:val="0047301D"/>
    <w:rsid w:val="00473BEB"/>
    <w:rsid w:val="00474A93"/>
    <w:rsid w:val="00475B4A"/>
    <w:rsid w:val="00476097"/>
    <w:rsid w:val="004769C4"/>
    <w:rsid w:val="00477E5B"/>
    <w:rsid w:val="00480568"/>
    <w:rsid w:val="00484A5E"/>
    <w:rsid w:val="00487262"/>
    <w:rsid w:val="00487329"/>
    <w:rsid w:val="00492EB1"/>
    <w:rsid w:val="004948AF"/>
    <w:rsid w:val="00495867"/>
    <w:rsid w:val="00497905"/>
    <w:rsid w:val="004A129F"/>
    <w:rsid w:val="004A1C8E"/>
    <w:rsid w:val="004A3E07"/>
    <w:rsid w:val="004A5BF8"/>
    <w:rsid w:val="004B25D0"/>
    <w:rsid w:val="004B3352"/>
    <w:rsid w:val="004B3495"/>
    <w:rsid w:val="004B3D02"/>
    <w:rsid w:val="004B5D1B"/>
    <w:rsid w:val="004B74EF"/>
    <w:rsid w:val="004C1664"/>
    <w:rsid w:val="004C1C7B"/>
    <w:rsid w:val="004C2D67"/>
    <w:rsid w:val="004D0266"/>
    <w:rsid w:val="004D0D0B"/>
    <w:rsid w:val="004D12EA"/>
    <w:rsid w:val="004D374B"/>
    <w:rsid w:val="004D4FAC"/>
    <w:rsid w:val="004D57C2"/>
    <w:rsid w:val="004D5B3B"/>
    <w:rsid w:val="004D7FA9"/>
    <w:rsid w:val="004E0039"/>
    <w:rsid w:val="004E09F0"/>
    <w:rsid w:val="004E0DF9"/>
    <w:rsid w:val="004E184E"/>
    <w:rsid w:val="004E21AB"/>
    <w:rsid w:val="004E2AFE"/>
    <w:rsid w:val="004E2F5B"/>
    <w:rsid w:val="004E76AE"/>
    <w:rsid w:val="004F1AAA"/>
    <w:rsid w:val="004F1B67"/>
    <w:rsid w:val="004F29FC"/>
    <w:rsid w:val="004F383B"/>
    <w:rsid w:val="004F3A9E"/>
    <w:rsid w:val="004F4B50"/>
    <w:rsid w:val="004F4E88"/>
    <w:rsid w:val="004F6309"/>
    <w:rsid w:val="00502F42"/>
    <w:rsid w:val="00503FCC"/>
    <w:rsid w:val="005054C1"/>
    <w:rsid w:val="00512A03"/>
    <w:rsid w:val="00512F94"/>
    <w:rsid w:val="00513971"/>
    <w:rsid w:val="005141EF"/>
    <w:rsid w:val="005230A3"/>
    <w:rsid w:val="00523D0E"/>
    <w:rsid w:val="00525117"/>
    <w:rsid w:val="005330EC"/>
    <w:rsid w:val="00534847"/>
    <w:rsid w:val="00535B2C"/>
    <w:rsid w:val="00535D6B"/>
    <w:rsid w:val="00537D0A"/>
    <w:rsid w:val="00540109"/>
    <w:rsid w:val="005403BD"/>
    <w:rsid w:val="005408A6"/>
    <w:rsid w:val="005411A0"/>
    <w:rsid w:val="00541719"/>
    <w:rsid w:val="00544015"/>
    <w:rsid w:val="00544BC7"/>
    <w:rsid w:val="0054518C"/>
    <w:rsid w:val="005457A4"/>
    <w:rsid w:val="005459F1"/>
    <w:rsid w:val="0054633E"/>
    <w:rsid w:val="00546C96"/>
    <w:rsid w:val="005471A1"/>
    <w:rsid w:val="005506CA"/>
    <w:rsid w:val="005508FD"/>
    <w:rsid w:val="00551740"/>
    <w:rsid w:val="00552166"/>
    <w:rsid w:val="005578DB"/>
    <w:rsid w:val="00557EB3"/>
    <w:rsid w:val="00558B0D"/>
    <w:rsid w:val="00560FD6"/>
    <w:rsid w:val="005610F3"/>
    <w:rsid w:val="0056165C"/>
    <w:rsid w:val="005636E7"/>
    <w:rsid w:val="00565ACC"/>
    <w:rsid w:val="005703C2"/>
    <w:rsid w:val="00571756"/>
    <w:rsid w:val="005718A1"/>
    <w:rsid w:val="005731C3"/>
    <w:rsid w:val="00574A0B"/>
    <w:rsid w:val="00576509"/>
    <w:rsid w:val="00576A12"/>
    <w:rsid w:val="00582FAD"/>
    <w:rsid w:val="0058328A"/>
    <w:rsid w:val="005860BA"/>
    <w:rsid w:val="005867FD"/>
    <w:rsid w:val="0058761B"/>
    <w:rsid w:val="0059529E"/>
    <w:rsid w:val="0059533B"/>
    <w:rsid w:val="005963DA"/>
    <w:rsid w:val="005A2EE7"/>
    <w:rsid w:val="005A3078"/>
    <w:rsid w:val="005A368D"/>
    <w:rsid w:val="005A4F8E"/>
    <w:rsid w:val="005A6FF7"/>
    <w:rsid w:val="005A7203"/>
    <w:rsid w:val="005B2973"/>
    <w:rsid w:val="005B4263"/>
    <w:rsid w:val="005B428B"/>
    <w:rsid w:val="005B6B9D"/>
    <w:rsid w:val="005C0537"/>
    <w:rsid w:val="005C057A"/>
    <w:rsid w:val="005C0752"/>
    <w:rsid w:val="005C1390"/>
    <w:rsid w:val="005C1D48"/>
    <w:rsid w:val="005C7748"/>
    <w:rsid w:val="005D16BE"/>
    <w:rsid w:val="005D1B87"/>
    <w:rsid w:val="005D2B86"/>
    <w:rsid w:val="005D555D"/>
    <w:rsid w:val="005D5603"/>
    <w:rsid w:val="005E0D36"/>
    <w:rsid w:val="005E3837"/>
    <w:rsid w:val="005E56D9"/>
    <w:rsid w:val="005E5CFC"/>
    <w:rsid w:val="005E7763"/>
    <w:rsid w:val="005F0A79"/>
    <w:rsid w:val="005F0D37"/>
    <w:rsid w:val="005F0F2E"/>
    <w:rsid w:val="005F10D6"/>
    <w:rsid w:val="005F13BD"/>
    <w:rsid w:val="005F1E56"/>
    <w:rsid w:val="005F59CB"/>
    <w:rsid w:val="005F65CE"/>
    <w:rsid w:val="005F6BCB"/>
    <w:rsid w:val="005F6D66"/>
    <w:rsid w:val="005F77A8"/>
    <w:rsid w:val="0060156C"/>
    <w:rsid w:val="006023B5"/>
    <w:rsid w:val="00602565"/>
    <w:rsid w:val="006040C1"/>
    <w:rsid w:val="00604A50"/>
    <w:rsid w:val="0060540D"/>
    <w:rsid w:val="006055A3"/>
    <w:rsid w:val="00605834"/>
    <w:rsid w:val="00605A14"/>
    <w:rsid w:val="0061196D"/>
    <w:rsid w:val="00612571"/>
    <w:rsid w:val="006125FE"/>
    <w:rsid w:val="006146BA"/>
    <w:rsid w:val="0061744B"/>
    <w:rsid w:val="0061749E"/>
    <w:rsid w:val="006202A1"/>
    <w:rsid w:val="006224FD"/>
    <w:rsid w:val="00624932"/>
    <w:rsid w:val="00631311"/>
    <w:rsid w:val="0063233D"/>
    <w:rsid w:val="00634377"/>
    <w:rsid w:val="00634881"/>
    <w:rsid w:val="006351C4"/>
    <w:rsid w:val="00637659"/>
    <w:rsid w:val="0064057F"/>
    <w:rsid w:val="0064060C"/>
    <w:rsid w:val="006417DA"/>
    <w:rsid w:val="00641F09"/>
    <w:rsid w:val="00642BF1"/>
    <w:rsid w:val="00643A7A"/>
    <w:rsid w:val="00644FD7"/>
    <w:rsid w:val="00645A36"/>
    <w:rsid w:val="006461CC"/>
    <w:rsid w:val="00650B43"/>
    <w:rsid w:val="00652134"/>
    <w:rsid w:val="00652845"/>
    <w:rsid w:val="006530B5"/>
    <w:rsid w:val="0066059D"/>
    <w:rsid w:val="00664A4D"/>
    <w:rsid w:val="00665651"/>
    <w:rsid w:val="006658BA"/>
    <w:rsid w:val="006667ED"/>
    <w:rsid w:val="00666FCB"/>
    <w:rsid w:val="006670A4"/>
    <w:rsid w:val="0067110B"/>
    <w:rsid w:val="0067452B"/>
    <w:rsid w:val="006750AB"/>
    <w:rsid w:val="00675B24"/>
    <w:rsid w:val="00675B4C"/>
    <w:rsid w:val="00680063"/>
    <w:rsid w:val="00682717"/>
    <w:rsid w:val="00684B2F"/>
    <w:rsid w:val="00687048"/>
    <w:rsid w:val="00687601"/>
    <w:rsid w:val="006924EA"/>
    <w:rsid w:val="00692C6C"/>
    <w:rsid w:val="00693C89"/>
    <w:rsid w:val="006965BC"/>
    <w:rsid w:val="006A035D"/>
    <w:rsid w:val="006A099E"/>
    <w:rsid w:val="006A3389"/>
    <w:rsid w:val="006A3B19"/>
    <w:rsid w:val="006A5BC5"/>
    <w:rsid w:val="006A77DA"/>
    <w:rsid w:val="006B36C9"/>
    <w:rsid w:val="006B3D06"/>
    <w:rsid w:val="006B610D"/>
    <w:rsid w:val="006B77A5"/>
    <w:rsid w:val="006C103C"/>
    <w:rsid w:val="006C18B4"/>
    <w:rsid w:val="006C216B"/>
    <w:rsid w:val="006C3D5C"/>
    <w:rsid w:val="006C55E9"/>
    <w:rsid w:val="006C5A1D"/>
    <w:rsid w:val="006C61B1"/>
    <w:rsid w:val="006C7221"/>
    <w:rsid w:val="006C7883"/>
    <w:rsid w:val="006C7C04"/>
    <w:rsid w:val="006D05A7"/>
    <w:rsid w:val="006D0F2A"/>
    <w:rsid w:val="006D2B63"/>
    <w:rsid w:val="006D2C2D"/>
    <w:rsid w:val="006D4442"/>
    <w:rsid w:val="006D4654"/>
    <w:rsid w:val="006D559A"/>
    <w:rsid w:val="006D6F63"/>
    <w:rsid w:val="006E01C6"/>
    <w:rsid w:val="006E04D8"/>
    <w:rsid w:val="006E0741"/>
    <w:rsid w:val="006E0D46"/>
    <w:rsid w:val="006E114D"/>
    <w:rsid w:val="006E15EE"/>
    <w:rsid w:val="006E1CB7"/>
    <w:rsid w:val="006E4538"/>
    <w:rsid w:val="006E5E0C"/>
    <w:rsid w:val="006E6692"/>
    <w:rsid w:val="006E716C"/>
    <w:rsid w:val="006E72D1"/>
    <w:rsid w:val="006F0C53"/>
    <w:rsid w:val="006F18F9"/>
    <w:rsid w:val="006F24E0"/>
    <w:rsid w:val="006F4738"/>
    <w:rsid w:val="006F6D67"/>
    <w:rsid w:val="006F72E3"/>
    <w:rsid w:val="00701984"/>
    <w:rsid w:val="0070209D"/>
    <w:rsid w:val="00704134"/>
    <w:rsid w:val="00705168"/>
    <w:rsid w:val="00705468"/>
    <w:rsid w:val="0070596D"/>
    <w:rsid w:val="00705BD5"/>
    <w:rsid w:val="00705FCD"/>
    <w:rsid w:val="00707D61"/>
    <w:rsid w:val="00710086"/>
    <w:rsid w:val="00710CDF"/>
    <w:rsid w:val="00711686"/>
    <w:rsid w:val="0071213B"/>
    <w:rsid w:val="00713625"/>
    <w:rsid w:val="00714230"/>
    <w:rsid w:val="0071552B"/>
    <w:rsid w:val="007204EA"/>
    <w:rsid w:val="00724BEF"/>
    <w:rsid w:val="00726489"/>
    <w:rsid w:val="007268FF"/>
    <w:rsid w:val="007337A4"/>
    <w:rsid w:val="00733E60"/>
    <w:rsid w:val="00733E64"/>
    <w:rsid w:val="007348B4"/>
    <w:rsid w:val="0073602A"/>
    <w:rsid w:val="00736ABB"/>
    <w:rsid w:val="00740432"/>
    <w:rsid w:val="00740C6B"/>
    <w:rsid w:val="00741225"/>
    <w:rsid w:val="00741F5E"/>
    <w:rsid w:val="0074390F"/>
    <w:rsid w:val="00746625"/>
    <w:rsid w:val="007512BE"/>
    <w:rsid w:val="00751DD5"/>
    <w:rsid w:val="00752CCC"/>
    <w:rsid w:val="00753ED8"/>
    <w:rsid w:val="00754090"/>
    <w:rsid w:val="00754394"/>
    <w:rsid w:val="007543D9"/>
    <w:rsid w:val="00754679"/>
    <w:rsid w:val="00755284"/>
    <w:rsid w:val="00756685"/>
    <w:rsid w:val="007633B8"/>
    <w:rsid w:val="0076400D"/>
    <w:rsid w:val="00766236"/>
    <w:rsid w:val="00766FB2"/>
    <w:rsid w:val="00767673"/>
    <w:rsid w:val="007678B6"/>
    <w:rsid w:val="00770CCD"/>
    <w:rsid w:val="00772DA3"/>
    <w:rsid w:val="0077551F"/>
    <w:rsid w:val="0077566D"/>
    <w:rsid w:val="00777E48"/>
    <w:rsid w:val="00781239"/>
    <w:rsid w:val="00782EFC"/>
    <w:rsid w:val="00784753"/>
    <w:rsid w:val="0078582F"/>
    <w:rsid w:val="00790164"/>
    <w:rsid w:val="00795070"/>
    <w:rsid w:val="00795491"/>
    <w:rsid w:val="00795E6D"/>
    <w:rsid w:val="00797FEB"/>
    <w:rsid w:val="007A06E9"/>
    <w:rsid w:val="007A2A2C"/>
    <w:rsid w:val="007A4BA5"/>
    <w:rsid w:val="007A524A"/>
    <w:rsid w:val="007A78B1"/>
    <w:rsid w:val="007B0782"/>
    <w:rsid w:val="007B196F"/>
    <w:rsid w:val="007B1990"/>
    <w:rsid w:val="007B242F"/>
    <w:rsid w:val="007B391E"/>
    <w:rsid w:val="007B416C"/>
    <w:rsid w:val="007C39C0"/>
    <w:rsid w:val="007C5699"/>
    <w:rsid w:val="007C56A2"/>
    <w:rsid w:val="007C644B"/>
    <w:rsid w:val="007C6669"/>
    <w:rsid w:val="007C6E6F"/>
    <w:rsid w:val="007C7081"/>
    <w:rsid w:val="007D1CF9"/>
    <w:rsid w:val="007D3004"/>
    <w:rsid w:val="007D3041"/>
    <w:rsid w:val="007D3D67"/>
    <w:rsid w:val="007D7370"/>
    <w:rsid w:val="007E0514"/>
    <w:rsid w:val="007E2058"/>
    <w:rsid w:val="007E2797"/>
    <w:rsid w:val="007E3545"/>
    <w:rsid w:val="007E4675"/>
    <w:rsid w:val="007E54D1"/>
    <w:rsid w:val="007E57CA"/>
    <w:rsid w:val="007E6E1A"/>
    <w:rsid w:val="007E72A5"/>
    <w:rsid w:val="007F0586"/>
    <w:rsid w:val="007F1632"/>
    <w:rsid w:val="007F344F"/>
    <w:rsid w:val="007F3682"/>
    <w:rsid w:val="007F3DCA"/>
    <w:rsid w:val="007F4121"/>
    <w:rsid w:val="007F41B7"/>
    <w:rsid w:val="007F7315"/>
    <w:rsid w:val="0080223B"/>
    <w:rsid w:val="008030A1"/>
    <w:rsid w:val="0080335C"/>
    <w:rsid w:val="008034F0"/>
    <w:rsid w:val="00804900"/>
    <w:rsid w:val="00804AC6"/>
    <w:rsid w:val="00806748"/>
    <w:rsid w:val="00806A24"/>
    <w:rsid w:val="00807C36"/>
    <w:rsid w:val="00807DBE"/>
    <w:rsid w:val="00810215"/>
    <w:rsid w:val="00810C7E"/>
    <w:rsid w:val="00811272"/>
    <w:rsid w:val="00811547"/>
    <w:rsid w:val="00812A17"/>
    <w:rsid w:val="00816F11"/>
    <w:rsid w:val="00817EE2"/>
    <w:rsid w:val="008217E2"/>
    <w:rsid w:val="00822264"/>
    <w:rsid w:val="00822A18"/>
    <w:rsid w:val="00825A4F"/>
    <w:rsid w:val="0083185E"/>
    <w:rsid w:val="00832104"/>
    <w:rsid w:val="00832D74"/>
    <w:rsid w:val="00832DFD"/>
    <w:rsid w:val="008342A4"/>
    <w:rsid w:val="0083458E"/>
    <w:rsid w:val="00835015"/>
    <w:rsid w:val="00835D6A"/>
    <w:rsid w:val="00836AF2"/>
    <w:rsid w:val="00841B53"/>
    <w:rsid w:val="00842886"/>
    <w:rsid w:val="0084364F"/>
    <w:rsid w:val="00843FFF"/>
    <w:rsid w:val="00844786"/>
    <w:rsid w:val="00845A54"/>
    <w:rsid w:val="00846949"/>
    <w:rsid w:val="00851A57"/>
    <w:rsid w:val="0085246E"/>
    <w:rsid w:val="008529D8"/>
    <w:rsid w:val="00856357"/>
    <w:rsid w:val="00860667"/>
    <w:rsid w:val="008625FA"/>
    <w:rsid w:val="0086423A"/>
    <w:rsid w:val="0086488A"/>
    <w:rsid w:val="008652D9"/>
    <w:rsid w:val="0086584D"/>
    <w:rsid w:val="008659DF"/>
    <w:rsid w:val="008710C9"/>
    <w:rsid w:val="00872071"/>
    <w:rsid w:val="008729DF"/>
    <w:rsid w:val="00873DE0"/>
    <w:rsid w:val="0087614D"/>
    <w:rsid w:val="0088085C"/>
    <w:rsid w:val="008850FD"/>
    <w:rsid w:val="008859C4"/>
    <w:rsid w:val="008875F7"/>
    <w:rsid w:val="00891C0A"/>
    <w:rsid w:val="00893365"/>
    <w:rsid w:val="0089752A"/>
    <w:rsid w:val="008A068D"/>
    <w:rsid w:val="008A2418"/>
    <w:rsid w:val="008A3C50"/>
    <w:rsid w:val="008A3D54"/>
    <w:rsid w:val="008A4895"/>
    <w:rsid w:val="008A63AD"/>
    <w:rsid w:val="008A76EE"/>
    <w:rsid w:val="008A7C62"/>
    <w:rsid w:val="008B04CC"/>
    <w:rsid w:val="008B0D31"/>
    <w:rsid w:val="008B2806"/>
    <w:rsid w:val="008B349C"/>
    <w:rsid w:val="008B38CE"/>
    <w:rsid w:val="008B6950"/>
    <w:rsid w:val="008B7BAA"/>
    <w:rsid w:val="008C0086"/>
    <w:rsid w:val="008C2EB7"/>
    <w:rsid w:val="008C549E"/>
    <w:rsid w:val="008C6764"/>
    <w:rsid w:val="008C74F7"/>
    <w:rsid w:val="008D0E7B"/>
    <w:rsid w:val="008D216D"/>
    <w:rsid w:val="008D28B1"/>
    <w:rsid w:val="008D3261"/>
    <w:rsid w:val="008D3ADC"/>
    <w:rsid w:val="008D4FEA"/>
    <w:rsid w:val="008D668D"/>
    <w:rsid w:val="008D7273"/>
    <w:rsid w:val="008D75C1"/>
    <w:rsid w:val="008E0E99"/>
    <w:rsid w:val="008E3EA6"/>
    <w:rsid w:val="008E4A9D"/>
    <w:rsid w:val="008E5D73"/>
    <w:rsid w:val="008E6634"/>
    <w:rsid w:val="008F00C6"/>
    <w:rsid w:val="008F0C08"/>
    <w:rsid w:val="008F16EB"/>
    <w:rsid w:val="008F2D44"/>
    <w:rsid w:val="008F6901"/>
    <w:rsid w:val="008F6E32"/>
    <w:rsid w:val="00901C3B"/>
    <w:rsid w:val="009027E7"/>
    <w:rsid w:val="00903BCC"/>
    <w:rsid w:val="00904F2C"/>
    <w:rsid w:val="00913232"/>
    <w:rsid w:val="00914874"/>
    <w:rsid w:val="00923451"/>
    <w:rsid w:val="00923E6D"/>
    <w:rsid w:val="009264AB"/>
    <w:rsid w:val="0092672A"/>
    <w:rsid w:val="00932141"/>
    <w:rsid w:val="0093432E"/>
    <w:rsid w:val="00935B59"/>
    <w:rsid w:val="00937AC5"/>
    <w:rsid w:val="009407AF"/>
    <w:rsid w:val="00941800"/>
    <w:rsid w:val="00945728"/>
    <w:rsid w:val="0094597D"/>
    <w:rsid w:val="00945A3A"/>
    <w:rsid w:val="00953414"/>
    <w:rsid w:val="009541FA"/>
    <w:rsid w:val="00955916"/>
    <w:rsid w:val="00956AFE"/>
    <w:rsid w:val="00957D1B"/>
    <w:rsid w:val="00962D81"/>
    <w:rsid w:val="00963669"/>
    <w:rsid w:val="009637C7"/>
    <w:rsid w:val="00963F3F"/>
    <w:rsid w:val="009645CE"/>
    <w:rsid w:val="009672FD"/>
    <w:rsid w:val="00970B1E"/>
    <w:rsid w:val="00971561"/>
    <w:rsid w:val="00975782"/>
    <w:rsid w:val="00980D94"/>
    <w:rsid w:val="00981C50"/>
    <w:rsid w:val="009840B3"/>
    <w:rsid w:val="00984706"/>
    <w:rsid w:val="009849DE"/>
    <w:rsid w:val="009862A9"/>
    <w:rsid w:val="00987AC8"/>
    <w:rsid w:val="00990B82"/>
    <w:rsid w:val="00990CCB"/>
    <w:rsid w:val="00990CE2"/>
    <w:rsid w:val="00992B9E"/>
    <w:rsid w:val="00992D4E"/>
    <w:rsid w:val="009937E0"/>
    <w:rsid w:val="00995EB5"/>
    <w:rsid w:val="00997ED2"/>
    <w:rsid w:val="009A2C07"/>
    <w:rsid w:val="009A5196"/>
    <w:rsid w:val="009B0910"/>
    <w:rsid w:val="009B0959"/>
    <w:rsid w:val="009B22D0"/>
    <w:rsid w:val="009B363E"/>
    <w:rsid w:val="009B7CA3"/>
    <w:rsid w:val="009C0577"/>
    <w:rsid w:val="009C0E14"/>
    <w:rsid w:val="009C4A8B"/>
    <w:rsid w:val="009C6EAE"/>
    <w:rsid w:val="009C7290"/>
    <w:rsid w:val="009D0F86"/>
    <w:rsid w:val="009D4176"/>
    <w:rsid w:val="009D439C"/>
    <w:rsid w:val="009D524C"/>
    <w:rsid w:val="009D56D6"/>
    <w:rsid w:val="009D6494"/>
    <w:rsid w:val="009E2075"/>
    <w:rsid w:val="009E29DF"/>
    <w:rsid w:val="009E2D49"/>
    <w:rsid w:val="009E2FB0"/>
    <w:rsid w:val="009E3433"/>
    <w:rsid w:val="009E4535"/>
    <w:rsid w:val="009E4FBF"/>
    <w:rsid w:val="009E63DE"/>
    <w:rsid w:val="009F13D7"/>
    <w:rsid w:val="009F2E87"/>
    <w:rsid w:val="009F624F"/>
    <w:rsid w:val="009F700A"/>
    <w:rsid w:val="009F76C6"/>
    <w:rsid w:val="00A01524"/>
    <w:rsid w:val="00A01F90"/>
    <w:rsid w:val="00A02706"/>
    <w:rsid w:val="00A02924"/>
    <w:rsid w:val="00A03879"/>
    <w:rsid w:val="00A03B31"/>
    <w:rsid w:val="00A05235"/>
    <w:rsid w:val="00A069EA"/>
    <w:rsid w:val="00A12F4B"/>
    <w:rsid w:val="00A131F6"/>
    <w:rsid w:val="00A15614"/>
    <w:rsid w:val="00A2035C"/>
    <w:rsid w:val="00A21086"/>
    <w:rsid w:val="00A2496A"/>
    <w:rsid w:val="00A25943"/>
    <w:rsid w:val="00A302CF"/>
    <w:rsid w:val="00A31496"/>
    <w:rsid w:val="00A33D08"/>
    <w:rsid w:val="00A33FA4"/>
    <w:rsid w:val="00A35176"/>
    <w:rsid w:val="00A420F2"/>
    <w:rsid w:val="00A4310C"/>
    <w:rsid w:val="00A44A5C"/>
    <w:rsid w:val="00A452C0"/>
    <w:rsid w:val="00A47151"/>
    <w:rsid w:val="00A529E2"/>
    <w:rsid w:val="00A54363"/>
    <w:rsid w:val="00A553F7"/>
    <w:rsid w:val="00A55B40"/>
    <w:rsid w:val="00A577B5"/>
    <w:rsid w:val="00A61F8B"/>
    <w:rsid w:val="00A6245A"/>
    <w:rsid w:val="00A63C8C"/>
    <w:rsid w:val="00A64301"/>
    <w:rsid w:val="00A6552D"/>
    <w:rsid w:val="00A6630E"/>
    <w:rsid w:val="00A665E9"/>
    <w:rsid w:val="00A673EC"/>
    <w:rsid w:val="00A7253B"/>
    <w:rsid w:val="00A7317C"/>
    <w:rsid w:val="00A7344F"/>
    <w:rsid w:val="00A7478C"/>
    <w:rsid w:val="00A75251"/>
    <w:rsid w:val="00A80DDA"/>
    <w:rsid w:val="00A81093"/>
    <w:rsid w:val="00A848B5"/>
    <w:rsid w:val="00A875B6"/>
    <w:rsid w:val="00A87B75"/>
    <w:rsid w:val="00A90084"/>
    <w:rsid w:val="00A90312"/>
    <w:rsid w:val="00A90592"/>
    <w:rsid w:val="00A905CB"/>
    <w:rsid w:val="00A90F0F"/>
    <w:rsid w:val="00A9101F"/>
    <w:rsid w:val="00A91E4A"/>
    <w:rsid w:val="00A92B02"/>
    <w:rsid w:val="00A92F7E"/>
    <w:rsid w:val="00A9362B"/>
    <w:rsid w:val="00A93FDC"/>
    <w:rsid w:val="00AA3D38"/>
    <w:rsid w:val="00AA4E6D"/>
    <w:rsid w:val="00AA5B87"/>
    <w:rsid w:val="00AA6774"/>
    <w:rsid w:val="00AA7E48"/>
    <w:rsid w:val="00AB103B"/>
    <w:rsid w:val="00AB2444"/>
    <w:rsid w:val="00AB29B6"/>
    <w:rsid w:val="00AB3199"/>
    <w:rsid w:val="00AB3299"/>
    <w:rsid w:val="00AB3CFE"/>
    <w:rsid w:val="00AB450C"/>
    <w:rsid w:val="00AB4822"/>
    <w:rsid w:val="00AB7DBB"/>
    <w:rsid w:val="00AC1264"/>
    <w:rsid w:val="00AC1869"/>
    <w:rsid w:val="00AC6BE5"/>
    <w:rsid w:val="00AC7357"/>
    <w:rsid w:val="00AD09A9"/>
    <w:rsid w:val="00AD1B27"/>
    <w:rsid w:val="00AD3E75"/>
    <w:rsid w:val="00AD3F5F"/>
    <w:rsid w:val="00AD5BE3"/>
    <w:rsid w:val="00AD62FF"/>
    <w:rsid w:val="00AD681E"/>
    <w:rsid w:val="00AE1EF1"/>
    <w:rsid w:val="00AE2304"/>
    <w:rsid w:val="00AE2BF7"/>
    <w:rsid w:val="00AE4C4C"/>
    <w:rsid w:val="00AE57AE"/>
    <w:rsid w:val="00AE635A"/>
    <w:rsid w:val="00AF1A40"/>
    <w:rsid w:val="00AF3F04"/>
    <w:rsid w:val="00AF4752"/>
    <w:rsid w:val="00B00652"/>
    <w:rsid w:val="00B00C87"/>
    <w:rsid w:val="00B0372E"/>
    <w:rsid w:val="00B03EDF"/>
    <w:rsid w:val="00B04EF2"/>
    <w:rsid w:val="00B057FC"/>
    <w:rsid w:val="00B0588D"/>
    <w:rsid w:val="00B06597"/>
    <w:rsid w:val="00B10072"/>
    <w:rsid w:val="00B10E2D"/>
    <w:rsid w:val="00B1380D"/>
    <w:rsid w:val="00B2014A"/>
    <w:rsid w:val="00B21CA8"/>
    <w:rsid w:val="00B2480F"/>
    <w:rsid w:val="00B24E01"/>
    <w:rsid w:val="00B24E28"/>
    <w:rsid w:val="00B25C0B"/>
    <w:rsid w:val="00B26F53"/>
    <w:rsid w:val="00B27743"/>
    <w:rsid w:val="00B30C83"/>
    <w:rsid w:val="00B30EA4"/>
    <w:rsid w:val="00B31B8B"/>
    <w:rsid w:val="00B32783"/>
    <w:rsid w:val="00B33CA2"/>
    <w:rsid w:val="00B34B17"/>
    <w:rsid w:val="00B34BB6"/>
    <w:rsid w:val="00B4115C"/>
    <w:rsid w:val="00B4118D"/>
    <w:rsid w:val="00B42713"/>
    <w:rsid w:val="00B43563"/>
    <w:rsid w:val="00B44451"/>
    <w:rsid w:val="00B45181"/>
    <w:rsid w:val="00B45494"/>
    <w:rsid w:val="00B4684A"/>
    <w:rsid w:val="00B46EE0"/>
    <w:rsid w:val="00B47953"/>
    <w:rsid w:val="00B47A16"/>
    <w:rsid w:val="00B5348E"/>
    <w:rsid w:val="00B548EC"/>
    <w:rsid w:val="00B561FB"/>
    <w:rsid w:val="00B56DF8"/>
    <w:rsid w:val="00B617EC"/>
    <w:rsid w:val="00B61A9A"/>
    <w:rsid w:val="00B62344"/>
    <w:rsid w:val="00B63B1E"/>
    <w:rsid w:val="00B63FCD"/>
    <w:rsid w:val="00B64787"/>
    <w:rsid w:val="00B663FA"/>
    <w:rsid w:val="00B665E5"/>
    <w:rsid w:val="00B678C7"/>
    <w:rsid w:val="00B67B5E"/>
    <w:rsid w:val="00B72896"/>
    <w:rsid w:val="00B7500A"/>
    <w:rsid w:val="00B75567"/>
    <w:rsid w:val="00B75D5B"/>
    <w:rsid w:val="00B7634E"/>
    <w:rsid w:val="00B814FE"/>
    <w:rsid w:val="00B8184E"/>
    <w:rsid w:val="00B8490C"/>
    <w:rsid w:val="00B85FF1"/>
    <w:rsid w:val="00B87D49"/>
    <w:rsid w:val="00B94B5A"/>
    <w:rsid w:val="00B94F4B"/>
    <w:rsid w:val="00B97606"/>
    <w:rsid w:val="00BA0423"/>
    <w:rsid w:val="00BA2A3B"/>
    <w:rsid w:val="00BA55D3"/>
    <w:rsid w:val="00BA7BAC"/>
    <w:rsid w:val="00BB114A"/>
    <w:rsid w:val="00BB20FF"/>
    <w:rsid w:val="00BB3A3B"/>
    <w:rsid w:val="00BB47B6"/>
    <w:rsid w:val="00BB58A0"/>
    <w:rsid w:val="00BB596F"/>
    <w:rsid w:val="00BB5C8C"/>
    <w:rsid w:val="00BB6EDD"/>
    <w:rsid w:val="00BB6F71"/>
    <w:rsid w:val="00BB7632"/>
    <w:rsid w:val="00BC2A02"/>
    <w:rsid w:val="00BC3B32"/>
    <w:rsid w:val="00BC5B8F"/>
    <w:rsid w:val="00BC6421"/>
    <w:rsid w:val="00BC7B46"/>
    <w:rsid w:val="00BD2A8A"/>
    <w:rsid w:val="00BD34F0"/>
    <w:rsid w:val="00BE0C5D"/>
    <w:rsid w:val="00BE145B"/>
    <w:rsid w:val="00BE4A40"/>
    <w:rsid w:val="00BE665B"/>
    <w:rsid w:val="00BF283B"/>
    <w:rsid w:val="00BF3CF7"/>
    <w:rsid w:val="00BF4135"/>
    <w:rsid w:val="00BF62F2"/>
    <w:rsid w:val="00BF63F6"/>
    <w:rsid w:val="00BF65D6"/>
    <w:rsid w:val="00BF6F24"/>
    <w:rsid w:val="00C00BD4"/>
    <w:rsid w:val="00C00D07"/>
    <w:rsid w:val="00C01249"/>
    <w:rsid w:val="00C04337"/>
    <w:rsid w:val="00C06067"/>
    <w:rsid w:val="00C06743"/>
    <w:rsid w:val="00C06CB9"/>
    <w:rsid w:val="00C15AE4"/>
    <w:rsid w:val="00C1747A"/>
    <w:rsid w:val="00C17DE4"/>
    <w:rsid w:val="00C20116"/>
    <w:rsid w:val="00C20150"/>
    <w:rsid w:val="00C2187A"/>
    <w:rsid w:val="00C2219D"/>
    <w:rsid w:val="00C23362"/>
    <w:rsid w:val="00C2470F"/>
    <w:rsid w:val="00C31876"/>
    <w:rsid w:val="00C32181"/>
    <w:rsid w:val="00C364D4"/>
    <w:rsid w:val="00C37CFB"/>
    <w:rsid w:val="00C43CCF"/>
    <w:rsid w:val="00C44834"/>
    <w:rsid w:val="00C4542C"/>
    <w:rsid w:val="00C456AD"/>
    <w:rsid w:val="00C46775"/>
    <w:rsid w:val="00C4690F"/>
    <w:rsid w:val="00C46D16"/>
    <w:rsid w:val="00C51D15"/>
    <w:rsid w:val="00C5243C"/>
    <w:rsid w:val="00C5319F"/>
    <w:rsid w:val="00C53697"/>
    <w:rsid w:val="00C54919"/>
    <w:rsid w:val="00C54CF8"/>
    <w:rsid w:val="00C57318"/>
    <w:rsid w:val="00C60293"/>
    <w:rsid w:val="00C61B77"/>
    <w:rsid w:val="00C6270C"/>
    <w:rsid w:val="00C63FE1"/>
    <w:rsid w:val="00C670CB"/>
    <w:rsid w:val="00C673AD"/>
    <w:rsid w:val="00C71ABC"/>
    <w:rsid w:val="00C722DC"/>
    <w:rsid w:val="00C749C7"/>
    <w:rsid w:val="00C762A3"/>
    <w:rsid w:val="00C837A3"/>
    <w:rsid w:val="00C838BD"/>
    <w:rsid w:val="00C83AE4"/>
    <w:rsid w:val="00C83D32"/>
    <w:rsid w:val="00C83DC4"/>
    <w:rsid w:val="00C845A3"/>
    <w:rsid w:val="00C84DD9"/>
    <w:rsid w:val="00C85FEE"/>
    <w:rsid w:val="00C90737"/>
    <w:rsid w:val="00C90F9B"/>
    <w:rsid w:val="00C91309"/>
    <w:rsid w:val="00C913D2"/>
    <w:rsid w:val="00C91758"/>
    <w:rsid w:val="00C92490"/>
    <w:rsid w:val="00CA009D"/>
    <w:rsid w:val="00CA013D"/>
    <w:rsid w:val="00CA3AD3"/>
    <w:rsid w:val="00CA69CC"/>
    <w:rsid w:val="00CA7EA9"/>
    <w:rsid w:val="00CB16FD"/>
    <w:rsid w:val="00CB4813"/>
    <w:rsid w:val="00CB63E6"/>
    <w:rsid w:val="00CB75CC"/>
    <w:rsid w:val="00CC1162"/>
    <w:rsid w:val="00CC27DF"/>
    <w:rsid w:val="00CC3DE6"/>
    <w:rsid w:val="00CC44A6"/>
    <w:rsid w:val="00CC47D8"/>
    <w:rsid w:val="00CC488F"/>
    <w:rsid w:val="00CC63F7"/>
    <w:rsid w:val="00CC64A2"/>
    <w:rsid w:val="00CC6E1B"/>
    <w:rsid w:val="00CC6E42"/>
    <w:rsid w:val="00CC70EF"/>
    <w:rsid w:val="00CD3B5B"/>
    <w:rsid w:val="00CD5AAD"/>
    <w:rsid w:val="00CD72C4"/>
    <w:rsid w:val="00CD7A42"/>
    <w:rsid w:val="00CE0108"/>
    <w:rsid w:val="00CE0620"/>
    <w:rsid w:val="00CE29EE"/>
    <w:rsid w:val="00CE31BE"/>
    <w:rsid w:val="00CE3395"/>
    <w:rsid w:val="00CE33C3"/>
    <w:rsid w:val="00CE3965"/>
    <w:rsid w:val="00CE41D9"/>
    <w:rsid w:val="00CE65EA"/>
    <w:rsid w:val="00CE66A0"/>
    <w:rsid w:val="00CE6B7D"/>
    <w:rsid w:val="00CE717D"/>
    <w:rsid w:val="00CF0C7A"/>
    <w:rsid w:val="00CF1B26"/>
    <w:rsid w:val="00CF4678"/>
    <w:rsid w:val="00CF4763"/>
    <w:rsid w:val="00CF48F3"/>
    <w:rsid w:val="00CF6E3A"/>
    <w:rsid w:val="00D00501"/>
    <w:rsid w:val="00D01334"/>
    <w:rsid w:val="00D021AC"/>
    <w:rsid w:val="00D026D8"/>
    <w:rsid w:val="00D03A7C"/>
    <w:rsid w:val="00D03ECC"/>
    <w:rsid w:val="00D04EE2"/>
    <w:rsid w:val="00D057F1"/>
    <w:rsid w:val="00D05E16"/>
    <w:rsid w:val="00D06B23"/>
    <w:rsid w:val="00D06EF1"/>
    <w:rsid w:val="00D07295"/>
    <w:rsid w:val="00D10F0E"/>
    <w:rsid w:val="00D1179A"/>
    <w:rsid w:val="00D118EA"/>
    <w:rsid w:val="00D12130"/>
    <w:rsid w:val="00D12FE7"/>
    <w:rsid w:val="00D13322"/>
    <w:rsid w:val="00D17A67"/>
    <w:rsid w:val="00D17BB4"/>
    <w:rsid w:val="00D21A8B"/>
    <w:rsid w:val="00D230BA"/>
    <w:rsid w:val="00D238BC"/>
    <w:rsid w:val="00D24E40"/>
    <w:rsid w:val="00D26B6B"/>
    <w:rsid w:val="00D310F9"/>
    <w:rsid w:val="00D316F2"/>
    <w:rsid w:val="00D33014"/>
    <w:rsid w:val="00D33341"/>
    <w:rsid w:val="00D336F4"/>
    <w:rsid w:val="00D35478"/>
    <w:rsid w:val="00D35683"/>
    <w:rsid w:val="00D359E2"/>
    <w:rsid w:val="00D35FD0"/>
    <w:rsid w:val="00D42780"/>
    <w:rsid w:val="00D430C1"/>
    <w:rsid w:val="00D4352F"/>
    <w:rsid w:val="00D47E05"/>
    <w:rsid w:val="00D54483"/>
    <w:rsid w:val="00D5490F"/>
    <w:rsid w:val="00D557CA"/>
    <w:rsid w:val="00D56385"/>
    <w:rsid w:val="00D5750B"/>
    <w:rsid w:val="00D579C9"/>
    <w:rsid w:val="00D6034C"/>
    <w:rsid w:val="00D61A16"/>
    <w:rsid w:val="00D6242B"/>
    <w:rsid w:val="00D629F9"/>
    <w:rsid w:val="00D64286"/>
    <w:rsid w:val="00D64D61"/>
    <w:rsid w:val="00D6601C"/>
    <w:rsid w:val="00D70560"/>
    <w:rsid w:val="00D707C4"/>
    <w:rsid w:val="00D75268"/>
    <w:rsid w:val="00D821F3"/>
    <w:rsid w:val="00D82410"/>
    <w:rsid w:val="00D82583"/>
    <w:rsid w:val="00D84444"/>
    <w:rsid w:val="00D849A2"/>
    <w:rsid w:val="00D86AB5"/>
    <w:rsid w:val="00D875B3"/>
    <w:rsid w:val="00D900D5"/>
    <w:rsid w:val="00D92838"/>
    <w:rsid w:val="00D952C6"/>
    <w:rsid w:val="00D97EC8"/>
    <w:rsid w:val="00DA0268"/>
    <w:rsid w:val="00DA1FE2"/>
    <w:rsid w:val="00DA254D"/>
    <w:rsid w:val="00DA469E"/>
    <w:rsid w:val="00DA4D78"/>
    <w:rsid w:val="00DB0EA9"/>
    <w:rsid w:val="00DB13CD"/>
    <w:rsid w:val="00DB17F9"/>
    <w:rsid w:val="00DB28F6"/>
    <w:rsid w:val="00DC14EB"/>
    <w:rsid w:val="00DC2C47"/>
    <w:rsid w:val="00DC4600"/>
    <w:rsid w:val="00DC73F1"/>
    <w:rsid w:val="00DD08B9"/>
    <w:rsid w:val="00DD0E05"/>
    <w:rsid w:val="00DD2698"/>
    <w:rsid w:val="00DD2D17"/>
    <w:rsid w:val="00DD3939"/>
    <w:rsid w:val="00DE1D82"/>
    <w:rsid w:val="00DE1E50"/>
    <w:rsid w:val="00DE3621"/>
    <w:rsid w:val="00DE4B0E"/>
    <w:rsid w:val="00DE53C3"/>
    <w:rsid w:val="00DE6DC2"/>
    <w:rsid w:val="00DE7921"/>
    <w:rsid w:val="00DF1E8B"/>
    <w:rsid w:val="00DF3018"/>
    <w:rsid w:val="00DF3025"/>
    <w:rsid w:val="00DF3B35"/>
    <w:rsid w:val="00DF4743"/>
    <w:rsid w:val="00DF5B3B"/>
    <w:rsid w:val="00DF644D"/>
    <w:rsid w:val="00DF6756"/>
    <w:rsid w:val="00DF6818"/>
    <w:rsid w:val="00DF6BA5"/>
    <w:rsid w:val="00DF6E6A"/>
    <w:rsid w:val="00E02B85"/>
    <w:rsid w:val="00E04FA2"/>
    <w:rsid w:val="00E05C40"/>
    <w:rsid w:val="00E11D03"/>
    <w:rsid w:val="00E12926"/>
    <w:rsid w:val="00E15A80"/>
    <w:rsid w:val="00E17A11"/>
    <w:rsid w:val="00E210E1"/>
    <w:rsid w:val="00E222FF"/>
    <w:rsid w:val="00E23751"/>
    <w:rsid w:val="00E238FD"/>
    <w:rsid w:val="00E239CB"/>
    <w:rsid w:val="00E23E65"/>
    <w:rsid w:val="00E277BD"/>
    <w:rsid w:val="00E30769"/>
    <w:rsid w:val="00E31386"/>
    <w:rsid w:val="00E316F7"/>
    <w:rsid w:val="00E317F1"/>
    <w:rsid w:val="00E32D64"/>
    <w:rsid w:val="00E34C2A"/>
    <w:rsid w:val="00E357E7"/>
    <w:rsid w:val="00E35A45"/>
    <w:rsid w:val="00E3606E"/>
    <w:rsid w:val="00E40EB7"/>
    <w:rsid w:val="00E416F5"/>
    <w:rsid w:val="00E41FDB"/>
    <w:rsid w:val="00E42034"/>
    <w:rsid w:val="00E4470E"/>
    <w:rsid w:val="00E46F03"/>
    <w:rsid w:val="00E52338"/>
    <w:rsid w:val="00E52980"/>
    <w:rsid w:val="00E531BE"/>
    <w:rsid w:val="00E54FFC"/>
    <w:rsid w:val="00E56C47"/>
    <w:rsid w:val="00E573F4"/>
    <w:rsid w:val="00E57C3C"/>
    <w:rsid w:val="00E60198"/>
    <w:rsid w:val="00E60608"/>
    <w:rsid w:val="00E61D6D"/>
    <w:rsid w:val="00E64ADA"/>
    <w:rsid w:val="00E64D99"/>
    <w:rsid w:val="00E67F97"/>
    <w:rsid w:val="00E70B18"/>
    <w:rsid w:val="00E730CB"/>
    <w:rsid w:val="00E74395"/>
    <w:rsid w:val="00E7626A"/>
    <w:rsid w:val="00E76DF7"/>
    <w:rsid w:val="00E76F7B"/>
    <w:rsid w:val="00E7D4CF"/>
    <w:rsid w:val="00E8063F"/>
    <w:rsid w:val="00E81CC0"/>
    <w:rsid w:val="00E82442"/>
    <w:rsid w:val="00E84602"/>
    <w:rsid w:val="00E85FBA"/>
    <w:rsid w:val="00E869C6"/>
    <w:rsid w:val="00E916D8"/>
    <w:rsid w:val="00E9184F"/>
    <w:rsid w:val="00E9348A"/>
    <w:rsid w:val="00E940AA"/>
    <w:rsid w:val="00EA04EE"/>
    <w:rsid w:val="00EA2A12"/>
    <w:rsid w:val="00EA33D5"/>
    <w:rsid w:val="00EA4CDC"/>
    <w:rsid w:val="00EA4CDD"/>
    <w:rsid w:val="00EA572D"/>
    <w:rsid w:val="00EB380D"/>
    <w:rsid w:val="00EB3D10"/>
    <w:rsid w:val="00EB51BE"/>
    <w:rsid w:val="00EC3130"/>
    <w:rsid w:val="00EC3789"/>
    <w:rsid w:val="00EC61BF"/>
    <w:rsid w:val="00ED20F0"/>
    <w:rsid w:val="00ED2A67"/>
    <w:rsid w:val="00EE01DD"/>
    <w:rsid w:val="00EE0CCF"/>
    <w:rsid w:val="00EE16A4"/>
    <w:rsid w:val="00EE1AD2"/>
    <w:rsid w:val="00EE4003"/>
    <w:rsid w:val="00EE41EE"/>
    <w:rsid w:val="00EE566A"/>
    <w:rsid w:val="00EE63EC"/>
    <w:rsid w:val="00EE660A"/>
    <w:rsid w:val="00EE77DB"/>
    <w:rsid w:val="00EF1953"/>
    <w:rsid w:val="00EF288B"/>
    <w:rsid w:val="00EF2B3B"/>
    <w:rsid w:val="00EF3B75"/>
    <w:rsid w:val="00EF4A54"/>
    <w:rsid w:val="00EF4BEA"/>
    <w:rsid w:val="00EF5C72"/>
    <w:rsid w:val="00EF7163"/>
    <w:rsid w:val="00EF73FE"/>
    <w:rsid w:val="00F003BC"/>
    <w:rsid w:val="00F01052"/>
    <w:rsid w:val="00F0221C"/>
    <w:rsid w:val="00F0321A"/>
    <w:rsid w:val="00F059D0"/>
    <w:rsid w:val="00F10976"/>
    <w:rsid w:val="00F11CCD"/>
    <w:rsid w:val="00F12842"/>
    <w:rsid w:val="00F14CC2"/>
    <w:rsid w:val="00F1685F"/>
    <w:rsid w:val="00F17163"/>
    <w:rsid w:val="00F172C6"/>
    <w:rsid w:val="00F20786"/>
    <w:rsid w:val="00F20C2F"/>
    <w:rsid w:val="00F22687"/>
    <w:rsid w:val="00F22DC2"/>
    <w:rsid w:val="00F22E5E"/>
    <w:rsid w:val="00F23865"/>
    <w:rsid w:val="00F244C0"/>
    <w:rsid w:val="00F248B3"/>
    <w:rsid w:val="00F25ECA"/>
    <w:rsid w:val="00F26711"/>
    <w:rsid w:val="00F30664"/>
    <w:rsid w:val="00F312DB"/>
    <w:rsid w:val="00F34097"/>
    <w:rsid w:val="00F34CBE"/>
    <w:rsid w:val="00F361B0"/>
    <w:rsid w:val="00F36F8C"/>
    <w:rsid w:val="00F37102"/>
    <w:rsid w:val="00F400A6"/>
    <w:rsid w:val="00F42A53"/>
    <w:rsid w:val="00F45879"/>
    <w:rsid w:val="00F45913"/>
    <w:rsid w:val="00F46D7A"/>
    <w:rsid w:val="00F479AC"/>
    <w:rsid w:val="00F47B54"/>
    <w:rsid w:val="00F51B27"/>
    <w:rsid w:val="00F531C5"/>
    <w:rsid w:val="00F5394D"/>
    <w:rsid w:val="00F54D05"/>
    <w:rsid w:val="00F5773F"/>
    <w:rsid w:val="00F61B59"/>
    <w:rsid w:val="00F61D69"/>
    <w:rsid w:val="00F639C0"/>
    <w:rsid w:val="00F647FC"/>
    <w:rsid w:val="00F64A45"/>
    <w:rsid w:val="00F67A37"/>
    <w:rsid w:val="00F70385"/>
    <w:rsid w:val="00F72F39"/>
    <w:rsid w:val="00F81924"/>
    <w:rsid w:val="00F83135"/>
    <w:rsid w:val="00F831EF"/>
    <w:rsid w:val="00F8330B"/>
    <w:rsid w:val="00F847C0"/>
    <w:rsid w:val="00F90BAF"/>
    <w:rsid w:val="00F91DD2"/>
    <w:rsid w:val="00F91E32"/>
    <w:rsid w:val="00F92052"/>
    <w:rsid w:val="00F925F8"/>
    <w:rsid w:val="00F953F5"/>
    <w:rsid w:val="00F96F62"/>
    <w:rsid w:val="00F97173"/>
    <w:rsid w:val="00F97726"/>
    <w:rsid w:val="00FA5BB1"/>
    <w:rsid w:val="00FA6675"/>
    <w:rsid w:val="00FA7FD0"/>
    <w:rsid w:val="00FB37CA"/>
    <w:rsid w:val="00FB46DA"/>
    <w:rsid w:val="00FB4DCB"/>
    <w:rsid w:val="00FB5A25"/>
    <w:rsid w:val="00FB5A3B"/>
    <w:rsid w:val="00FC0B0B"/>
    <w:rsid w:val="00FC2698"/>
    <w:rsid w:val="00FC329F"/>
    <w:rsid w:val="00FC3582"/>
    <w:rsid w:val="00FC48D2"/>
    <w:rsid w:val="00FC5152"/>
    <w:rsid w:val="00FC6058"/>
    <w:rsid w:val="00FC623E"/>
    <w:rsid w:val="00FC72EE"/>
    <w:rsid w:val="00FC74B5"/>
    <w:rsid w:val="00FD2BAE"/>
    <w:rsid w:val="00FE14F8"/>
    <w:rsid w:val="00FE2566"/>
    <w:rsid w:val="00FE42EA"/>
    <w:rsid w:val="00FE47C6"/>
    <w:rsid w:val="00FE48DA"/>
    <w:rsid w:val="00FF2DC4"/>
    <w:rsid w:val="00FF2F01"/>
    <w:rsid w:val="00FF38AA"/>
    <w:rsid w:val="00FF3A52"/>
    <w:rsid w:val="00FF4411"/>
    <w:rsid w:val="00FF4AE4"/>
    <w:rsid w:val="00FF525A"/>
    <w:rsid w:val="00FF579F"/>
    <w:rsid w:val="00FF5EA5"/>
    <w:rsid w:val="00FF6420"/>
    <w:rsid w:val="00FF6DD5"/>
    <w:rsid w:val="00FF7A44"/>
    <w:rsid w:val="024EF40A"/>
    <w:rsid w:val="0277C5A9"/>
    <w:rsid w:val="029DA4D8"/>
    <w:rsid w:val="02B6DF15"/>
    <w:rsid w:val="0319CE7B"/>
    <w:rsid w:val="0329D9A7"/>
    <w:rsid w:val="03845637"/>
    <w:rsid w:val="03AB391B"/>
    <w:rsid w:val="0403248D"/>
    <w:rsid w:val="04C455E8"/>
    <w:rsid w:val="05080073"/>
    <w:rsid w:val="05E8C084"/>
    <w:rsid w:val="05EC8722"/>
    <w:rsid w:val="0620C9D1"/>
    <w:rsid w:val="0634FC6E"/>
    <w:rsid w:val="0660D5EE"/>
    <w:rsid w:val="067F5F3B"/>
    <w:rsid w:val="070EAA68"/>
    <w:rsid w:val="075DED91"/>
    <w:rsid w:val="076D6B64"/>
    <w:rsid w:val="09247F97"/>
    <w:rsid w:val="0936EDD0"/>
    <w:rsid w:val="098E6E57"/>
    <w:rsid w:val="09DFC2A3"/>
    <w:rsid w:val="0A03AA65"/>
    <w:rsid w:val="0A837138"/>
    <w:rsid w:val="0B960136"/>
    <w:rsid w:val="0D652F18"/>
    <w:rsid w:val="0E9BA210"/>
    <w:rsid w:val="0EFEB185"/>
    <w:rsid w:val="1080BC4D"/>
    <w:rsid w:val="10B9BCB1"/>
    <w:rsid w:val="11519953"/>
    <w:rsid w:val="120837E2"/>
    <w:rsid w:val="13BDBD4A"/>
    <w:rsid w:val="13E5D99F"/>
    <w:rsid w:val="142E1C1D"/>
    <w:rsid w:val="149DE59E"/>
    <w:rsid w:val="14E01AC5"/>
    <w:rsid w:val="1515F5B6"/>
    <w:rsid w:val="154FAD73"/>
    <w:rsid w:val="1707EBF6"/>
    <w:rsid w:val="1768B1AF"/>
    <w:rsid w:val="183D288F"/>
    <w:rsid w:val="18494ED1"/>
    <w:rsid w:val="18A70E36"/>
    <w:rsid w:val="19E8FF4D"/>
    <w:rsid w:val="1A097C29"/>
    <w:rsid w:val="1A3192C9"/>
    <w:rsid w:val="1AE0697C"/>
    <w:rsid w:val="1B0F9673"/>
    <w:rsid w:val="1DAD2587"/>
    <w:rsid w:val="1DD72921"/>
    <w:rsid w:val="1EA0CFFF"/>
    <w:rsid w:val="1EB6AED4"/>
    <w:rsid w:val="1F3E35EB"/>
    <w:rsid w:val="1F96C0BC"/>
    <w:rsid w:val="2076B3D5"/>
    <w:rsid w:val="20B423CE"/>
    <w:rsid w:val="20C40369"/>
    <w:rsid w:val="216E70DF"/>
    <w:rsid w:val="21D48FD9"/>
    <w:rsid w:val="21F5BBAD"/>
    <w:rsid w:val="2240F2DF"/>
    <w:rsid w:val="2291D317"/>
    <w:rsid w:val="23A87479"/>
    <w:rsid w:val="24522141"/>
    <w:rsid w:val="246BD429"/>
    <w:rsid w:val="24B28597"/>
    <w:rsid w:val="24D5BEE3"/>
    <w:rsid w:val="25602B79"/>
    <w:rsid w:val="2563060B"/>
    <w:rsid w:val="260B0E73"/>
    <w:rsid w:val="2656DC6D"/>
    <w:rsid w:val="26684AD1"/>
    <w:rsid w:val="26836724"/>
    <w:rsid w:val="275ADC05"/>
    <w:rsid w:val="276DE3A6"/>
    <w:rsid w:val="27EB2C31"/>
    <w:rsid w:val="28ED3349"/>
    <w:rsid w:val="296333FF"/>
    <w:rsid w:val="299314B1"/>
    <w:rsid w:val="29FBFCA0"/>
    <w:rsid w:val="2A9A876B"/>
    <w:rsid w:val="2ACB2680"/>
    <w:rsid w:val="2AF62785"/>
    <w:rsid w:val="2B5C550A"/>
    <w:rsid w:val="2B904AD2"/>
    <w:rsid w:val="2B9508A1"/>
    <w:rsid w:val="2C01B02B"/>
    <w:rsid w:val="2C675954"/>
    <w:rsid w:val="2C70F8BB"/>
    <w:rsid w:val="2CAEAB3E"/>
    <w:rsid w:val="2CFC6ABE"/>
    <w:rsid w:val="2D3F27AB"/>
    <w:rsid w:val="2DF95191"/>
    <w:rsid w:val="2E172746"/>
    <w:rsid w:val="2E366420"/>
    <w:rsid w:val="2E52F039"/>
    <w:rsid w:val="2EF12C9A"/>
    <w:rsid w:val="2EF39499"/>
    <w:rsid w:val="2F198450"/>
    <w:rsid w:val="2F612E7C"/>
    <w:rsid w:val="30251CE6"/>
    <w:rsid w:val="307C3B98"/>
    <w:rsid w:val="309EF60D"/>
    <w:rsid w:val="30A732F3"/>
    <w:rsid w:val="30B74E28"/>
    <w:rsid w:val="31DFBE6A"/>
    <w:rsid w:val="32AFA933"/>
    <w:rsid w:val="33B03317"/>
    <w:rsid w:val="33BC49E4"/>
    <w:rsid w:val="340F7783"/>
    <w:rsid w:val="3489FCA1"/>
    <w:rsid w:val="34D269DF"/>
    <w:rsid w:val="361FCD02"/>
    <w:rsid w:val="3643E2FE"/>
    <w:rsid w:val="36876CC3"/>
    <w:rsid w:val="37041542"/>
    <w:rsid w:val="3742EE51"/>
    <w:rsid w:val="3776940F"/>
    <w:rsid w:val="377FB7D7"/>
    <w:rsid w:val="385EA06A"/>
    <w:rsid w:val="399DE568"/>
    <w:rsid w:val="39C4C996"/>
    <w:rsid w:val="3A1CE06E"/>
    <w:rsid w:val="3A661C90"/>
    <w:rsid w:val="3A90074A"/>
    <w:rsid w:val="3AAA2BA0"/>
    <w:rsid w:val="3AE478E7"/>
    <w:rsid w:val="3B5A75E1"/>
    <w:rsid w:val="3BF064A8"/>
    <w:rsid w:val="3C15B7D4"/>
    <w:rsid w:val="3D6F8FD5"/>
    <w:rsid w:val="3D98AFF0"/>
    <w:rsid w:val="3DF04BCA"/>
    <w:rsid w:val="3E493876"/>
    <w:rsid w:val="3E4A6848"/>
    <w:rsid w:val="3E5D9697"/>
    <w:rsid w:val="3E9F151D"/>
    <w:rsid w:val="3EBEDC4D"/>
    <w:rsid w:val="3EF87F00"/>
    <w:rsid w:val="3F54973C"/>
    <w:rsid w:val="3F9070B6"/>
    <w:rsid w:val="4034F810"/>
    <w:rsid w:val="40671371"/>
    <w:rsid w:val="40D2894B"/>
    <w:rsid w:val="40DE8CDA"/>
    <w:rsid w:val="417E7B5F"/>
    <w:rsid w:val="42704D9E"/>
    <w:rsid w:val="4278337E"/>
    <w:rsid w:val="4364A121"/>
    <w:rsid w:val="43FC8D91"/>
    <w:rsid w:val="44046D54"/>
    <w:rsid w:val="44802323"/>
    <w:rsid w:val="44A534F2"/>
    <w:rsid w:val="453543D4"/>
    <w:rsid w:val="45498FDB"/>
    <w:rsid w:val="45D2280B"/>
    <w:rsid w:val="46163FB7"/>
    <w:rsid w:val="46DCD821"/>
    <w:rsid w:val="473481D6"/>
    <w:rsid w:val="4757B756"/>
    <w:rsid w:val="47943664"/>
    <w:rsid w:val="497C98AC"/>
    <w:rsid w:val="49988731"/>
    <w:rsid w:val="4A4D564F"/>
    <w:rsid w:val="4AA57652"/>
    <w:rsid w:val="4B9FC30E"/>
    <w:rsid w:val="4BED1DA6"/>
    <w:rsid w:val="4C14BB7C"/>
    <w:rsid w:val="4C228696"/>
    <w:rsid w:val="4DA865C2"/>
    <w:rsid w:val="4E49F92A"/>
    <w:rsid w:val="4E4C3824"/>
    <w:rsid w:val="4E6E9B70"/>
    <w:rsid w:val="4E844A86"/>
    <w:rsid w:val="4F995B14"/>
    <w:rsid w:val="4FF96A96"/>
    <w:rsid w:val="5056A32D"/>
    <w:rsid w:val="50ED1A06"/>
    <w:rsid w:val="515318D4"/>
    <w:rsid w:val="51C42106"/>
    <w:rsid w:val="52884ECB"/>
    <w:rsid w:val="53161EB4"/>
    <w:rsid w:val="533AEEA6"/>
    <w:rsid w:val="545B0D51"/>
    <w:rsid w:val="54BF7617"/>
    <w:rsid w:val="55D58C85"/>
    <w:rsid w:val="55EB884F"/>
    <w:rsid w:val="56A03FFD"/>
    <w:rsid w:val="57C5B551"/>
    <w:rsid w:val="57ECFA51"/>
    <w:rsid w:val="5853A73B"/>
    <w:rsid w:val="5893AB67"/>
    <w:rsid w:val="58FB10D1"/>
    <w:rsid w:val="590862C6"/>
    <w:rsid w:val="5936F722"/>
    <w:rsid w:val="593AD7D3"/>
    <w:rsid w:val="59E803BF"/>
    <w:rsid w:val="5A51D0A4"/>
    <w:rsid w:val="5A9FF4BA"/>
    <w:rsid w:val="5AC7C8FC"/>
    <w:rsid w:val="5AF51823"/>
    <w:rsid w:val="5B5E840D"/>
    <w:rsid w:val="5B6C43CE"/>
    <w:rsid w:val="5D28BACE"/>
    <w:rsid w:val="5D72B742"/>
    <w:rsid w:val="5DDA569C"/>
    <w:rsid w:val="5ED5E8D9"/>
    <w:rsid w:val="602039D9"/>
    <w:rsid w:val="605F09DE"/>
    <w:rsid w:val="606F1719"/>
    <w:rsid w:val="6084FCFB"/>
    <w:rsid w:val="60A2324D"/>
    <w:rsid w:val="60FBA861"/>
    <w:rsid w:val="623073B3"/>
    <w:rsid w:val="6241F16D"/>
    <w:rsid w:val="628A6A68"/>
    <w:rsid w:val="62E90A7F"/>
    <w:rsid w:val="6319EFA4"/>
    <w:rsid w:val="637D2385"/>
    <w:rsid w:val="639076D6"/>
    <w:rsid w:val="63F15EF6"/>
    <w:rsid w:val="6424F2FE"/>
    <w:rsid w:val="64A456DD"/>
    <w:rsid w:val="64BBD2DC"/>
    <w:rsid w:val="64D6B0CF"/>
    <w:rsid w:val="65138758"/>
    <w:rsid w:val="659980FB"/>
    <w:rsid w:val="65E068C3"/>
    <w:rsid w:val="663D4F72"/>
    <w:rsid w:val="66613BCD"/>
    <w:rsid w:val="671C1EC6"/>
    <w:rsid w:val="678F9C97"/>
    <w:rsid w:val="6796BEBF"/>
    <w:rsid w:val="679C7DE8"/>
    <w:rsid w:val="683AF9D0"/>
    <w:rsid w:val="68C63110"/>
    <w:rsid w:val="6936CF62"/>
    <w:rsid w:val="698E525A"/>
    <w:rsid w:val="69B1BB8E"/>
    <w:rsid w:val="69C4DE83"/>
    <w:rsid w:val="6A49EDD7"/>
    <w:rsid w:val="6A98511E"/>
    <w:rsid w:val="6ACD572F"/>
    <w:rsid w:val="6AF5127D"/>
    <w:rsid w:val="6BF26211"/>
    <w:rsid w:val="6C5CEB4B"/>
    <w:rsid w:val="6CDD01A1"/>
    <w:rsid w:val="6D1C915E"/>
    <w:rsid w:val="6D8338D5"/>
    <w:rsid w:val="6E56C479"/>
    <w:rsid w:val="6F65AAD6"/>
    <w:rsid w:val="703F1AA8"/>
    <w:rsid w:val="7082DB58"/>
    <w:rsid w:val="708941E6"/>
    <w:rsid w:val="70963C64"/>
    <w:rsid w:val="71376CCE"/>
    <w:rsid w:val="71732946"/>
    <w:rsid w:val="71887923"/>
    <w:rsid w:val="719E271E"/>
    <w:rsid w:val="71AB754A"/>
    <w:rsid w:val="71AED2AE"/>
    <w:rsid w:val="71D3C932"/>
    <w:rsid w:val="7217AB2E"/>
    <w:rsid w:val="723132E7"/>
    <w:rsid w:val="72CBD21A"/>
    <w:rsid w:val="72FB93D5"/>
    <w:rsid w:val="734D5847"/>
    <w:rsid w:val="73E1CFC7"/>
    <w:rsid w:val="7432E549"/>
    <w:rsid w:val="7545739F"/>
    <w:rsid w:val="75B838A2"/>
    <w:rsid w:val="76804D54"/>
    <w:rsid w:val="78226BEC"/>
    <w:rsid w:val="782E1771"/>
    <w:rsid w:val="79558427"/>
    <w:rsid w:val="79882E40"/>
    <w:rsid w:val="79CCB4A8"/>
    <w:rsid w:val="7A17F804"/>
    <w:rsid w:val="7A48DFF6"/>
    <w:rsid w:val="7AA28255"/>
    <w:rsid w:val="7AE11045"/>
    <w:rsid w:val="7AE9C52C"/>
    <w:rsid w:val="7BE571A6"/>
    <w:rsid w:val="7C1A1FD1"/>
    <w:rsid w:val="7C4A787D"/>
    <w:rsid w:val="7CA80B51"/>
    <w:rsid w:val="7CB1A35C"/>
    <w:rsid w:val="7CBA6642"/>
    <w:rsid w:val="7CC7FCF7"/>
    <w:rsid w:val="7CF5BB5D"/>
    <w:rsid w:val="7D58C8C9"/>
    <w:rsid w:val="7D946999"/>
    <w:rsid w:val="7DB6F788"/>
    <w:rsid w:val="7E1BD4B2"/>
    <w:rsid w:val="7F3D00F6"/>
    <w:rsid w:val="7F44A293"/>
    <w:rsid w:val="7F5DA6E1"/>
    <w:rsid w:val="7FC62F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C52C"/>
  <w15:docId w15:val="{62213107-3705-4BF4-A6E3-B959329D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character" w:styleId="Mention">
    <w:name w:val="Mention"/>
    <w:basedOn w:val="DefaultParagraphFont"/>
    <w:uiPriority w:val="99"/>
    <w:unhideWhenUsed/>
    <w:rsid w:val="00B85F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2233">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ind-tender.service.gov.uk/Notice/040914-2025"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mmercial@ukexportfinan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5ED3991997FEB478F5CF245BC436FCD" ma:contentTypeVersion="3" ma:contentTypeDescription="Create a new document." ma:contentTypeScope="" ma:versionID="f1ee35134da673064940bfdf06b74b63">
  <xsd:schema xmlns:xsd="http://www.w3.org/2001/XMLSchema" xmlns:xs="http://www.w3.org/2001/XMLSchema" xmlns:p="http://schemas.microsoft.com/office/2006/metadata/properties" xmlns:ns2="dc9b03cf-92cd-40d6-a05b-c19745fa53b4" targetNamespace="http://schemas.microsoft.com/office/2006/metadata/properties" ma:root="true" ma:fieldsID="ec5137632e3d9bea28f8d0695427b094" ns2:_="">
    <xsd:import namespace="dc9b03cf-92cd-40d6-a05b-c19745fa53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03cf-92cd-40d6-a05b-c19745fa5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95D91-0BE5-419E-97B5-D534D1E5A06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B3972B-AC3F-418E-9182-9B476B3987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5B945B-1EB0-424E-91CB-3484584D8D11}">
  <ds:schemaRefs>
    <ds:schemaRef ds:uri="http://schemas.openxmlformats.org/officeDocument/2006/bibliography"/>
  </ds:schemaRefs>
</ds:datastoreItem>
</file>

<file path=customXml/itemProps5.xml><?xml version="1.0" encoding="utf-8"?>
<ds:datastoreItem xmlns:ds="http://schemas.openxmlformats.org/officeDocument/2006/customXml" ds:itemID="{7C2BCB5E-B296-47AC-B1DB-3FD3535E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03cf-92cd-40d6-a05b-c19745fa5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8175</Words>
  <Characters>46602</Characters>
  <Application>Microsoft Office Word</Application>
  <DocSecurity>0</DocSecurity>
  <Lines>388</Lines>
  <Paragraphs>109</Paragraphs>
  <ScaleCrop>false</ScaleCrop>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Helen Evans</cp:lastModifiedBy>
  <cp:revision>444</cp:revision>
  <dcterms:created xsi:type="dcterms:W3CDTF">2025-10-21T16:08:00Z</dcterms:created>
  <dcterms:modified xsi:type="dcterms:W3CDTF">2025-10-22T10:09:00Z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0x010100A5ED3991997FEB478F5CF245BC436FCD</vt:lpwstr>
  </property>
  <property fmtid="{D5CDD505-2E9C-101B-9397-08002B2CF9AE}" pid="3" name="GrammarlyDocumentId">
    <vt:lpwstr>656e4148-bf9a-414f-a9d5-b8f38efdf127</vt:lpwstr>
  </property>
  <property fmtid="{D5CDD505-2E9C-101B-9397-08002B2CF9AE}" pid="4" name="docLang">
    <vt:lpwstr>en</vt:lpwstr>
  </property>
</Properties>
</file>