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79E" w:rsidP="063C0B3D" w:rsidRDefault="00CD7298" w14:paraId="3DBCD6D7" w14:textId="77777777">
      <w:pPr>
        <w:keepNext/>
        <w:pBdr>
          <w:top w:val="nil"/>
          <w:left w:val="nil"/>
          <w:bottom w:val="nil"/>
          <w:right w:val="nil"/>
          <w:between w:val="nil"/>
        </w:pBdr>
        <w:rPr>
          <w:rFonts w:eastAsia="Arial" w:cs="Arial"/>
          <w:b/>
          <w:bCs/>
          <w:color w:val="000000"/>
          <w:sz w:val="36"/>
          <w:szCs w:val="36"/>
        </w:rPr>
      </w:pPr>
      <w:r w:rsidRPr="063C0B3D">
        <w:rPr>
          <w:rFonts w:eastAsia="Arial" w:cs="Arial"/>
          <w:b/>
          <w:bCs/>
          <w:color w:val="000000" w:themeColor="text1"/>
          <w:sz w:val="36"/>
          <w:szCs w:val="36"/>
        </w:rPr>
        <w:t>Schedule 10 (</w:t>
      </w:r>
      <w:r w:rsidRPr="063C0B3D" w:rsidR="3C1A3E35">
        <w:rPr>
          <w:rFonts w:eastAsia="Arial" w:cs="Arial"/>
          <w:b/>
          <w:bCs/>
          <w:color w:val="000000" w:themeColor="text1"/>
          <w:sz w:val="36"/>
          <w:szCs w:val="36"/>
        </w:rPr>
        <w:t xml:space="preserve">Performance </w:t>
      </w:r>
      <w:r w:rsidRPr="063C0B3D">
        <w:rPr>
          <w:rFonts w:eastAsia="Arial" w:cs="Arial"/>
          <w:b/>
          <w:bCs/>
          <w:color w:val="000000" w:themeColor="text1"/>
          <w:sz w:val="36"/>
          <w:szCs w:val="36"/>
        </w:rPr>
        <w:t>Levels)</w:t>
      </w:r>
    </w:p>
    <w:p w:rsidRPr="0088685B" w:rsidR="00CA079E" w:rsidP="00135404" w:rsidRDefault="00CD7298" w14:paraId="108AC635" w14:textId="77777777">
      <w:pPr>
        <w:pStyle w:val="GPSL1CLAUSEHEADING"/>
        <w:rPr>
          <w:rFonts w:ascii="Arial" w:hAnsi="Arial"/>
        </w:rPr>
      </w:pPr>
      <w:bookmarkStart w:name="_heading=h.30j0zll" w:colFirst="0" w:colLast="0" w:id="0"/>
      <w:bookmarkEnd w:id="0"/>
      <w:r w:rsidRPr="0088685B">
        <w:rPr>
          <w:rFonts w:ascii="Arial" w:hAnsi="Arial"/>
        </w:rPr>
        <w:t>Definitions</w:t>
      </w:r>
    </w:p>
    <w:p w:rsidR="00CA079E" w:rsidP="005127A9" w:rsidRDefault="00CD7298" w14:paraId="36E29966" w14:textId="77777777">
      <w:pPr>
        <w:pStyle w:val="GPSL2numberedclause"/>
        <w:tabs>
          <w:tab w:val="clear" w:pos="907"/>
          <w:tab w:val="clear" w:pos="1134"/>
          <w:tab w:val="num" w:pos="993"/>
        </w:tabs>
        <w:ind w:left="993" w:hanging="567"/>
      </w:pPr>
      <w:r>
        <w:rPr>
          <w:rFonts w:eastAsia="Arial"/>
        </w:rPr>
        <w:t>In this Schedule, the following words shall have the following meanings and they shall supplement Schedule 1 (</w:t>
      </w:r>
      <w:r w:rsidRPr="00C237C7">
        <w:rPr>
          <w:rFonts w:eastAsia="Arial"/>
          <w:i/>
          <w:iCs/>
        </w:rPr>
        <w:t>Definitions</w:t>
      </w:r>
      <w:r>
        <w:rPr>
          <w:rFonts w:eastAsia="Arial"/>
        </w:rPr>
        <w:t>):</w:t>
      </w:r>
    </w:p>
    <w:tbl>
      <w:tblPr>
        <w:tblStyle w:val="3"/>
        <w:tblW w:w="8422" w:type="dxa"/>
        <w:tblInd w:w="900" w:type="dxa"/>
        <w:tblLayout w:type="fixed"/>
        <w:tblLook w:val="0400" w:firstRow="0" w:lastRow="0" w:firstColumn="0" w:lastColumn="0" w:noHBand="0" w:noVBand="1"/>
      </w:tblPr>
      <w:tblGrid>
        <w:gridCol w:w="2469"/>
        <w:gridCol w:w="5953"/>
      </w:tblGrid>
      <w:tr w:rsidR="00E77AE1" w:rsidTr="7901602A" w14:paraId="28891A41" w14:textId="77777777">
        <w:tc>
          <w:tcPr>
            <w:tcW w:w="2469" w:type="dxa"/>
          </w:tcPr>
          <w:p w:rsidR="00CA079E" w:rsidP="00E73E7F" w:rsidRDefault="00CD7298" w14:paraId="23223635" w14:textId="77777777">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w:t>
            </w:r>
            <w:proofErr w:type="spellStart"/>
            <w:r w:rsidR="00E73E7F">
              <w:rPr>
                <w:rFonts w:eastAsia="Arial" w:cs="Arial"/>
                <w:b/>
                <w:color w:val="000000"/>
              </w:rPr>
              <w:t>KPI</w:t>
            </w:r>
            <w:proofErr w:type="spellEnd"/>
            <w:r w:rsidR="00E73E7F">
              <w:rPr>
                <w:rFonts w:eastAsia="Arial" w:cs="Arial"/>
                <w:b/>
                <w:color w:val="000000"/>
              </w:rPr>
              <w:t xml:space="preserve"> </w:t>
            </w:r>
            <w:r>
              <w:rPr>
                <w:rFonts w:eastAsia="Arial" w:cs="Arial"/>
                <w:b/>
                <w:color w:val="000000"/>
              </w:rPr>
              <w:t>Failure"</w:t>
            </w:r>
          </w:p>
        </w:tc>
        <w:tc>
          <w:tcPr>
            <w:tcW w:w="5953" w:type="dxa"/>
          </w:tcPr>
          <w:p w:rsidRPr="00135404" w:rsidR="00E77AE1" w:rsidP="0088685B" w:rsidRDefault="00E77AE1" w14:paraId="728662CC" w14:textId="6E724E4D">
            <w:pPr>
              <w:spacing w:before="120" w:after="120" w:line="240" w:lineRule="auto"/>
              <w:rPr>
                <w:rFonts w:eastAsia="Arial" w:cs="Arial"/>
                <w:color w:val="000000"/>
              </w:rPr>
            </w:pPr>
            <w:r>
              <w:rPr>
                <w:rFonts w:eastAsia="Arial" w:cs="Arial"/>
                <w:color w:val="000000"/>
              </w:rPr>
              <w:t xml:space="preserve">a failure to meet the </w:t>
            </w:r>
            <w:proofErr w:type="spellStart"/>
            <w:r>
              <w:rPr>
                <w:rFonts w:eastAsia="Arial" w:cs="Arial"/>
                <w:color w:val="000000"/>
              </w:rPr>
              <w:t>KPI</w:t>
            </w:r>
            <w:proofErr w:type="spellEnd"/>
            <w:r>
              <w:rPr>
                <w:rFonts w:eastAsia="Arial" w:cs="Arial"/>
                <w:color w:val="000000"/>
              </w:rPr>
              <w:t xml:space="preserve"> Performance Measure </w:t>
            </w:r>
            <w:r w:rsidR="002B5C17">
              <w:rPr>
                <w:rFonts w:eastAsia="Arial" w:cs="Arial"/>
                <w:color w:val="000000"/>
              </w:rPr>
              <w:t xml:space="preserve">of Good </w:t>
            </w:r>
            <w:r>
              <w:rPr>
                <w:rFonts w:eastAsia="Arial" w:cs="Arial"/>
                <w:color w:val="000000"/>
              </w:rPr>
              <w:t>in respect of a Key Performance Indicator;</w:t>
            </w:r>
          </w:p>
        </w:tc>
      </w:tr>
      <w:tr w:rsidR="00E77AE1" w:rsidTr="7901602A" w14:paraId="531EEC14" w14:textId="77777777">
        <w:tc>
          <w:tcPr>
            <w:tcW w:w="2469" w:type="dxa"/>
          </w:tcPr>
          <w:p w:rsidR="00CA079E" w:rsidP="00E73E7F" w:rsidRDefault="00CD7298" w14:paraId="2EC10A0E" w14:textId="77777777">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w:t>
            </w:r>
            <w:r w:rsidR="00E73E7F">
              <w:rPr>
                <w:rFonts w:eastAsia="Arial" w:cs="Arial"/>
                <w:b/>
                <w:color w:val="000000"/>
              </w:rPr>
              <w:t xml:space="preserve">KPI </w:t>
            </w:r>
            <w:r>
              <w:rPr>
                <w:rFonts w:eastAsia="Arial" w:cs="Arial"/>
                <w:b/>
                <w:color w:val="000000"/>
              </w:rPr>
              <w:t xml:space="preserve"> Performance Measure"</w:t>
            </w:r>
          </w:p>
        </w:tc>
        <w:tc>
          <w:tcPr>
            <w:tcW w:w="5953" w:type="dxa"/>
          </w:tcPr>
          <w:p w:rsidRPr="00135404" w:rsidR="00E77AE1" w:rsidP="0088685B" w:rsidRDefault="00E77AE1" w14:paraId="3EAB77C7" w14:textId="77777777">
            <w:pPr>
              <w:spacing w:before="120" w:after="120" w:line="240" w:lineRule="auto"/>
              <w:rPr>
                <w:rFonts w:eastAsia="Arial" w:cs="Arial"/>
                <w:color w:val="000000"/>
              </w:rPr>
            </w:pPr>
            <w:r>
              <w:rPr>
                <w:rFonts w:eastAsia="Arial" w:cs="Arial"/>
                <w:color w:val="000000"/>
              </w:rPr>
              <w:t>shall be as set out against the relevant Key Performance Indicator in the Annex to Part A of this Schedule;</w:t>
            </w:r>
          </w:p>
        </w:tc>
      </w:tr>
      <w:tr w:rsidR="00E77AE1" w:rsidTr="7901602A" w14:paraId="0D0CFCA6" w14:textId="77777777">
        <w:tc>
          <w:tcPr>
            <w:tcW w:w="2469" w:type="dxa"/>
          </w:tcPr>
          <w:p w:rsidR="00CA079E" w:rsidP="00E73E7F" w:rsidRDefault="00CD7298" w14:paraId="64538C7C" w14:textId="77777777">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w:t>
            </w:r>
            <w:r w:rsidR="00E73E7F">
              <w:rPr>
                <w:rFonts w:eastAsia="Arial" w:cs="Arial"/>
                <w:b/>
                <w:color w:val="000000"/>
              </w:rPr>
              <w:t>KPI</w:t>
            </w:r>
            <w:r>
              <w:rPr>
                <w:rFonts w:eastAsia="Arial" w:cs="Arial"/>
                <w:b/>
                <w:color w:val="000000"/>
              </w:rPr>
              <w:t xml:space="preserve"> Threshold"</w:t>
            </w:r>
          </w:p>
        </w:tc>
        <w:tc>
          <w:tcPr>
            <w:tcW w:w="5953" w:type="dxa"/>
          </w:tcPr>
          <w:p w:rsidRPr="00135404" w:rsidR="00E77AE1" w:rsidP="0088685B" w:rsidRDefault="00E77AE1" w14:paraId="74416D5A" w14:textId="77777777">
            <w:pPr>
              <w:spacing w:before="120" w:after="120" w:line="240" w:lineRule="auto"/>
              <w:rPr>
                <w:rFonts w:eastAsia="Arial" w:cs="Arial"/>
                <w:color w:val="000000"/>
              </w:rPr>
            </w:pPr>
            <w:r>
              <w:rPr>
                <w:rFonts w:eastAsia="Arial" w:cs="Arial"/>
                <w:color w:val="000000"/>
              </w:rPr>
              <w:t xml:space="preserve">shall be as set out against the relevant Key Performance Indicator in the Annex to </w:t>
            </w:r>
            <w:r w:rsidRPr="00147AB8">
              <w:rPr>
                <w:rFonts w:eastAsia="Arial" w:cs="Arial"/>
                <w:color w:val="000000"/>
              </w:rPr>
              <w:t>Part </w:t>
            </w:r>
            <w:r>
              <w:rPr>
                <w:rFonts w:eastAsia="Arial" w:cs="Arial"/>
                <w:color w:val="000000"/>
              </w:rPr>
              <w:t>A of this Schedule</w:t>
            </w:r>
            <w:r w:rsidR="00A7666C">
              <w:rPr>
                <w:rFonts w:eastAsia="Arial" w:cs="Arial"/>
                <w:color w:val="000000"/>
              </w:rPr>
              <w:t>;</w:t>
            </w:r>
          </w:p>
        </w:tc>
      </w:tr>
      <w:tr w:rsidR="00701ED3" w:rsidTr="7901602A" w14:paraId="2A33988B" w14:textId="77777777">
        <w:tc>
          <w:tcPr>
            <w:tcW w:w="2469" w:type="dxa"/>
          </w:tcPr>
          <w:p w:rsidR="00701ED3" w:rsidP="00701ED3" w:rsidRDefault="00701ED3" w14:paraId="464535F6" w14:textId="033BC55F">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“Measurement Period”</w:t>
            </w:r>
          </w:p>
        </w:tc>
        <w:tc>
          <w:tcPr>
            <w:tcW w:w="5953" w:type="dxa"/>
          </w:tcPr>
          <w:p w:rsidR="00701ED3" w:rsidP="00701ED3" w:rsidRDefault="00701ED3" w14:paraId="6833E70C" w14:textId="77777777">
            <w:pPr>
              <w:spacing w:before="120" w:after="120" w:line="240" w:lineRule="auto"/>
              <w:rPr>
                <w:rFonts w:eastAsia="Arial" w:cs="Arial"/>
                <w:color w:val="000000"/>
              </w:rPr>
            </w:pPr>
            <w:r w:rsidRPr="000922DC">
              <w:rPr>
                <w:color w:val="000000"/>
              </w:rPr>
              <w:t>in relation to a Key Performance Indicator, the period over which the Supplier’s performance is measured</w:t>
            </w:r>
            <w:r>
              <w:rPr>
                <w:color w:val="000000"/>
              </w:rPr>
              <w:t xml:space="preserve"> as set out against the relevant Key Performance Indicator in the Annex to Part A of this Schedule;</w:t>
            </w:r>
          </w:p>
        </w:tc>
      </w:tr>
      <w:tr w:rsidR="00701ED3" w:rsidTr="7901602A" w14:paraId="46DE9D78" w14:textId="77777777">
        <w:tc>
          <w:tcPr>
            <w:tcW w:w="2469" w:type="dxa"/>
          </w:tcPr>
          <w:p w:rsidR="00701ED3" w:rsidP="00701ED3" w:rsidRDefault="00701ED3" w14:paraId="186FD687" w14:textId="77777777">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 xml:space="preserve">"Performance Monitoring Reports" </w:t>
            </w:r>
          </w:p>
        </w:tc>
        <w:tc>
          <w:tcPr>
            <w:tcW w:w="5953" w:type="dxa"/>
          </w:tcPr>
          <w:p w:rsidR="00701ED3" w:rsidP="00701ED3" w:rsidRDefault="00701ED3" w14:paraId="1585BE34" w14:textId="77777777">
            <w:pPr>
              <w:spacing w:before="120" w:after="120" w:line="240" w:lineRule="auto"/>
              <w:rPr>
                <w:rFonts w:eastAsia="Arial" w:cs="Arial"/>
                <w:color w:val="000000"/>
              </w:rPr>
            </w:pPr>
            <w:r>
              <w:rPr>
                <w:rFonts w:eastAsia="Arial" w:cs="Arial"/>
                <w:color w:val="000000"/>
              </w:rPr>
              <w:t xml:space="preserve">has the meaning given in Paragraph </w:t>
            </w:r>
            <w:r>
              <w:rPr>
                <w:rFonts w:eastAsia="Arial" w:cs="Arial"/>
                <w:color w:val="000000"/>
              </w:rPr>
              <w:fldChar w:fldCharType="begin"/>
            </w:r>
            <w:r>
              <w:rPr>
                <w:rFonts w:eastAsia="Arial" w:cs="Arial"/>
                <w:color w:val="000000"/>
              </w:rPr>
              <w:instrText xml:space="preserve"> REF _Ref188454577 \r \h </w:instrText>
            </w:r>
            <w:r>
              <w:rPr>
                <w:rFonts w:eastAsia="Arial" w:cs="Arial"/>
                <w:color w:val="000000"/>
              </w:rPr>
            </w:r>
            <w:r>
              <w:rPr>
                <w:rFonts w:eastAsia="Arial" w:cs="Arial"/>
                <w:color w:val="000000"/>
              </w:rPr>
              <w:fldChar w:fldCharType="separate"/>
            </w:r>
            <w:r w:rsidR="00C91A65">
              <w:rPr>
                <w:rFonts w:eastAsia="Arial" w:cs="Arial"/>
                <w:color w:val="000000"/>
                <w:cs/>
              </w:rPr>
              <w:t>‎</w:t>
            </w:r>
            <w:r w:rsidR="00C91A65">
              <w:rPr>
                <w:rFonts w:eastAsia="Arial" w:cs="Arial"/>
                <w:color w:val="000000"/>
              </w:rPr>
              <w:t>1.2</w:t>
            </w:r>
            <w:r>
              <w:rPr>
                <w:rFonts w:eastAsia="Arial" w:cs="Arial"/>
                <w:color w:val="000000"/>
              </w:rPr>
              <w:fldChar w:fldCharType="end"/>
            </w:r>
            <w:r>
              <w:rPr>
                <w:rFonts w:eastAsia="Arial" w:cs="Arial"/>
                <w:color w:val="000000"/>
              </w:rPr>
              <w:t xml:space="preserve"> of Part B of this Schedule;</w:t>
            </w:r>
          </w:p>
        </w:tc>
      </w:tr>
      <w:tr w:rsidR="00701ED3" w:rsidTr="7901602A" w14:paraId="6246355C" w14:textId="77777777">
        <w:tc>
          <w:tcPr>
            <w:tcW w:w="2469" w:type="dxa"/>
          </w:tcPr>
          <w:p w:rsidR="00701ED3" w:rsidP="00701ED3" w:rsidRDefault="00701ED3" w14:paraId="654BD07F" w14:textId="77777777">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 xml:space="preserve">"Performance Review Meetings" </w:t>
            </w:r>
          </w:p>
        </w:tc>
        <w:tc>
          <w:tcPr>
            <w:tcW w:w="5953" w:type="dxa"/>
          </w:tcPr>
          <w:p w:rsidR="00701ED3" w:rsidP="00701ED3" w:rsidRDefault="00701ED3" w14:paraId="288A720D" w14:textId="77777777">
            <w:pPr>
              <w:spacing w:before="120" w:after="120" w:line="240" w:lineRule="auto"/>
              <w:rPr>
                <w:rFonts w:eastAsia="Arial" w:cs="Arial"/>
                <w:color w:val="000000"/>
              </w:rPr>
            </w:pPr>
            <w:r>
              <w:rPr>
                <w:rFonts w:eastAsia="Arial" w:cs="Arial"/>
                <w:color w:val="000000"/>
              </w:rPr>
              <w:t xml:space="preserve">has the meaning given in Paragraph </w:t>
            </w:r>
            <w:r>
              <w:rPr>
                <w:rFonts w:eastAsia="Arial" w:cs="Arial"/>
                <w:color w:val="000000"/>
              </w:rPr>
              <w:fldChar w:fldCharType="begin"/>
            </w:r>
            <w:r>
              <w:rPr>
                <w:rFonts w:eastAsia="Arial" w:cs="Arial"/>
                <w:color w:val="000000"/>
              </w:rPr>
              <w:instrText xml:space="preserve"> REF _Ref188454584 \r \h </w:instrText>
            </w:r>
            <w:r>
              <w:rPr>
                <w:rFonts w:eastAsia="Arial" w:cs="Arial"/>
                <w:color w:val="000000"/>
              </w:rPr>
            </w:r>
            <w:r>
              <w:rPr>
                <w:rFonts w:eastAsia="Arial" w:cs="Arial"/>
                <w:color w:val="000000"/>
              </w:rPr>
              <w:fldChar w:fldCharType="separate"/>
            </w:r>
            <w:r w:rsidR="00C91A65">
              <w:rPr>
                <w:rFonts w:eastAsia="Arial" w:cs="Arial"/>
                <w:color w:val="000000"/>
                <w:cs/>
              </w:rPr>
              <w:t>‎</w:t>
            </w:r>
            <w:r w:rsidR="00C91A65">
              <w:rPr>
                <w:rFonts w:eastAsia="Arial" w:cs="Arial"/>
                <w:color w:val="000000"/>
              </w:rPr>
              <w:t>1.3</w:t>
            </w:r>
            <w:r>
              <w:rPr>
                <w:rFonts w:eastAsia="Arial" w:cs="Arial"/>
                <w:color w:val="000000"/>
              </w:rPr>
              <w:fldChar w:fldCharType="end"/>
            </w:r>
            <w:r>
              <w:rPr>
                <w:rFonts w:eastAsia="Arial" w:cs="Arial"/>
                <w:color w:val="000000"/>
              </w:rPr>
              <w:t xml:space="preserve"> of Part B of this Schedule; </w:t>
            </w:r>
          </w:p>
        </w:tc>
      </w:tr>
      <w:tr w:rsidR="00701ED3" w:rsidTr="7901602A" w14:paraId="2017C92C" w14:textId="77777777">
        <w:tc>
          <w:tcPr>
            <w:tcW w:w="2469" w:type="dxa"/>
          </w:tcPr>
          <w:p w:rsidR="00701ED3" w:rsidP="00701ED3" w:rsidRDefault="00701ED3" w14:paraId="3A7A060E" w14:textId="77777777">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"Service Credits"</w:t>
            </w:r>
          </w:p>
        </w:tc>
        <w:tc>
          <w:tcPr>
            <w:tcW w:w="5953" w:type="dxa"/>
          </w:tcPr>
          <w:p w:rsidR="00701ED3" w:rsidP="00701ED3" w:rsidRDefault="00701ED3" w14:paraId="764715AF" w14:textId="77777777">
            <w:pPr>
              <w:spacing w:before="120" w:after="120" w:line="240" w:lineRule="auto"/>
              <w:rPr>
                <w:rFonts w:eastAsia="Arial" w:cs="Arial"/>
                <w:color w:val="000000"/>
              </w:rPr>
            </w:pPr>
            <w:r>
              <w:rPr>
                <w:rFonts w:eastAsia="Arial" w:cs="Arial"/>
                <w:color w:val="000000"/>
              </w:rPr>
              <w:t>any service credits specified in the Annex to Part A of this Schedule being payable by the Supplier to the Buyer in respect of any failure by the Supplier to meet one or more Key Performance Indicators; and</w:t>
            </w:r>
          </w:p>
        </w:tc>
      </w:tr>
      <w:tr w:rsidR="00701ED3" w:rsidTr="7901602A" w14:paraId="388759D6" w14:textId="77777777">
        <w:tc>
          <w:tcPr>
            <w:tcW w:w="2469" w:type="dxa"/>
          </w:tcPr>
          <w:p w:rsidR="00701ED3" w:rsidP="00701ED3" w:rsidRDefault="00701ED3" w14:paraId="4B8D545B" w14:textId="77777777">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"Service Credit Cap"</w:t>
            </w:r>
          </w:p>
        </w:tc>
        <w:tc>
          <w:tcPr>
            <w:tcW w:w="5953" w:type="dxa"/>
          </w:tcPr>
          <w:p w:rsidR="00701ED3" w:rsidP="00701ED3" w:rsidRDefault="00701ED3" w14:paraId="07EA09D1" w14:textId="77777777">
            <w:pPr>
              <w:spacing w:before="120" w:after="120" w:line="240" w:lineRule="auto"/>
              <w:rPr>
                <w:rFonts w:eastAsia="Arial" w:cs="Arial"/>
                <w:color w:val="000000"/>
              </w:rPr>
            </w:pPr>
            <w:r>
              <w:rPr>
                <w:rFonts w:eastAsia="Arial" w:cs="Arial"/>
                <w:color w:val="000000"/>
              </w:rPr>
              <w:t>has the meaning given to it in the Award Form.</w:t>
            </w:r>
          </w:p>
        </w:tc>
      </w:tr>
    </w:tbl>
    <w:p w:rsidRPr="0088685B" w:rsidR="00CA079E" w:rsidP="00135404" w:rsidRDefault="00CD7298" w14:paraId="3B8E4873" w14:textId="77777777">
      <w:pPr>
        <w:pStyle w:val="GPSL1CLAUSEHEADING"/>
        <w:rPr>
          <w:rFonts w:ascii="Arial" w:hAnsi="Arial"/>
        </w:rPr>
      </w:pPr>
      <w:r w:rsidRPr="0088685B">
        <w:rPr>
          <w:rFonts w:ascii="Arial" w:hAnsi="Arial"/>
        </w:rPr>
        <w:t xml:space="preserve">What happens if you don’t meet the </w:t>
      </w:r>
      <w:r w:rsidRPr="0088685B" w:rsidR="006D60FB">
        <w:rPr>
          <w:rFonts w:ascii="Arial" w:hAnsi="Arial"/>
        </w:rPr>
        <w:t>Key Performance Indicator</w:t>
      </w:r>
      <w:r w:rsidRPr="0088685B">
        <w:rPr>
          <w:rFonts w:ascii="Arial" w:hAnsi="Arial"/>
        </w:rPr>
        <w:t>s</w:t>
      </w:r>
    </w:p>
    <w:p w:rsidR="00CA079E" w:rsidP="00135404" w:rsidRDefault="00CD7298" w14:paraId="5C7E3838" w14:textId="77777777">
      <w:pPr>
        <w:pStyle w:val="GPSL2numberedclause"/>
        <w:rPr>
          <w:rFonts w:eastAsia="Arial"/>
          <w:b/>
        </w:rPr>
      </w:pPr>
      <w:r>
        <w:rPr>
          <w:rFonts w:eastAsia="Arial"/>
        </w:rPr>
        <w:t xml:space="preserve">The Supplier shall at all times provide the Deliverables to meet or exceed the </w:t>
      </w:r>
      <w:r w:rsidR="00E73E7F">
        <w:rPr>
          <w:rFonts w:eastAsia="Arial"/>
        </w:rPr>
        <w:t>KPI</w:t>
      </w:r>
      <w:r>
        <w:rPr>
          <w:rFonts w:eastAsia="Arial"/>
        </w:rPr>
        <w:t xml:space="preserve"> Performance Measure for each </w:t>
      </w:r>
      <w:r w:rsidR="006D60FB">
        <w:rPr>
          <w:rFonts w:eastAsia="Arial"/>
        </w:rPr>
        <w:t>Key Performance Indicator</w:t>
      </w:r>
      <w:r>
        <w:rPr>
          <w:rFonts w:eastAsia="Arial"/>
        </w:rPr>
        <w:t>.</w:t>
      </w:r>
    </w:p>
    <w:p w:rsidR="00CA079E" w:rsidP="00135404" w:rsidRDefault="00CD7298" w14:paraId="713FB161" w14:textId="77777777">
      <w:pPr>
        <w:pStyle w:val="GPSL2numberedclause"/>
        <w:rPr>
          <w:rFonts w:eastAsia="Arial"/>
          <w:b/>
        </w:rPr>
      </w:pPr>
      <w:r>
        <w:rPr>
          <w:rFonts w:eastAsia="Arial"/>
        </w:rPr>
        <w:t xml:space="preserve">The Supplier acknowledges that any </w:t>
      </w:r>
      <w:r w:rsidR="00E73E7F">
        <w:rPr>
          <w:rFonts w:eastAsia="Arial"/>
        </w:rPr>
        <w:t>KPI Failure</w:t>
      </w:r>
      <w:r>
        <w:rPr>
          <w:rFonts w:eastAsia="Arial"/>
        </w:rPr>
        <w:t xml:space="preserv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w:t>
      </w:r>
      <w:r w:rsidR="00E73E7F">
        <w:rPr>
          <w:rFonts w:eastAsia="Arial"/>
        </w:rPr>
        <w:t>KPI</w:t>
      </w:r>
      <w:r>
        <w:rPr>
          <w:rFonts w:eastAsia="Arial"/>
        </w:rPr>
        <w:t xml:space="preserve"> Performance Measure.</w:t>
      </w:r>
    </w:p>
    <w:p w:rsidR="00CA079E" w:rsidP="00135404" w:rsidRDefault="00CD7298" w14:paraId="3384CBCD" w14:textId="77777777">
      <w:pPr>
        <w:pStyle w:val="GPSL2numberedclause"/>
      </w:pPr>
      <w:r>
        <w:rPr>
          <w:rFonts w:eastAsia="Arial"/>
        </w:rPr>
        <w:t>The Supplier shall send Performance Monitoring Reports to the Buyer detailing the level of service which was achieved in accordance with the provisions of Part B (Performance Monitoring) of this Schedule</w:t>
      </w:r>
      <w:r w:rsidR="001A6841">
        <w:rPr>
          <w:rFonts w:eastAsia="Arial"/>
        </w:rPr>
        <w:t xml:space="preserve"> </w:t>
      </w:r>
      <w:r w:rsidR="001A6841">
        <w:rPr>
          <w:rFonts w:eastAsia="Arial"/>
          <w:color w:val="000000"/>
        </w:rPr>
        <w:t xml:space="preserve">to enable the </w:t>
      </w:r>
      <w:r w:rsidR="001A6841">
        <w:rPr>
          <w:rFonts w:eastAsia="Arial"/>
          <w:color w:val="000000"/>
        </w:rPr>
        <w:t>Buyer to assess the Supplier’s performance against each Key Performance Indicator in each Measurement Period</w:t>
      </w:r>
      <w:r>
        <w:rPr>
          <w:rFonts w:eastAsia="Arial"/>
        </w:rPr>
        <w:t>.</w:t>
      </w:r>
    </w:p>
    <w:p w:rsidR="00CA079E" w:rsidP="00135404" w:rsidRDefault="00CD7298" w14:paraId="088B512A" w14:textId="77777777">
      <w:pPr>
        <w:pStyle w:val="GPSL2numberedclause"/>
        <w:rPr>
          <w:rFonts w:eastAsia="Arial"/>
          <w:b/>
        </w:rPr>
      </w:pPr>
      <w:r>
        <w:rPr>
          <w:rFonts w:eastAsia="Arial"/>
        </w:rPr>
        <w:t xml:space="preserve">A Service Credit shall be the Buyer’s exclusive financial remedy for a </w:t>
      </w:r>
      <w:r w:rsidR="0050634D">
        <w:rPr>
          <w:rFonts w:eastAsia="Arial"/>
        </w:rPr>
        <w:t>KPI F</w:t>
      </w:r>
      <w:r w:rsidR="00E73E7F">
        <w:rPr>
          <w:rFonts w:eastAsia="Arial"/>
        </w:rPr>
        <w:t>ailure</w:t>
      </w:r>
      <w:r>
        <w:rPr>
          <w:rFonts w:eastAsia="Arial"/>
        </w:rPr>
        <w:t xml:space="preserve"> except where:</w:t>
      </w:r>
    </w:p>
    <w:p w:rsidR="00CA079E" w:rsidP="00CE121F" w:rsidRDefault="00CD7298" w14:paraId="63B57BFE" w14:textId="77777777">
      <w:pPr>
        <w:pStyle w:val="GPSL3numberedclause"/>
      </w:pPr>
      <w:r>
        <w:rPr>
          <w:rFonts w:eastAsia="Arial"/>
        </w:rPr>
        <w:t xml:space="preserve">the Supplier has over the previous twelve </w:t>
      </w:r>
      <w:r w:rsidR="00BE61DD">
        <w:rPr>
          <w:rFonts w:eastAsia="Arial"/>
        </w:rPr>
        <w:t>(</w:t>
      </w:r>
      <w:r>
        <w:rPr>
          <w:rFonts w:eastAsia="Arial"/>
        </w:rPr>
        <w:t>12</w:t>
      </w:r>
      <w:r w:rsidR="00BE61DD">
        <w:rPr>
          <w:rFonts w:eastAsia="Arial"/>
        </w:rPr>
        <w:t>)</w:t>
      </w:r>
      <w:r>
        <w:rPr>
          <w:rFonts w:eastAsia="Arial"/>
        </w:rPr>
        <w:t xml:space="preserve"> Month period exceeded the Service Credit Cap; and/or</w:t>
      </w:r>
    </w:p>
    <w:p w:rsidR="00CA079E" w:rsidP="00CE121F" w:rsidRDefault="00CD7298" w14:paraId="4462A0E8" w14:textId="77777777">
      <w:pPr>
        <w:pStyle w:val="GPSL3numberedclause"/>
      </w:pPr>
      <w:r>
        <w:rPr>
          <w:rFonts w:eastAsia="Arial"/>
        </w:rPr>
        <w:t xml:space="preserve">the </w:t>
      </w:r>
      <w:r w:rsidR="0050634D">
        <w:rPr>
          <w:rFonts w:eastAsia="Arial"/>
        </w:rPr>
        <w:t>KPI F</w:t>
      </w:r>
      <w:r w:rsidR="00E73E7F">
        <w:rPr>
          <w:rFonts w:eastAsia="Arial"/>
        </w:rPr>
        <w:t>ailure</w:t>
      </w:r>
      <w:r>
        <w:rPr>
          <w:rFonts w:eastAsia="Arial"/>
        </w:rPr>
        <w:t>:</w:t>
      </w:r>
    </w:p>
    <w:p w:rsidR="00CA079E" w:rsidP="00CE121F" w:rsidRDefault="00CD7298" w14:paraId="16C3B1C3" w14:textId="77777777">
      <w:pPr>
        <w:pStyle w:val="GPSL4numberedclause"/>
      </w:pPr>
      <w:r>
        <w:rPr>
          <w:rFonts w:eastAsia="Arial"/>
        </w:rPr>
        <w:t xml:space="preserve">exceeds the relevant </w:t>
      </w:r>
      <w:r w:rsidR="0050634D">
        <w:rPr>
          <w:rFonts w:eastAsia="Arial"/>
        </w:rPr>
        <w:t>KPI</w:t>
      </w:r>
      <w:r>
        <w:rPr>
          <w:rFonts w:eastAsia="Arial"/>
        </w:rPr>
        <w:t xml:space="preserve"> Threshold;</w:t>
      </w:r>
    </w:p>
    <w:p w:rsidR="00CA079E" w:rsidP="00CE121F" w:rsidRDefault="00CD7298" w14:paraId="6C873245" w14:textId="77777777">
      <w:pPr>
        <w:pStyle w:val="GPSL4numberedclause"/>
        <w:rPr>
          <w:rFonts w:eastAsia="Arial"/>
        </w:rPr>
      </w:pPr>
      <w:r>
        <w:rPr>
          <w:rFonts w:eastAsia="Arial"/>
        </w:rPr>
        <w:t xml:space="preserve">has arisen due to a wilful Default by the Supplier; </w:t>
      </w:r>
    </w:p>
    <w:p w:rsidR="00CA079E" w:rsidP="00CE121F" w:rsidRDefault="00CD7298" w14:paraId="19A07642" w14:textId="77777777">
      <w:pPr>
        <w:pStyle w:val="GPSL4numberedclause"/>
        <w:rPr>
          <w:rFonts w:eastAsia="Arial"/>
        </w:rPr>
      </w:pPr>
      <w:r>
        <w:rPr>
          <w:rFonts w:eastAsia="Arial"/>
        </w:rPr>
        <w:t>results in the corruption or loss of any Government Data</w:t>
      </w:r>
      <w:r w:rsidR="00D6282E">
        <w:rPr>
          <w:rFonts w:eastAsia="Arial"/>
        </w:rPr>
        <w:t xml:space="preserve"> (in which case </w:t>
      </w:r>
      <w:r w:rsidR="00474F3D">
        <w:rPr>
          <w:rFonts w:eastAsia="Arial"/>
        </w:rPr>
        <w:t>the indemnity in Clause 18.</w:t>
      </w:r>
      <w:r w:rsidR="0088685B">
        <w:rPr>
          <w:rFonts w:eastAsia="Arial"/>
        </w:rPr>
        <w:t>6</w:t>
      </w:r>
      <w:r w:rsidR="00474F3D">
        <w:rPr>
          <w:rFonts w:eastAsia="Arial"/>
        </w:rPr>
        <w:t xml:space="preserve">.4 and any or all of the other provisions of </w:t>
      </w:r>
      <w:r w:rsidR="00D6282E">
        <w:rPr>
          <w:rFonts w:eastAsia="Arial"/>
        </w:rPr>
        <w:t>Clauses 18.</w:t>
      </w:r>
      <w:r w:rsidR="0088685B">
        <w:rPr>
          <w:rFonts w:eastAsia="Arial"/>
        </w:rPr>
        <w:t>4</w:t>
      </w:r>
      <w:r w:rsidRPr="0088685B" w:rsidR="00D6282E">
        <w:rPr>
          <w:rFonts w:eastAsia="Arial"/>
        </w:rPr>
        <w:t xml:space="preserve"> and 18.</w:t>
      </w:r>
      <w:r w:rsidR="00474F3D">
        <w:rPr>
          <w:rFonts w:eastAsia="Arial"/>
        </w:rPr>
        <w:t>5</w:t>
      </w:r>
      <w:r w:rsidR="00D6282E">
        <w:rPr>
          <w:rFonts w:eastAsia="Arial"/>
        </w:rPr>
        <w:t xml:space="preserve"> and</w:t>
      </w:r>
      <w:r w:rsidR="00474F3D">
        <w:rPr>
          <w:rFonts w:eastAsia="Arial"/>
        </w:rPr>
        <w:t>/or</w:t>
      </w:r>
      <w:r w:rsidR="00D6282E">
        <w:rPr>
          <w:rFonts w:eastAsia="Arial"/>
        </w:rPr>
        <w:t xml:space="preserve"> Clause 18.</w:t>
      </w:r>
      <w:r w:rsidR="0088685B">
        <w:rPr>
          <w:rFonts w:eastAsia="Arial"/>
        </w:rPr>
        <w:t>6</w:t>
      </w:r>
      <w:r w:rsidR="00D6282E">
        <w:rPr>
          <w:rFonts w:eastAsia="Arial"/>
        </w:rPr>
        <w:t xml:space="preserve"> </w:t>
      </w:r>
      <w:r w:rsidR="00474F3D">
        <w:rPr>
          <w:rFonts w:eastAsia="Arial"/>
        </w:rPr>
        <w:t xml:space="preserve">of the Core Terms </w:t>
      </w:r>
      <w:r w:rsidR="00D6282E">
        <w:rPr>
          <w:rFonts w:eastAsia="Arial"/>
        </w:rPr>
        <w:t>may apply)</w:t>
      </w:r>
      <w:r>
        <w:rPr>
          <w:rFonts w:eastAsia="Arial"/>
        </w:rPr>
        <w:t>; and/or</w:t>
      </w:r>
    </w:p>
    <w:p w:rsidR="00CA079E" w:rsidP="00CE121F" w:rsidRDefault="00CD7298" w14:paraId="3BE578C0" w14:textId="77777777">
      <w:pPr>
        <w:pStyle w:val="GPSL4numberedclause"/>
        <w:rPr>
          <w:rFonts w:eastAsia="Arial"/>
        </w:rPr>
      </w:pPr>
      <w:r>
        <w:rPr>
          <w:rFonts w:eastAsia="Arial"/>
        </w:rPr>
        <w:t>results in the Buyer being required to make a compensation payment to one or more third parties; and/or</w:t>
      </w:r>
    </w:p>
    <w:p w:rsidR="00CA079E" w:rsidP="00CE121F" w:rsidRDefault="00CD7298" w14:paraId="6D562F1F" w14:textId="77777777">
      <w:pPr>
        <w:pStyle w:val="GPSL4numberedclause"/>
        <w:rPr>
          <w:rFonts w:eastAsia="Arial"/>
        </w:rPr>
      </w:pPr>
      <w:r>
        <w:rPr>
          <w:rFonts w:eastAsia="Arial"/>
        </w:rPr>
        <w:t xml:space="preserve">the Buyer is also entitled to or does terminate this Contract pursuant to Clause 14.4 of the Core Terms </w:t>
      </w:r>
      <w:r w:rsidRPr="0088685B">
        <w:rPr>
          <w:rFonts w:eastAsia="Arial"/>
          <w:i/>
        </w:rPr>
        <w:t>(When the Buyer can end the contract)</w:t>
      </w:r>
      <w:r>
        <w:rPr>
          <w:rFonts w:eastAsia="Arial"/>
        </w:rPr>
        <w:t>.</w:t>
      </w:r>
    </w:p>
    <w:p w:rsidRPr="0088685B" w:rsidR="00CA079E" w:rsidP="00135404" w:rsidRDefault="00CD7298" w14:paraId="1E5A9C25" w14:textId="77777777">
      <w:pPr>
        <w:pStyle w:val="GPSL1CLAUSEHEADING"/>
        <w:rPr>
          <w:rFonts w:ascii="Arial" w:hAnsi="Arial"/>
        </w:rPr>
      </w:pPr>
      <w:bookmarkStart w:name="_heading=h.1fob9te" w:colFirst="0" w:colLast="0" w:id="1"/>
      <w:bookmarkStart w:name="_Ref141096171" w:id="2"/>
      <w:bookmarkEnd w:id="1"/>
      <w:r w:rsidRPr="0088685B">
        <w:rPr>
          <w:rFonts w:ascii="Arial" w:hAnsi="Arial"/>
        </w:rPr>
        <w:t xml:space="preserve">Critical </w:t>
      </w:r>
      <w:r w:rsidRPr="0088685B" w:rsidR="00C01161">
        <w:rPr>
          <w:rFonts w:ascii="Arial" w:hAnsi="Arial"/>
        </w:rPr>
        <w:t xml:space="preserve">KPI </w:t>
      </w:r>
      <w:r w:rsidRPr="0088685B">
        <w:rPr>
          <w:rFonts w:ascii="Arial" w:hAnsi="Arial"/>
        </w:rPr>
        <w:t>Failure</w:t>
      </w:r>
      <w:bookmarkEnd w:id="2"/>
    </w:p>
    <w:p w:rsidRPr="00C54EEF" w:rsidR="00CA079E" w:rsidP="00147AB8" w:rsidRDefault="00CD7298" w14:paraId="1524EFDE" w14:textId="77777777">
      <w:pPr>
        <w:keepNext/>
        <w:pBdr>
          <w:top w:val="nil"/>
          <w:left w:val="nil"/>
          <w:bottom w:val="nil"/>
          <w:right w:val="nil"/>
          <w:between w:val="nil"/>
        </w:pBdr>
        <w:spacing w:before="120" w:after="120" w:line="240" w:lineRule="auto"/>
        <w:ind w:left="907" w:hanging="547"/>
        <w:rPr>
          <w:rFonts w:eastAsia="Arial" w:cs="Arial"/>
          <w:color w:val="000000"/>
        </w:rPr>
      </w:pPr>
      <w:r>
        <w:rPr>
          <w:rFonts w:eastAsia="Arial" w:cs="Arial"/>
          <w:color w:val="000000"/>
        </w:rPr>
        <w:t xml:space="preserve">On the </w:t>
      </w:r>
      <w:r w:rsidRPr="00C54EEF">
        <w:rPr>
          <w:rFonts w:eastAsia="Arial" w:cs="Arial"/>
          <w:color w:val="000000"/>
        </w:rPr>
        <w:t xml:space="preserve">occurrence of a Critical </w:t>
      </w:r>
      <w:r w:rsidRPr="00C54EEF" w:rsidR="00C01161">
        <w:rPr>
          <w:rFonts w:eastAsia="Arial" w:cs="Arial"/>
          <w:color w:val="000000"/>
        </w:rPr>
        <w:t xml:space="preserve">KPI </w:t>
      </w:r>
      <w:r w:rsidRPr="00C54EEF">
        <w:rPr>
          <w:rFonts w:eastAsia="Arial" w:cs="Arial"/>
          <w:color w:val="000000"/>
        </w:rPr>
        <w:t>Failure:</w:t>
      </w:r>
    </w:p>
    <w:p w:rsidRPr="00C54EEF" w:rsidR="00CA079E" w:rsidP="00135404" w:rsidRDefault="00CD7298" w14:paraId="4512C282" w14:textId="77777777">
      <w:pPr>
        <w:pStyle w:val="GPSL2numberedclause"/>
      </w:pPr>
      <w:r w:rsidRPr="00C54EEF">
        <w:rPr>
          <w:rFonts w:eastAsia="Arial"/>
        </w:rPr>
        <w:t>any Service Credits that would otherwise have accrued during the relevant Service Period shall not accrue; and</w:t>
      </w:r>
    </w:p>
    <w:p w:rsidR="00CA079E" w:rsidP="00135404" w:rsidRDefault="00CD7298" w14:paraId="7BBCCB2A" w14:textId="77777777">
      <w:pPr>
        <w:pStyle w:val="GPSL2numberedclause"/>
      </w:pPr>
      <w:r w:rsidRPr="00C54EEF">
        <w:rPr>
          <w:rFonts w:eastAsia="Arial"/>
        </w:rPr>
        <w:t>the Buyer shall (subject to the Service Credit Cap) be</w:t>
      </w:r>
      <w:r w:rsidRPr="716AFF22">
        <w:rPr>
          <w:rFonts w:eastAsia="Arial"/>
        </w:rPr>
        <w:t xml:space="preserve"> entitled to withhold and retain as compensation a sum equal to any Charges which would otherwise have been due to the Supplier in respect of that Service Period (</w:t>
      </w:r>
      <w:r w:rsidRPr="716AFF22">
        <w:rPr>
          <w:rFonts w:eastAsia="Arial"/>
          <w:b/>
          <w:bCs/>
        </w:rPr>
        <w:t xml:space="preserve">"Compensation for Critical </w:t>
      </w:r>
      <w:r w:rsidRPr="716AFF22" w:rsidR="00C01161">
        <w:rPr>
          <w:rFonts w:eastAsia="Arial"/>
          <w:b/>
          <w:bCs/>
        </w:rPr>
        <w:t>KPI</w:t>
      </w:r>
      <w:r w:rsidRPr="716AFF22" w:rsidR="00587AFB">
        <w:rPr>
          <w:rFonts w:eastAsia="Arial"/>
          <w:b/>
          <w:bCs/>
        </w:rPr>
        <w:t xml:space="preserve"> </w:t>
      </w:r>
      <w:r w:rsidRPr="716AFF22">
        <w:rPr>
          <w:rFonts w:eastAsia="Arial"/>
          <w:b/>
          <w:bCs/>
        </w:rPr>
        <w:t>Failure"</w:t>
      </w:r>
      <w:r w:rsidRPr="716AFF22">
        <w:rPr>
          <w:rFonts w:eastAsia="Arial"/>
        </w:rPr>
        <w:t>),</w:t>
      </w:r>
    </w:p>
    <w:p w:rsidR="00CA079E" w:rsidP="00147AB8" w:rsidRDefault="00CD7298" w14:paraId="14CB1793" w14:textId="77777777">
      <w:pPr>
        <w:pBdr>
          <w:top w:val="nil"/>
          <w:left w:val="nil"/>
          <w:bottom w:val="nil"/>
          <w:right w:val="nil"/>
          <w:between w:val="nil"/>
        </w:pBdr>
        <w:spacing w:before="120" w:after="120" w:line="240" w:lineRule="auto"/>
        <w:ind w:left="426"/>
        <w:rPr>
          <w:rFonts w:eastAsia="Arial" w:cs="Arial"/>
          <w:color w:val="000000"/>
        </w:rPr>
      </w:pPr>
      <w:r>
        <w:rPr>
          <w:rFonts w:eastAsia="Arial" w:cs="Arial"/>
          <w:color w:val="000000"/>
        </w:rPr>
        <w:t xml:space="preserve">provided that the operation of this Paragraph </w:t>
      </w:r>
      <w:r w:rsidRPr="0088685B" w:rsidR="00147AB8">
        <w:rPr>
          <w:rFonts w:eastAsia="Arial" w:cs="Arial"/>
          <w:color w:val="000000"/>
        </w:rPr>
        <w:fldChar w:fldCharType="begin"/>
      </w:r>
      <w:r w:rsidRPr="0088685B" w:rsidR="00147AB8">
        <w:rPr>
          <w:rFonts w:eastAsia="Arial" w:cs="Arial"/>
          <w:color w:val="000000"/>
        </w:rPr>
        <w:instrText xml:space="preserve"> REF _Ref141096171 \w \h </w:instrText>
      </w:r>
      <w:r w:rsidR="0088685B">
        <w:rPr>
          <w:rFonts w:eastAsia="Arial" w:cs="Arial"/>
          <w:color w:val="000000"/>
        </w:rPr>
        <w:instrText xml:space="preserve"> \* MERGEFORMAT </w:instrText>
      </w:r>
      <w:r w:rsidRPr="0088685B" w:rsidR="00147AB8">
        <w:rPr>
          <w:rFonts w:eastAsia="Arial" w:cs="Arial"/>
          <w:color w:val="000000"/>
        </w:rPr>
      </w:r>
      <w:r w:rsidRPr="0088685B" w:rsidR="00147AB8">
        <w:rPr>
          <w:rFonts w:eastAsia="Arial" w:cs="Arial"/>
          <w:color w:val="000000"/>
        </w:rPr>
        <w:fldChar w:fldCharType="separate"/>
      </w:r>
      <w:r w:rsidR="00C91A65">
        <w:rPr>
          <w:rFonts w:eastAsia="Arial" w:cs="Arial"/>
          <w:color w:val="000000"/>
          <w:cs/>
        </w:rPr>
        <w:t>‎</w:t>
      </w:r>
      <w:r w:rsidR="00C91A65">
        <w:rPr>
          <w:rFonts w:eastAsia="Arial" w:cs="Arial"/>
          <w:color w:val="000000"/>
        </w:rPr>
        <w:t>3</w:t>
      </w:r>
      <w:r w:rsidRPr="0088685B" w:rsidR="00147AB8">
        <w:rPr>
          <w:rFonts w:eastAsia="Arial" w:cs="Arial"/>
          <w:color w:val="000000"/>
        </w:rPr>
        <w:fldChar w:fldCharType="end"/>
      </w:r>
      <w:r>
        <w:rPr>
          <w:rFonts w:eastAsia="Arial" w:cs="Arial"/>
          <w:color w:val="000000"/>
        </w:rPr>
        <w:t xml:space="preserve"> shall be without prejudice to the right of the Buyer to terminate this Contract and/or to claim damages from the Supplier for Material Default.</w:t>
      </w:r>
    </w:p>
    <w:p w:rsidRPr="0088685B" w:rsidR="00CA079E" w:rsidRDefault="00CA079E" w14:paraId="4E542C0E" w14:textId="77777777">
      <w:pPr>
        <w:rPr>
          <w:rFonts w:cs="Arial"/>
        </w:rPr>
      </w:pPr>
    </w:p>
    <w:p w:rsidRPr="0088685B" w:rsidR="00CA079E" w:rsidRDefault="00CD7298" w14:paraId="0E2B0422" w14:textId="77777777">
      <w:pPr>
        <w:pBdr>
          <w:top w:val="nil"/>
          <w:left w:val="nil"/>
          <w:bottom w:val="nil"/>
          <w:right w:val="nil"/>
          <w:between w:val="nil"/>
        </w:pBdr>
        <w:rPr>
          <w:rFonts w:eastAsia="Arial Bold" w:cs="Arial"/>
          <w:b/>
          <w:color w:val="000000"/>
          <w:sz w:val="36"/>
          <w:szCs w:val="36"/>
        </w:rPr>
      </w:pPr>
      <w:r w:rsidRPr="0088685B">
        <w:rPr>
          <w:rFonts w:cs="Arial"/>
        </w:rPr>
        <w:br w:type="page"/>
      </w:r>
      <w:r w:rsidRPr="0088685B">
        <w:rPr>
          <w:rFonts w:eastAsia="Arial Bold" w:cs="Arial"/>
          <w:b/>
          <w:color w:val="000000"/>
          <w:sz w:val="36"/>
          <w:szCs w:val="36"/>
        </w:rPr>
        <w:t xml:space="preserve">Part </w:t>
      </w:r>
      <w:bookmarkStart w:name="Part_A" w:id="3"/>
      <w:r w:rsidRPr="00B54538">
        <w:rPr>
          <w:rFonts w:eastAsia="Arial Bold" w:cs="Arial"/>
          <w:b/>
          <w:color w:val="000000"/>
          <w:sz w:val="36"/>
          <w:szCs w:val="36"/>
        </w:rPr>
        <w:t>A</w:t>
      </w:r>
      <w:bookmarkEnd w:id="3"/>
      <w:r w:rsidRPr="0088685B">
        <w:rPr>
          <w:rFonts w:eastAsia="Arial Bold" w:cs="Arial"/>
          <w:b/>
          <w:color w:val="000000"/>
          <w:sz w:val="36"/>
          <w:szCs w:val="36"/>
        </w:rPr>
        <w:t xml:space="preserve">: </w:t>
      </w:r>
      <w:r w:rsidRPr="0088685B" w:rsidR="006D60FB">
        <w:rPr>
          <w:rFonts w:eastAsia="Arial Bold" w:cs="Arial"/>
          <w:b/>
          <w:color w:val="000000"/>
          <w:sz w:val="36"/>
          <w:szCs w:val="36"/>
        </w:rPr>
        <w:t>Key Performance Indicator</w:t>
      </w:r>
      <w:r w:rsidRPr="0088685B">
        <w:rPr>
          <w:rFonts w:eastAsia="Arial Bold" w:cs="Arial"/>
          <w:b/>
          <w:color w:val="000000"/>
          <w:sz w:val="36"/>
          <w:szCs w:val="36"/>
        </w:rPr>
        <w:t xml:space="preserve">s and Service Credits </w:t>
      </w:r>
    </w:p>
    <w:p w:rsidRPr="0088685B" w:rsidR="00CA079E" w:rsidP="00135404" w:rsidRDefault="006D60FB" w14:paraId="234A472C" w14:textId="77777777">
      <w:pPr>
        <w:pStyle w:val="GPSL1CLAUSEHEADING"/>
        <w:numPr>
          <w:ilvl w:val="0"/>
          <w:numId w:val="12"/>
        </w:numPr>
        <w:rPr>
          <w:rFonts w:ascii="Arial" w:hAnsi="Arial"/>
        </w:rPr>
      </w:pPr>
      <w:r w:rsidRPr="0088685B">
        <w:rPr>
          <w:rFonts w:ascii="Arial" w:hAnsi="Arial"/>
        </w:rPr>
        <w:t>Key Performance Indicator</w:t>
      </w:r>
      <w:r w:rsidRPr="0088685B" w:rsidR="00CD7298">
        <w:rPr>
          <w:rFonts w:ascii="Arial" w:hAnsi="Arial"/>
        </w:rPr>
        <w:t>s</w:t>
      </w:r>
    </w:p>
    <w:p w:rsidRPr="0088685B" w:rsidR="00CA079E" w:rsidRDefault="00CD7298" w14:paraId="73992D03" w14:textId="77777777">
      <w:pPr>
        <w:keepNext/>
        <w:spacing w:before="120" w:after="120" w:line="240" w:lineRule="auto"/>
        <w:ind w:left="360"/>
        <w:rPr>
          <w:rFonts w:cs="Arial"/>
        </w:rPr>
      </w:pPr>
      <w:r w:rsidRPr="0088685B">
        <w:rPr>
          <w:rFonts w:cs="Arial"/>
        </w:rPr>
        <w:t>If the level of performance of the Supplier:</w:t>
      </w:r>
    </w:p>
    <w:p w:rsidR="00CA079E" w:rsidP="00135404" w:rsidRDefault="00CD7298" w14:paraId="5660B79C" w14:textId="77777777">
      <w:pPr>
        <w:pStyle w:val="GPSL2numberedclause"/>
      </w:pPr>
      <w:r>
        <w:rPr>
          <w:rFonts w:eastAsia="Arial"/>
        </w:rPr>
        <w:t xml:space="preserve">is likely to or fails to meet any </w:t>
      </w:r>
      <w:r w:rsidR="00587AFB">
        <w:rPr>
          <w:rFonts w:eastAsia="Arial"/>
        </w:rPr>
        <w:t>KPI</w:t>
      </w:r>
      <w:r>
        <w:rPr>
          <w:rFonts w:eastAsia="Arial"/>
        </w:rPr>
        <w:t xml:space="preserve"> Performance Measure; or</w:t>
      </w:r>
    </w:p>
    <w:p w:rsidR="00CA079E" w:rsidP="00135404" w:rsidRDefault="00CD7298" w14:paraId="5770CEB0" w14:textId="77777777">
      <w:pPr>
        <w:pStyle w:val="GPSL2numberedclause"/>
      </w:pPr>
      <w:r>
        <w:rPr>
          <w:rFonts w:eastAsia="Arial"/>
        </w:rPr>
        <w:t xml:space="preserve">is likely to cause or causes a Critical </w:t>
      </w:r>
      <w:r w:rsidR="00C01161">
        <w:rPr>
          <w:rFonts w:eastAsia="Arial"/>
        </w:rPr>
        <w:t xml:space="preserve">KPI </w:t>
      </w:r>
      <w:r>
        <w:rPr>
          <w:rFonts w:eastAsia="Arial"/>
        </w:rPr>
        <w:t xml:space="preserve">Failure to occur, </w:t>
      </w:r>
    </w:p>
    <w:p w:rsidRPr="0088685B" w:rsidR="00CA079E" w:rsidRDefault="00CD7298" w14:paraId="1DB608D0" w14:textId="77777777">
      <w:pPr>
        <w:keepNext/>
        <w:spacing w:before="120" w:after="120" w:line="240" w:lineRule="auto"/>
        <w:ind w:left="360"/>
        <w:rPr>
          <w:rFonts w:cs="Arial"/>
        </w:rPr>
      </w:pPr>
      <w:r w:rsidRPr="0088685B">
        <w:rPr>
          <w:rFonts w:cs="Arial"/>
        </w:rPr>
        <w:t>the Supplier shall immediately notify the Buyer in writing and the Buyer, in its absolute discretion and without limiting any other of its rights, may:</w:t>
      </w:r>
    </w:p>
    <w:p w:rsidR="00CA079E" w:rsidP="00135404" w:rsidRDefault="00CD7298" w14:paraId="6B7CC2FD" w14:textId="77777777">
      <w:pPr>
        <w:pStyle w:val="GPSL3numberedclause"/>
      </w:pPr>
      <w:r>
        <w:t xml:space="preserve">require the Supplier to immediately take all remedial action that is reasonable to mitigate the impact on the Buyer and to rectify or prevent a </w:t>
      </w:r>
      <w:r w:rsidR="0076748B">
        <w:t>KPI F</w:t>
      </w:r>
      <w:r w:rsidR="00E73E7F">
        <w:t>ailure</w:t>
      </w:r>
      <w:r>
        <w:t xml:space="preserve"> or Critical </w:t>
      </w:r>
      <w:r w:rsidR="00C01161">
        <w:t>KPI F</w:t>
      </w:r>
      <w:r w:rsidR="00E73E7F">
        <w:t>ailure</w:t>
      </w:r>
      <w:r>
        <w:t xml:space="preserve"> from taking place or recurring; </w:t>
      </w:r>
    </w:p>
    <w:p w:rsidR="00CA079E" w:rsidP="00135404" w:rsidRDefault="00CD7298" w14:paraId="2C51634A" w14:textId="77777777">
      <w:pPr>
        <w:pStyle w:val="GPSL3numberedclause"/>
      </w:pPr>
      <w:r>
        <w:t xml:space="preserve">instruct the Supplier to comply with the Rectification Plan Process; </w:t>
      </w:r>
    </w:p>
    <w:p w:rsidR="00CA079E" w:rsidP="00135404" w:rsidRDefault="00CD7298" w14:paraId="495ADFA1" w14:textId="77777777">
      <w:pPr>
        <w:pStyle w:val="GPSL3numberedclause"/>
      </w:pPr>
      <w:r>
        <w:t xml:space="preserve">if a </w:t>
      </w:r>
      <w:r w:rsidR="00E73E7F">
        <w:t xml:space="preserve">KPI </w:t>
      </w:r>
      <w:r w:rsidR="00C01161">
        <w:t>F</w:t>
      </w:r>
      <w:r w:rsidR="00E73E7F">
        <w:t>ailure</w:t>
      </w:r>
      <w:r>
        <w:t xml:space="preserve"> has occurred, deduct the applicable Service Credits payable by the Supplier to the Buyer; and/or</w:t>
      </w:r>
    </w:p>
    <w:p w:rsidR="00CA079E" w:rsidP="00135404" w:rsidRDefault="00CD7298" w14:paraId="3E4203D9" w14:textId="77777777">
      <w:pPr>
        <w:pStyle w:val="GPSL3numberedclause"/>
      </w:pPr>
      <w:r>
        <w:t xml:space="preserve">if a Critical </w:t>
      </w:r>
      <w:r w:rsidR="00E73E7F">
        <w:t xml:space="preserve">KPI </w:t>
      </w:r>
      <w:r w:rsidR="00C01161">
        <w:t xml:space="preserve">Failure </w:t>
      </w:r>
      <w:r>
        <w:t xml:space="preserve">has occurred, exercise its right to Compensation for Critical </w:t>
      </w:r>
      <w:r w:rsidR="00E73E7F">
        <w:t xml:space="preserve">KPI </w:t>
      </w:r>
      <w:r w:rsidR="00C01161">
        <w:t xml:space="preserve">Failure </w:t>
      </w:r>
      <w:r>
        <w:t>(including the right to terminate for Material Default and the consequences of termination in Clause 14.5.1 shall apply).</w:t>
      </w:r>
    </w:p>
    <w:p w:rsidRPr="0088685B" w:rsidR="00CA079E" w:rsidP="00135404" w:rsidRDefault="00CD7298" w14:paraId="059A65F1" w14:textId="4558F078" w14:noSpellErr="1">
      <w:pPr>
        <w:pStyle w:val="GPSL1CLAUSEHEADING"/>
        <w:rPr>
          <w:rFonts w:ascii="Arial" w:hAnsi="Arial"/>
        </w:rPr>
      </w:pPr>
      <w:r w:rsidRPr="14C4BEE3" w:rsidR="00CD7298">
        <w:rPr>
          <w:rFonts w:ascii="Arial" w:hAnsi="Arial"/>
        </w:rPr>
        <w:t>Service Credits</w:t>
      </w:r>
      <w:r w:rsidRPr="14C4BEE3" w:rsidR="00F407D7">
        <w:rPr>
          <w:rFonts w:ascii="Arial" w:hAnsi="Arial"/>
        </w:rPr>
        <w:t xml:space="preserve"> – NOT USED</w:t>
      </w:r>
    </w:p>
    <w:p w:rsidR="00CA079E" w:rsidP="00135404" w:rsidRDefault="00CD7298" w14:paraId="0F457451" w14:textId="77777777">
      <w:pPr>
        <w:pStyle w:val="GPSL2numberedclause"/>
      </w:pPr>
      <w:r>
        <w:rPr>
          <w:rFonts w:eastAsia="Arial"/>
        </w:rPr>
        <w:t>The Buyer shall use the Performance Monitoring Reports supplied by the Supplier to verify the calculation and accuracy of the Service Credits, if any, applicable to each Service Period.</w:t>
      </w:r>
    </w:p>
    <w:p w:rsidR="00CA079E" w:rsidP="00135404" w:rsidRDefault="00CD7298" w14:paraId="768C0FE1" w14:textId="77777777" w14:noSpellErr="1">
      <w:pPr>
        <w:pStyle w:val="GPSL2numberedclause"/>
        <w:rPr/>
      </w:pPr>
      <w:r w:rsidRPr="14C4BEE3" w:rsidR="00CD7298">
        <w:rPr>
          <w:rFonts w:eastAsia="Arial"/>
        </w:rPr>
        <w:t xml:space="preserve">Service Credits are a reduction of the amounts payable in respect of the Deliverables and do not include VAT. The Supplier shall set-off the value of any Service Credits against the </w:t>
      </w:r>
      <w:r w:rsidRPr="14C4BEE3" w:rsidR="00CD7298">
        <w:rPr>
          <w:rFonts w:eastAsia="Arial"/>
        </w:rPr>
        <w:t>appropriate invoice</w:t>
      </w:r>
      <w:r w:rsidRPr="14C4BEE3" w:rsidR="00CD7298">
        <w:rPr>
          <w:rFonts w:eastAsia="Arial"/>
        </w:rPr>
        <w:t xml:space="preserve"> </w:t>
      </w:r>
      <w:r w:rsidRPr="14C4BEE3" w:rsidR="00CD7298">
        <w:rPr>
          <w:rFonts w:eastAsia="Arial"/>
        </w:rPr>
        <w:t>in accordance with</w:t>
      </w:r>
      <w:r w:rsidRPr="14C4BEE3" w:rsidR="00CD7298">
        <w:rPr>
          <w:rFonts w:eastAsia="Arial"/>
        </w:rPr>
        <w:t xml:space="preserve"> calculation formula in the Annex to Part A of this Schedule. </w:t>
      </w:r>
    </w:p>
    <w:p w:rsidR="00BB0DF7" w:rsidP="14C4BEE3" w:rsidRDefault="00CD7298" w14:paraId="039342EA" w14:textId="77777777" w14:noSpellErr="1">
      <w:pPr>
        <w:keepNext w:val="1"/>
        <w:pBdr>
          <w:top w:val="nil" w:color="000000" w:sz="0" w:space="0"/>
          <w:left w:val="nil" w:color="000000" w:sz="0" w:space="0"/>
          <w:bottom w:val="nil" w:color="000000" w:sz="0" w:space="0"/>
          <w:right w:val="nil" w:color="000000" w:sz="0" w:space="0"/>
          <w:between w:val="nil" w:color="000000" w:sz="0" w:space="0"/>
        </w:pBdr>
        <w:rPr>
          <w:rFonts w:eastAsia="Arial Bold" w:cs="Arial"/>
          <w:b w:val="1"/>
          <w:bCs w:val="1"/>
          <w:color w:val="000000" w:themeColor="text1"/>
          <w:sz w:val="36"/>
          <w:szCs w:val="36"/>
        </w:rPr>
      </w:pPr>
      <w:r w:rsidRPr="14C4BEE3">
        <w:rPr>
          <w:rFonts w:cs="Arial"/>
        </w:rPr>
        <w:br w:type="page"/>
      </w:r>
      <w:r w:rsidRPr="14C4BEE3" w:rsidR="00CD7298">
        <w:rPr>
          <w:rFonts w:eastAsia="Arial Bold" w:cs="Arial"/>
          <w:b w:val="1"/>
          <w:bCs w:val="1"/>
          <w:color w:val="000000" w:themeColor="text1" w:themeTint="FF" w:themeShade="FF"/>
          <w:sz w:val="36"/>
          <w:szCs w:val="36"/>
        </w:rPr>
        <w:t xml:space="preserve">Annex to Part A: </w:t>
      </w:r>
      <w:r w:rsidRPr="14C4BEE3" w:rsidR="006D60FB">
        <w:rPr>
          <w:rFonts w:eastAsia="Arial Bold" w:cs="Arial"/>
          <w:b w:val="1"/>
          <w:bCs w:val="1"/>
          <w:color w:val="000000" w:themeColor="text1" w:themeTint="FF" w:themeShade="FF"/>
          <w:sz w:val="36"/>
          <w:szCs w:val="36"/>
        </w:rPr>
        <w:t>Key Performance Indicator</w:t>
      </w:r>
      <w:r w:rsidRPr="14C4BEE3" w:rsidR="00CD7298">
        <w:rPr>
          <w:rFonts w:eastAsia="Arial Bold" w:cs="Arial"/>
          <w:b w:val="1"/>
          <w:bCs w:val="1"/>
          <w:color w:val="000000" w:themeColor="text1" w:themeTint="FF" w:themeShade="FF"/>
          <w:sz w:val="36"/>
          <w:szCs w:val="36"/>
        </w:rPr>
        <w:t xml:space="preserve">s and </w:t>
      </w:r>
      <w:r w:rsidRPr="14C4BEE3" w:rsidR="00CD7298">
        <w:rPr>
          <w:rFonts w:eastAsia="Arial Bold" w:cs="Arial"/>
          <w:b w:val="1"/>
          <w:bCs w:val="1"/>
          <w:color w:val="000000" w:themeColor="text1" w:themeTint="FF" w:themeShade="FF"/>
          <w:sz w:val="36"/>
          <w:szCs w:val="36"/>
        </w:rPr>
        <w:t>Service Credits Table</w:t>
      </w:r>
      <w:r w:rsidRPr="14C4BEE3" w:rsidR="00BB0DF7">
        <w:rPr>
          <w:rFonts w:eastAsia="Arial Bold" w:cs="Arial"/>
          <w:b w:val="1"/>
          <w:bCs w:val="1"/>
          <w:color w:val="000000" w:themeColor="text1" w:themeTint="FF" w:themeShade="FF"/>
          <w:sz w:val="36"/>
          <w:szCs w:val="36"/>
        </w:rPr>
        <w:t xml:space="preserve"> </w:t>
      </w:r>
    </w:p>
    <w:p w:rsidR="00C0489A" w:rsidP="00063A76" w:rsidRDefault="00EC0BC6" w14:paraId="44691EDA" w14:textId="29EAB851">
      <w:pPr>
        <w:keepNext/>
        <w:pBdr>
          <w:top w:val="nil"/>
          <w:left w:val="nil"/>
          <w:bottom w:val="nil"/>
          <w:right w:val="nil"/>
          <w:between w:val="nil"/>
        </w:pBdr>
        <w:rPr>
          <w:rFonts w:eastAsia="Arial Bold" w:cs="Arial"/>
          <w:b/>
          <w:bCs/>
          <w:color w:val="000000" w:themeColor="text1"/>
          <w:sz w:val="36"/>
          <w:szCs w:val="36"/>
        </w:rPr>
      </w:pPr>
      <w:r>
        <w:rPr>
          <w:rFonts w:eastAsia="Arial Bold" w:cs="Arial"/>
          <w:b/>
          <w:bCs/>
          <w:color w:val="000000" w:themeColor="text1"/>
          <w:sz w:val="36"/>
          <w:szCs w:val="36"/>
        </w:rPr>
        <w:t xml:space="preserve">SERVICE CREDITS </w:t>
      </w:r>
      <w:r w:rsidR="00BB0DF7">
        <w:rPr>
          <w:rFonts w:eastAsia="Arial Bold" w:cs="Arial"/>
          <w:b/>
          <w:bCs/>
          <w:color w:val="000000" w:themeColor="text1"/>
          <w:sz w:val="36"/>
          <w:szCs w:val="36"/>
        </w:rPr>
        <w:t>NOT USED</w:t>
      </w:r>
    </w:p>
    <w:p w:rsidR="00EC0BC6" w:rsidP="00EC0BC6" w:rsidRDefault="00EC0BC6" w14:paraId="5C62BA51" w14:textId="77777777">
      <w:pPr>
        <w:spacing w:before="120" w:after="120" w:line="240" w:lineRule="auto"/>
        <w:rPr>
          <w:rFonts w:cs="Arial"/>
        </w:rPr>
      </w:pPr>
    </w:p>
    <w:p w:rsidRPr="00EC0BC6" w:rsidR="00EC0BC6" w:rsidP="00EC0BC6" w:rsidRDefault="00EC0BC6" w14:paraId="52928C57" w14:textId="270F8A21">
      <w:pPr>
        <w:spacing w:before="120" w:after="120" w:line="240" w:lineRule="auto"/>
        <w:rPr>
          <w:rFonts w:cs="Arial"/>
        </w:rPr>
        <w:sectPr w:rsidRPr="00EC0BC6" w:rsidR="00EC0BC6" w:rsidSect="00EC0BC6">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9" w:footer="709" w:gutter="0"/>
          <w:pgNumType w:start="1"/>
          <w:cols w:space="720"/>
        </w:sectPr>
      </w:pPr>
      <w:proofErr w:type="spellStart"/>
      <w:r w:rsidRPr="00EC0BC6">
        <w:rPr>
          <w:rFonts w:cs="Arial"/>
        </w:rPr>
        <w:t>Not withstanding</w:t>
      </w:r>
      <w:proofErr w:type="spellEnd"/>
      <w:r w:rsidRPr="00EC0BC6">
        <w:rPr>
          <w:rFonts w:cs="Arial"/>
        </w:rPr>
        <w:t xml:space="preserve"> the provisions in  this Schedule 10 (Performance Levels) or elsewhere in this contract t in relation to  Performance management the  performance related payment regime in Schedule 2 (Statement of Requirements) paragraph 5 shall apply.</w:t>
      </w:r>
    </w:p>
    <w:tbl>
      <w:tblPr>
        <w:tblStyle w:val="TableGrid"/>
        <w:tblW w:w="15469" w:type="dxa"/>
        <w:tblInd w:w="-714" w:type="dxa"/>
        <w:tblLayout w:type="fixed"/>
        <w:tblLook w:val="06A0" w:firstRow="1" w:lastRow="0" w:firstColumn="1" w:lastColumn="0" w:noHBand="1" w:noVBand="1"/>
      </w:tblPr>
      <w:tblGrid>
        <w:gridCol w:w="889"/>
        <w:gridCol w:w="3420"/>
        <w:gridCol w:w="2340"/>
        <w:gridCol w:w="1800"/>
        <w:gridCol w:w="1620"/>
        <w:gridCol w:w="2160"/>
        <w:gridCol w:w="1620"/>
        <w:gridCol w:w="1620"/>
      </w:tblGrid>
      <w:tr w:rsidR="00C449D6" w:rsidTr="000B7E13" w14:paraId="45B76A58" w14:textId="3521B61A">
        <w:trPr>
          <w:trHeight w:val="300"/>
        </w:trPr>
        <w:tc>
          <w:tcPr>
            <w:tcW w:w="889" w:type="dxa"/>
            <w:shd w:val="clear" w:color="auto" w:fill="F2F2F2" w:themeFill="background1" w:themeFillShade="F2"/>
            <w:vAlign w:val="center"/>
          </w:tcPr>
          <w:p w:rsidRPr="00C91A65" w:rsidR="00C449D6" w:rsidP="00813902" w:rsidRDefault="00C449D6" w14:paraId="55F8D61E" w14:textId="77777777">
            <w:pPr>
              <w:jc w:val="center"/>
              <w:rPr>
                <w:rFonts w:ascii="Arial" w:hAnsi="Arial" w:eastAsia="Arial" w:cs="Arial"/>
                <w:b/>
                <w:bCs/>
                <w:color w:val="000000" w:themeColor="text1"/>
              </w:rPr>
            </w:pPr>
            <w:proofErr w:type="spellStart"/>
            <w:r w:rsidRPr="00C91A65">
              <w:rPr>
                <w:rFonts w:ascii="Arial" w:hAnsi="Arial" w:eastAsia="Arial" w:cs="Arial"/>
                <w:b/>
                <w:bCs/>
                <w:color w:val="000000" w:themeColor="text1"/>
              </w:rPr>
              <w:t>KPI</w:t>
            </w:r>
            <w:proofErr w:type="spellEnd"/>
            <w:r w:rsidRPr="00C91A65">
              <w:rPr>
                <w:rFonts w:ascii="Arial" w:hAnsi="Arial" w:eastAsia="Arial" w:cs="Arial"/>
                <w:b/>
                <w:bCs/>
                <w:color w:val="000000" w:themeColor="text1"/>
              </w:rPr>
              <w:t xml:space="preserve"> Name</w:t>
            </w:r>
          </w:p>
        </w:tc>
        <w:tc>
          <w:tcPr>
            <w:tcW w:w="3420" w:type="dxa"/>
            <w:shd w:val="clear" w:color="auto" w:fill="F2F2F2" w:themeFill="background1" w:themeFillShade="F2"/>
            <w:vAlign w:val="center"/>
          </w:tcPr>
          <w:p w:rsidRPr="00C91A65" w:rsidR="00C449D6" w:rsidP="00813902" w:rsidRDefault="00C449D6" w14:paraId="463B232D" w14:textId="77777777">
            <w:pPr>
              <w:jc w:val="center"/>
              <w:rPr>
                <w:rFonts w:ascii="Arial" w:hAnsi="Arial" w:eastAsia="Arial" w:cs="Arial"/>
                <w:b/>
                <w:bCs/>
                <w:color w:val="000000" w:themeColor="text1"/>
              </w:rPr>
            </w:pPr>
            <w:r w:rsidRPr="00C91A65">
              <w:rPr>
                <w:rFonts w:ascii="Arial" w:hAnsi="Arial" w:eastAsia="Arial" w:cs="Arial"/>
                <w:b/>
                <w:bCs/>
                <w:color w:val="000000" w:themeColor="text1"/>
              </w:rPr>
              <w:t>KPI Description</w:t>
            </w:r>
          </w:p>
        </w:tc>
        <w:tc>
          <w:tcPr>
            <w:tcW w:w="2340" w:type="dxa"/>
            <w:shd w:val="clear" w:color="auto" w:fill="F2F2F2" w:themeFill="background1" w:themeFillShade="F2"/>
            <w:vAlign w:val="center"/>
          </w:tcPr>
          <w:p w:rsidRPr="00C91A65" w:rsidR="00C449D6" w:rsidP="00813902" w:rsidRDefault="00C449D6" w14:paraId="4791E0FF" w14:textId="0A21F5BA">
            <w:pPr>
              <w:pStyle w:val="Heading2"/>
              <w:tabs>
                <w:tab w:val="left" w:pos="720"/>
              </w:tabs>
              <w:spacing w:before="160" w:after="80"/>
              <w:jc w:val="center"/>
              <w:rPr>
                <w:rFonts w:ascii="Arial" w:hAnsi="Arial" w:eastAsia="Arial" w:cs="Arial"/>
                <w:color w:val="000000" w:themeColor="text1"/>
                <w:sz w:val="20"/>
                <w:szCs w:val="20"/>
              </w:rPr>
            </w:pPr>
            <w:r>
              <w:rPr>
                <w:rFonts w:ascii="Arial" w:hAnsi="Arial" w:eastAsia="Arial" w:cs="Arial"/>
                <w:color w:val="000000" w:themeColor="text1"/>
                <w:sz w:val="20"/>
                <w:szCs w:val="20"/>
              </w:rPr>
              <w:t>Calculation</w:t>
            </w:r>
          </w:p>
        </w:tc>
        <w:tc>
          <w:tcPr>
            <w:tcW w:w="1800" w:type="dxa"/>
            <w:shd w:val="clear" w:color="auto" w:fill="F2F2F2" w:themeFill="background1" w:themeFillShade="F2"/>
            <w:vAlign w:val="center"/>
          </w:tcPr>
          <w:p w:rsidRPr="00C91A65" w:rsidR="00C449D6" w:rsidP="00813902" w:rsidRDefault="00C449D6" w14:paraId="5FF14E40" w14:textId="78412A33">
            <w:pPr>
              <w:pStyle w:val="Heading2"/>
              <w:tabs>
                <w:tab w:val="left" w:pos="720"/>
              </w:tabs>
              <w:spacing w:before="160" w:after="80"/>
              <w:jc w:val="center"/>
              <w:rPr>
                <w:rFonts w:ascii="Arial" w:hAnsi="Arial" w:eastAsia="Arial" w:cs="Arial"/>
                <w:color w:val="000000" w:themeColor="text1"/>
                <w:sz w:val="20"/>
                <w:szCs w:val="20"/>
              </w:rPr>
            </w:pPr>
            <w:r>
              <w:rPr>
                <w:rFonts w:ascii="Arial" w:hAnsi="Arial" w:eastAsia="Arial" w:cs="Arial"/>
                <w:color w:val="000000" w:themeColor="text1"/>
                <w:sz w:val="20"/>
                <w:szCs w:val="20"/>
              </w:rPr>
              <w:t>Measurement Frequency</w:t>
            </w:r>
            <w:r w:rsidR="00447E13">
              <w:rPr>
                <w:rFonts w:ascii="Arial" w:hAnsi="Arial" w:eastAsia="Arial" w:cs="Arial"/>
                <w:color w:val="000000" w:themeColor="text1"/>
                <w:sz w:val="20"/>
                <w:szCs w:val="20"/>
              </w:rPr>
              <w:t xml:space="preserve"> Threshold</w:t>
            </w:r>
          </w:p>
        </w:tc>
        <w:tc>
          <w:tcPr>
            <w:tcW w:w="1620" w:type="dxa"/>
            <w:shd w:val="clear" w:color="auto" w:fill="F2F2F2" w:themeFill="background1" w:themeFillShade="F2"/>
            <w:vAlign w:val="center"/>
          </w:tcPr>
          <w:p w:rsidRPr="00C91A65" w:rsidR="00C449D6" w:rsidP="00813902" w:rsidRDefault="00C449D6" w14:paraId="65C14CDD" w14:textId="2F1D4815">
            <w:pPr>
              <w:pStyle w:val="Heading2"/>
              <w:tabs>
                <w:tab w:val="left" w:pos="720"/>
              </w:tabs>
              <w:spacing w:before="160" w:after="80"/>
              <w:jc w:val="center"/>
              <w:rPr>
                <w:rFonts w:ascii="Arial" w:hAnsi="Arial" w:eastAsia="Arial" w:cs="Arial"/>
                <w:b w:val="0"/>
                <w:bCs w:val="0"/>
                <w:color w:val="000000" w:themeColor="text1"/>
                <w:sz w:val="20"/>
                <w:szCs w:val="20"/>
              </w:rPr>
            </w:pPr>
            <w:r w:rsidRPr="00C91A65">
              <w:rPr>
                <w:rFonts w:ascii="Arial" w:hAnsi="Arial" w:eastAsia="Arial" w:cs="Arial"/>
                <w:color w:val="000000" w:themeColor="text1"/>
                <w:sz w:val="20"/>
                <w:szCs w:val="20"/>
              </w:rPr>
              <w:t>Inadequate</w:t>
            </w:r>
            <w:r w:rsidR="00447E13">
              <w:rPr>
                <w:rFonts w:ascii="Arial" w:hAnsi="Arial" w:eastAsia="Arial" w:cs="Arial"/>
                <w:color w:val="000000" w:themeColor="text1"/>
                <w:sz w:val="20"/>
                <w:szCs w:val="20"/>
              </w:rPr>
              <w:t xml:space="preserve"> Threshold</w:t>
            </w:r>
          </w:p>
          <w:p w:rsidRPr="00C91A65" w:rsidR="00C449D6" w:rsidP="00813902" w:rsidRDefault="00C449D6" w14:paraId="43AE9A1E" w14:textId="5064BF51">
            <w:pPr>
              <w:jc w:val="center"/>
              <w:rPr>
                <w:rFonts w:ascii="Arial" w:hAnsi="Arial" w:eastAsia="Arial" w:cs="Arial"/>
                <w:b/>
                <w:bCs/>
                <w:color w:val="000000" w:themeColor="text1"/>
              </w:rPr>
            </w:pPr>
          </w:p>
        </w:tc>
        <w:tc>
          <w:tcPr>
            <w:tcW w:w="2160" w:type="dxa"/>
            <w:shd w:val="clear" w:color="auto" w:fill="F2F2F2" w:themeFill="background1" w:themeFillShade="F2"/>
            <w:vAlign w:val="center"/>
          </w:tcPr>
          <w:p w:rsidRPr="00C91A65" w:rsidR="00C449D6" w:rsidP="00813902" w:rsidRDefault="00C449D6" w14:paraId="1C5B56F4" w14:textId="4030C1EF">
            <w:pPr>
              <w:jc w:val="center"/>
              <w:rPr>
                <w:rFonts w:ascii="Arial" w:hAnsi="Arial" w:eastAsia="Arial" w:cs="Arial"/>
                <w:b/>
                <w:bCs/>
                <w:color w:val="000000" w:themeColor="text1"/>
              </w:rPr>
            </w:pPr>
            <w:r w:rsidRPr="00C91A65">
              <w:rPr>
                <w:rFonts w:ascii="Arial" w:hAnsi="Arial" w:eastAsia="Arial" w:cs="Arial"/>
                <w:b/>
                <w:bCs/>
                <w:color w:val="000000" w:themeColor="text1"/>
              </w:rPr>
              <w:t>Requires Improvement</w:t>
            </w:r>
            <w:r w:rsidR="00447E13">
              <w:rPr>
                <w:rFonts w:ascii="Arial" w:hAnsi="Arial" w:eastAsia="Arial" w:cs="Arial"/>
                <w:b/>
                <w:bCs/>
                <w:color w:val="000000" w:themeColor="text1"/>
              </w:rPr>
              <w:t xml:space="preserve"> Threshold</w:t>
            </w:r>
          </w:p>
        </w:tc>
        <w:tc>
          <w:tcPr>
            <w:tcW w:w="1620" w:type="dxa"/>
            <w:shd w:val="clear" w:color="auto" w:fill="F2F2F2" w:themeFill="background1" w:themeFillShade="F2"/>
            <w:vAlign w:val="center"/>
          </w:tcPr>
          <w:p w:rsidRPr="00C91A65" w:rsidR="00C449D6" w:rsidP="00813902" w:rsidRDefault="00C449D6" w14:paraId="77239140" w14:textId="639D7AEE">
            <w:pPr>
              <w:jc w:val="center"/>
              <w:rPr>
                <w:rFonts w:ascii="Arial" w:hAnsi="Arial" w:eastAsia="Arial" w:cs="Arial"/>
                <w:b/>
                <w:bCs/>
                <w:color w:val="000000" w:themeColor="text1"/>
              </w:rPr>
            </w:pPr>
            <w:r w:rsidRPr="00C91A65">
              <w:rPr>
                <w:rFonts w:ascii="Arial" w:hAnsi="Arial" w:eastAsia="Arial" w:cs="Arial"/>
                <w:b/>
                <w:bCs/>
                <w:color w:val="000000" w:themeColor="text1"/>
              </w:rPr>
              <w:t>Approaching Target</w:t>
            </w:r>
            <w:r w:rsidR="00447E13">
              <w:rPr>
                <w:rFonts w:ascii="Arial" w:hAnsi="Arial" w:eastAsia="Arial" w:cs="Arial"/>
                <w:b/>
                <w:bCs/>
                <w:color w:val="000000" w:themeColor="text1"/>
              </w:rPr>
              <w:t xml:space="preserve"> Threshold</w:t>
            </w:r>
          </w:p>
        </w:tc>
        <w:tc>
          <w:tcPr>
            <w:tcW w:w="1620" w:type="dxa"/>
            <w:shd w:val="clear" w:color="auto" w:fill="F2F2F2" w:themeFill="background1" w:themeFillShade="F2"/>
            <w:vAlign w:val="center"/>
          </w:tcPr>
          <w:p w:rsidRPr="00C91A65" w:rsidR="00C449D6" w:rsidP="00813902" w:rsidRDefault="00447E13" w14:paraId="2A883073" w14:textId="5D5325C6">
            <w:pPr>
              <w:pStyle w:val="Heading2"/>
              <w:tabs>
                <w:tab w:val="left" w:pos="720"/>
              </w:tabs>
              <w:spacing w:before="160" w:after="80"/>
              <w:jc w:val="center"/>
              <w:rPr>
                <w:rFonts w:ascii="Arial" w:hAnsi="Arial" w:eastAsia="Arial" w:cs="Arial"/>
                <w:b w:val="0"/>
                <w:bCs w:val="0"/>
                <w:color w:val="000000" w:themeColor="text1"/>
                <w:sz w:val="20"/>
                <w:szCs w:val="20"/>
              </w:rPr>
            </w:pPr>
            <w:r>
              <w:rPr>
                <w:rFonts w:ascii="Arial" w:hAnsi="Arial" w:eastAsia="Arial" w:cs="Arial"/>
                <w:color w:val="000000" w:themeColor="text1"/>
                <w:sz w:val="20"/>
                <w:szCs w:val="20"/>
              </w:rPr>
              <w:t>Performance Measure/</w:t>
            </w:r>
            <w:r w:rsidRPr="00C91A65" w:rsidR="00C449D6">
              <w:rPr>
                <w:rFonts w:ascii="Arial" w:hAnsi="Arial" w:eastAsia="Arial" w:cs="Arial"/>
                <w:color w:val="000000" w:themeColor="text1"/>
                <w:sz w:val="20"/>
                <w:szCs w:val="20"/>
              </w:rPr>
              <w:t>Good</w:t>
            </w:r>
            <w:r>
              <w:rPr>
                <w:rFonts w:ascii="Arial" w:hAnsi="Arial" w:eastAsia="Arial" w:cs="Arial"/>
                <w:color w:val="000000" w:themeColor="text1"/>
                <w:sz w:val="20"/>
                <w:szCs w:val="20"/>
              </w:rPr>
              <w:t xml:space="preserve"> Threshold</w:t>
            </w:r>
          </w:p>
        </w:tc>
      </w:tr>
      <w:tr w:rsidR="00C449D6" w:rsidTr="000B7E13" w14:paraId="05366F40" w14:textId="096FC360">
        <w:trPr>
          <w:trHeight w:val="300"/>
        </w:trPr>
        <w:tc>
          <w:tcPr>
            <w:tcW w:w="889" w:type="dxa"/>
            <w:shd w:val="clear" w:color="auto" w:fill="F2F2F2" w:themeFill="background1" w:themeFillShade="F2"/>
          </w:tcPr>
          <w:p w:rsidRPr="0089533B" w:rsidR="00C449D6" w:rsidRDefault="00C449D6" w14:paraId="28777F26" w14:textId="77777777">
            <w:pPr>
              <w:rPr>
                <w:rFonts w:eastAsia="Arial" w:asciiTheme="minorBidi" w:hAnsiTheme="minorBidi" w:cstheme="minorBidi"/>
                <w:b/>
                <w:bCs/>
                <w:sz w:val="18"/>
                <w:szCs w:val="18"/>
              </w:rPr>
            </w:pPr>
            <w:r w:rsidRPr="0089533B">
              <w:rPr>
                <w:rFonts w:eastAsia="Arial" w:asciiTheme="minorBidi" w:hAnsiTheme="minorBidi" w:cstheme="minorBidi"/>
                <w:b/>
                <w:bCs/>
                <w:sz w:val="18"/>
                <w:szCs w:val="18"/>
              </w:rPr>
              <w:t>KPI-1</w:t>
            </w:r>
          </w:p>
        </w:tc>
        <w:tc>
          <w:tcPr>
            <w:tcW w:w="3420" w:type="dxa"/>
            <w:vAlign w:val="center"/>
          </w:tcPr>
          <w:p w:rsidRPr="00813902" w:rsidR="00C449D6" w:rsidP="0089533B" w:rsidRDefault="00C449D6" w14:paraId="0B558BBB" w14:textId="4FBA694C">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No. of students supported with language tuition and employment support by the end of programme</w:t>
            </w:r>
          </w:p>
        </w:tc>
        <w:tc>
          <w:tcPr>
            <w:tcW w:w="2340" w:type="dxa"/>
            <w:vAlign w:val="center"/>
          </w:tcPr>
          <w:p w:rsidRPr="00813902" w:rsidR="00C449D6" w:rsidP="0089533B" w:rsidRDefault="00C449D6" w14:paraId="6E472267" w14:textId="3A2AF12A">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Total students support</w:t>
            </w:r>
            <w:r>
              <w:rPr>
                <w:rFonts w:eastAsia="Arial" w:asciiTheme="minorBidi" w:hAnsiTheme="minorBidi" w:cstheme="minorBidi"/>
                <w:sz w:val="18"/>
                <w:szCs w:val="18"/>
              </w:rPr>
              <w:t>ed</w:t>
            </w:r>
            <w:r w:rsidRPr="00813902">
              <w:rPr>
                <w:rFonts w:eastAsia="Arial" w:asciiTheme="minorBidi" w:hAnsiTheme="minorBidi" w:cstheme="minorBidi"/>
                <w:sz w:val="18"/>
                <w:szCs w:val="18"/>
              </w:rPr>
              <w:t xml:space="preserve"> = Number of Students receiving language tuition + employment support</w:t>
            </w:r>
            <w:r w:rsidR="00FC53BE">
              <w:rPr>
                <w:rFonts w:eastAsia="Arial" w:asciiTheme="minorBidi" w:hAnsiTheme="minorBidi" w:cstheme="minorBidi"/>
                <w:sz w:val="18"/>
                <w:szCs w:val="18"/>
              </w:rPr>
              <w:t xml:space="preserve"> </w:t>
            </w:r>
          </w:p>
        </w:tc>
        <w:tc>
          <w:tcPr>
            <w:tcW w:w="1800" w:type="dxa"/>
            <w:vAlign w:val="center"/>
          </w:tcPr>
          <w:p w:rsidRPr="00813902" w:rsidR="00C449D6" w:rsidP="0089533B" w:rsidRDefault="00C449D6" w14:paraId="21471A72" w14:textId="5FDA858B">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Quarterly (</w:t>
            </w:r>
            <w:r>
              <w:rPr>
                <w:rFonts w:eastAsia="Arial" w:asciiTheme="minorBidi" w:hAnsiTheme="minorBidi" w:cstheme="minorBidi"/>
                <w:sz w:val="18"/>
                <w:szCs w:val="18"/>
              </w:rPr>
              <w:t xml:space="preserve">by end of contract or </w:t>
            </w:r>
            <w:r w:rsidRPr="00813902">
              <w:rPr>
                <w:rFonts w:eastAsia="Arial" w:asciiTheme="minorBidi" w:hAnsiTheme="minorBidi" w:cstheme="minorBidi"/>
                <w:sz w:val="18"/>
                <w:szCs w:val="18"/>
              </w:rPr>
              <w:t xml:space="preserve">cumulative </w:t>
            </w:r>
            <w:r w:rsidR="00B5713A">
              <w:rPr>
                <w:rFonts w:eastAsia="Arial" w:asciiTheme="minorBidi" w:hAnsiTheme="minorBidi" w:cstheme="minorBidi"/>
                <w:sz w:val="18"/>
                <w:szCs w:val="18"/>
              </w:rPr>
              <w:t>pro-rata equivalent number</w:t>
            </w:r>
            <w:r w:rsidRPr="00813902">
              <w:rPr>
                <w:rFonts w:eastAsia="Arial" w:asciiTheme="minorBidi" w:hAnsiTheme="minorBidi" w:cstheme="minorBidi"/>
                <w:sz w:val="18"/>
                <w:szCs w:val="18"/>
              </w:rPr>
              <w:t>)</w:t>
            </w:r>
          </w:p>
        </w:tc>
        <w:tc>
          <w:tcPr>
            <w:tcW w:w="1620" w:type="dxa"/>
            <w:vAlign w:val="center"/>
          </w:tcPr>
          <w:p w:rsidRPr="00813902" w:rsidR="00C449D6" w:rsidP="0089533B" w:rsidRDefault="00C449D6" w14:paraId="6BDE3DE0" w14:textId="2978B78B">
            <w:pPr>
              <w:jc w:val="center"/>
              <w:rPr>
                <w:rFonts w:eastAsia="Arial" w:asciiTheme="minorBidi" w:hAnsiTheme="minorBidi" w:cstheme="minorBidi"/>
                <w:sz w:val="18"/>
                <w:szCs w:val="18"/>
              </w:rPr>
            </w:pPr>
            <w:r>
              <w:rPr>
                <w:rFonts w:eastAsia="Arial" w:asciiTheme="minorBidi" w:hAnsiTheme="minorBidi" w:cstheme="minorBidi"/>
                <w:sz w:val="18"/>
                <w:szCs w:val="18"/>
              </w:rPr>
              <w:t xml:space="preserve">Inadequate - </w:t>
            </w:r>
            <w:r w:rsidRPr="00813902">
              <w:rPr>
                <w:rFonts w:eastAsia="Arial" w:asciiTheme="minorBidi" w:hAnsiTheme="minorBidi" w:cstheme="minorBidi"/>
                <w:sz w:val="18"/>
                <w:szCs w:val="18"/>
              </w:rPr>
              <w:t>2,999</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2160" w:type="dxa"/>
            <w:vAlign w:val="center"/>
          </w:tcPr>
          <w:p w:rsidRPr="00813902" w:rsidR="00C449D6" w:rsidP="0089533B" w:rsidRDefault="00C449D6" w14:paraId="47F8BC60" w14:textId="1F5E1D5F">
            <w:pPr>
              <w:jc w:val="center"/>
              <w:rPr>
                <w:rFonts w:eastAsia="Arial" w:asciiTheme="minorBidi" w:hAnsiTheme="minorBidi" w:cstheme="minorBidi"/>
                <w:sz w:val="18"/>
                <w:szCs w:val="18"/>
              </w:rPr>
            </w:pPr>
            <w:r>
              <w:rPr>
                <w:rFonts w:eastAsia="Arial" w:asciiTheme="minorBidi" w:hAnsiTheme="minorBidi" w:cstheme="minorBidi"/>
                <w:sz w:val="18"/>
                <w:szCs w:val="18"/>
              </w:rPr>
              <w:t>Requires improvement -</w:t>
            </w:r>
            <w:r w:rsidRPr="00813902">
              <w:rPr>
                <w:rFonts w:eastAsia="Arial" w:asciiTheme="minorBidi" w:hAnsiTheme="minorBidi" w:cstheme="minorBidi"/>
                <w:sz w:val="18"/>
                <w:szCs w:val="18"/>
              </w:rPr>
              <w:t>3,000</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1620" w:type="dxa"/>
            <w:vAlign w:val="center"/>
          </w:tcPr>
          <w:p w:rsidRPr="00813902" w:rsidR="00C449D6" w:rsidP="0089533B" w:rsidRDefault="00C449D6" w14:paraId="2C5F8E69" w14:textId="5BFFEB4A">
            <w:pPr>
              <w:jc w:val="center"/>
              <w:rPr>
                <w:rFonts w:eastAsia="Arial" w:asciiTheme="minorBidi" w:hAnsiTheme="minorBidi" w:cstheme="minorBidi"/>
                <w:sz w:val="18"/>
                <w:szCs w:val="18"/>
              </w:rPr>
            </w:pPr>
            <w:r>
              <w:rPr>
                <w:rFonts w:eastAsia="Arial" w:asciiTheme="minorBidi" w:hAnsiTheme="minorBidi" w:cstheme="minorBidi"/>
                <w:sz w:val="18"/>
                <w:szCs w:val="18"/>
              </w:rPr>
              <w:t xml:space="preserve">Approaching Target - </w:t>
            </w:r>
            <w:r w:rsidRPr="00813902">
              <w:rPr>
                <w:rFonts w:eastAsia="Arial" w:asciiTheme="minorBidi" w:hAnsiTheme="minorBidi" w:cstheme="minorBidi"/>
                <w:sz w:val="18"/>
                <w:szCs w:val="18"/>
              </w:rPr>
              <w:t>3,400</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1620" w:type="dxa"/>
            <w:vAlign w:val="center"/>
          </w:tcPr>
          <w:p w:rsidRPr="00A15BC8" w:rsidR="00C449D6" w:rsidP="0089533B" w:rsidRDefault="00C449D6" w14:paraId="68E71C52" w14:textId="3148FD08">
            <w:pPr>
              <w:pStyle w:val="Heading2"/>
              <w:tabs>
                <w:tab w:val="left" w:pos="720"/>
              </w:tabs>
              <w:spacing w:before="160" w:after="80"/>
              <w:jc w:val="center"/>
              <w:rPr>
                <w:rFonts w:eastAsia="Arial" w:asciiTheme="minorBidi" w:hAnsiTheme="minorBidi" w:cstheme="minorBidi"/>
                <w:b w:val="0"/>
                <w:bCs w:val="0"/>
                <w:color w:val="auto"/>
                <w:sz w:val="18"/>
                <w:szCs w:val="18"/>
              </w:rPr>
            </w:pPr>
            <w:r w:rsidRPr="004663C2">
              <w:rPr>
                <w:rFonts w:eastAsia="Arial" w:asciiTheme="minorBidi" w:hAnsiTheme="minorBidi" w:cstheme="minorBidi"/>
                <w:color w:val="auto"/>
                <w:sz w:val="18"/>
                <w:szCs w:val="18"/>
              </w:rPr>
              <w:t>Good - 3,900</w:t>
            </w:r>
            <w:r w:rsidR="004663C2">
              <w:rPr>
                <w:rFonts w:eastAsia="Arial" w:asciiTheme="minorBidi" w:hAnsiTheme="minorBidi" w:cstheme="minorBidi"/>
                <w:b w:val="0"/>
                <w:bCs w:val="0"/>
                <w:color w:val="auto"/>
                <w:sz w:val="18"/>
                <w:szCs w:val="18"/>
              </w:rPr>
              <w:t xml:space="preserve"> </w:t>
            </w:r>
            <w:r w:rsidRPr="004663C2" w:rsidR="004663C2">
              <w:rPr>
                <w:rFonts w:eastAsia="Arial" w:asciiTheme="minorBidi" w:hAnsiTheme="minorBidi" w:cstheme="minorBidi"/>
                <w:b w:val="0"/>
                <w:bCs w:val="0"/>
                <w:color w:val="auto"/>
                <w:sz w:val="18"/>
                <w:szCs w:val="18"/>
              </w:rPr>
              <w:t>(by end of contract or cumulative pro-rata equivalent number)</w:t>
            </w:r>
          </w:p>
        </w:tc>
      </w:tr>
      <w:tr w:rsidR="00C449D6" w:rsidTr="000B7E13" w14:paraId="4D94DC0D" w14:textId="3AF8B678">
        <w:trPr>
          <w:trHeight w:val="300"/>
        </w:trPr>
        <w:tc>
          <w:tcPr>
            <w:tcW w:w="889" w:type="dxa"/>
            <w:shd w:val="clear" w:color="auto" w:fill="F2F2F2" w:themeFill="background1" w:themeFillShade="F2"/>
          </w:tcPr>
          <w:p w:rsidRPr="0089533B" w:rsidR="00C449D6" w:rsidP="00BA34B5" w:rsidRDefault="00C449D6" w14:paraId="1456AE96" w14:textId="77777777">
            <w:pPr>
              <w:rPr>
                <w:rFonts w:eastAsia="Arial" w:asciiTheme="minorBidi" w:hAnsiTheme="minorBidi" w:cstheme="minorBidi"/>
                <w:b/>
                <w:bCs/>
                <w:sz w:val="18"/>
                <w:szCs w:val="18"/>
              </w:rPr>
            </w:pPr>
            <w:r w:rsidRPr="0089533B">
              <w:rPr>
                <w:rFonts w:eastAsia="Arial" w:asciiTheme="minorBidi" w:hAnsiTheme="minorBidi" w:cstheme="minorBidi"/>
                <w:b/>
                <w:bCs/>
                <w:sz w:val="18"/>
                <w:szCs w:val="18"/>
              </w:rPr>
              <w:t>KPI-2</w:t>
            </w:r>
          </w:p>
        </w:tc>
        <w:tc>
          <w:tcPr>
            <w:tcW w:w="3420" w:type="dxa"/>
            <w:vAlign w:val="center"/>
          </w:tcPr>
          <w:p w:rsidRPr="00813902" w:rsidR="00C449D6" w:rsidP="0089533B" w:rsidRDefault="00C449D6" w14:paraId="5C747D24" w14:textId="56D8DE72">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No. of students (excluding dropouts) that moved at least half a level of Common European Framework of Reference (CEFR) qualification compared to their baseline at the start of the programme.</w:t>
            </w:r>
          </w:p>
        </w:tc>
        <w:tc>
          <w:tcPr>
            <w:tcW w:w="2340" w:type="dxa"/>
            <w:vAlign w:val="center"/>
          </w:tcPr>
          <w:p w:rsidRPr="00813902" w:rsidR="00C449D6" w:rsidP="0089533B" w:rsidRDefault="00C449D6" w14:paraId="23E699C4" w14:textId="713D62EF">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 xml:space="preserve">Students progressed = Count of </w:t>
            </w:r>
            <w:r w:rsidR="003B6270">
              <w:rPr>
                <w:rFonts w:eastAsia="Arial" w:asciiTheme="minorBidi" w:hAnsiTheme="minorBidi" w:cstheme="minorBidi"/>
                <w:sz w:val="18"/>
                <w:szCs w:val="18"/>
              </w:rPr>
              <w:t xml:space="preserve">existing/continuing students (who have not dropped out at time of count) </w:t>
            </w:r>
            <w:r w:rsidRPr="00813902">
              <w:rPr>
                <w:rFonts w:eastAsia="Arial" w:asciiTheme="minorBidi" w:hAnsiTheme="minorBidi" w:cstheme="minorBidi"/>
                <w:sz w:val="18"/>
                <w:szCs w:val="18"/>
              </w:rPr>
              <w:t xml:space="preserve">with 0.5 </w:t>
            </w:r>
            <w:proofErr w:type="spellStart"/>
            <w:r w:rsidRPr="00813902">
              <w:rPr>
                <w:rFonts w:eastAsia="Arial" w:asciiTheme="minorBidi" w:hAnsiTheme="minorBidi" w:cstheme="minorBidi"/>
                <w:sz w:val="18"/>
                <w:szCs w:val="18"/>
              </w:rPr>
              <w:t>CEFR</w:t>
            </w:r>
            <w:proofErr w:type="spellEnd"/>
            <w:r w:rsidRPr="00813902">
              <w:rPr>
                <w:rFonts w:eastAsia="Arial" w:asciiTheme="minorBidi" w:hAnsiTheme="minorBidi" w:cstheme="minorBidi"/>
                <w:sz w:val="18"/>
                <w:szCs w:val="18"/>
              </w:rPr>
              <w:t xml:space="preserve"> level improvement (excluding dropouts)</w:t>
            </w:r>
          </w:p>
        </w:tc>
        <w:tc>
          <w:tcPr>
            <w:tcW w:w="1800" w:type="dxa"/>
            <w:vAlign w:val="center"/>
          </w:tcPr>
          <w:p w:rsidRPr="00813902" w:rsidR="00C449D6" w:rsidP="0089533B" w:rsidRDefault="00C449D6" w14:paraId="27B4B522" w14:textId="2BF4A0BD">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 xml:space="preserve">Quarterly </w:t>
            </w:r>
            <w:r w:rsidRPr="00813902" w:rsidR="0073466F">
              <w:rPr>
                <w:rFonts w:eastAsia="Arial" w:asciiTheme="minorBidi" w:hAnsiTheme="minorBidi" w:cstheme="minorBidi"/>
                <w:sz w:val="18"/>
                <w:szCs w:val="18"/>
              </w:rPr>
              <w:t>(</w:t>
            </w:r>
            <w:r w:rsidR="0073466F">
              <w:rPr>
                <w:rFonts w:eastAsia="Arial" w:asciiTheme="minorBidi" w:hAnsiTheme="minorBidi" w:cstheme="minorBidi"/>
                <w:sz w:val="18"/>
                <w:szCs w:val="18"/>
              </w:rPr>
              <w:t xml:space="preserve">by end of contract or </w:t>
            </w:r>
            <w:r w:rsidRPr="00813902" w:rsidR="0073466F">
              <w:rPr>
                <w:rFonts w:eastAsia="Arial" w:asciiTheme="minorBidi" w:hAnsiTheme="minorBidi" w:cstheme="minorBidi"/>
                <w:sz w:val="18"/>
                <w:szCs w:val="18"/>
              </w:rPr>
              <w:t xml:space="preserve">cumulative </w:t>
            </w:r>
            <w:r w:rsidR="0073466F">
              <w:rPr>
                <w:rFonts w:eastAsia="Arial" w:asciiTheme="minorBidi" w:hAnsiTheme="minorBidi" w:cstheme="minorBidi"/>
                <w:sz w:val="18"/>
                <w:szCs w:val="18"/>
              </w:rPr>
              <w:t>pro-rata equivalent number</w:t>
            </w:r>
            <w:r w:rsidRPr="00813902" w:rsidR="0073466F">
              <w:rPr>
                <w:rFonts w:eastAsia="Arial" w:asciiTheme="minorBidi" w:hAnsiTheme="minorBidi" w:cstheme="minorBidi"/>
                <w:sz w:val="18"/>
                <w:szCs w:val="18"/>
              </w:rPr>
              <w:t>)</w:t>
            </w:r>
          </w:p>
        </w:tc>
        <w:tc>
          <w:tcPr>
            <w:tcW w:w="1620" w:type="dxa"/>
            <w:vAlign w:val="center"/>
          </w:tcPr>
          <w:p w:rsidRPr="00813902" w:rsidR="00C449D6" w:rsidP="0089533B" w:rsidRDefault="00C449D6" w14:paraId="7BF1C74F" w14:textId="0ADF7FF0">
            <w:pPr>
              <w:jc w:val="center"/>
              <w:rPr>
                <w:rFonts w:eastAsia="Arial" w:asciiTheme="minorBidi" w:hAnsiTheme="minorBidi" w:cstheme="minorBidi"/>
                <w:sz w:val="18"/>
                <w:szCs w:val="18"/>
              </w:rPr>
            </w:pPr>
            <w:r>
              <w:rPr>
                <w:rFonts w:eastAsia="Arial" w:asciiTheme="minorBidi" w:hAnsiTheme="minorBidi" w:cstheme="minorBidi"/>
                <w:sz w:val="18"/>
                <w:szCs w:val="18"/>
              </w:rPr>
              <w:t xml:space="preserve">Inadequate - </w:t>
            </w:r>
            <w:r w:rsidRPr="00813902">
              <w:rPr>
                <w:rFonts w:eastAsia="Arial" w:asciiTheme="minorBidi" w:hAnsiTheme="minorBidi" w:cstheme="minorBidi"/>
                <w:sz w:val="18"/>
                <w:szCs w:val="18"/>
              </w:rPr>
              <w:t>2,999</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2160" w:type="dxa"/>
            <w:vAlign w:val="center"/>
          </w:tcPr>
          <w:p w:rsidRPr="00813902" w:rsidR="00C449D6" w:rsidP="0089533B" w:rsidRDefault="00C449D6" w14:paraId="05781DDC" w14:textId="41317DF0">
            <w:pPr>
              <w:jc w:val="center"/>
              <w:rPr>
                <w:rFonts w:eastAsia="Arial" w:asciiTheme="minorBidi" w:hAnsiTheme="minorBidi" w:cstheme="minorBidi"/>
                <w:sz w:val="18"/>
                <w:szCs w:val="18"/>
              </w:rPr>
            </w:pPr>
            <w:r>
              <w:rPr>
                <w:rFonts w:eastAsia="Arial" w:asciiTheme="minorBidi" w:hAnsiTheme="minorBidi" w:cstheme="minorBidi"/>
                <w:sz w:val="18"/>
                <w:szCs w:val="18"/>
              </w:rPr>
              <w:t>Requires improvement -</w:t>
            </w:r>
            <w:r w:rsidRPr="00813902">
              <w:rPr>
                <w:rFonts w:eastAsia="Arial" w:asciiTheme="minorBidi" w:hAnsiTheme="minorBidi" w:cstheme="minorBidi"/>
                <w:sz w:val="18"/>
                <w:szCs w:val="18"/>
              </w:rPr>
              <w:t>3,000</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1620" w:type="dxa"/>
            <w:vAlign w:val="center"/>
          </w:tcPr>
          <w:p w:rsidRPr="00813902" w:rsidR="00C449D6" w:rsidP="0089533B" w:rsidRDefault="00C449D6" w14:paraId="6C1E33A5" w14:textId="4136ED5C">
            <w:pPr>
              <w:jc w:val="center"/>
              <w:rPr>
                <w:rFonts w:eastAsia="Arial" w:asciiTheme="minorBidi" w:hAnsiTheme="minorBidi" w:cstheme="minorBidi"/>
                <w:sz w:val="18"/>
                <w:szCs w:val="18"/>
              </w:rPr>
            </w:pPr>
            <w:r>
              <w:rPr>
                <w:rFonts w:eastAsia="Arial" w:asciiTheme="minorBidi" w:hAnsiTheme="minorBidi" w:cstheme="minorBidi"/>
                <w:sz w:val="18"/>
                <w:szCs w:val="18"/>
              </w:rPr>
              <w:t xml:space="preserve">Approaching Target - </w:t>
            </w:r>
            <w:r w:rsidRPr="00813902">
              <w:rPr>
                <w:rFonts w:eastAsia="Arial" w:asciiTheme="minorBidi" w:hAnsiTheme="minorBidi" w:cstheme="minorBidi"/>
                <w:sz w:val="18"/>
                <w:szCs w:val="18"/>
              </w:rPr>
              <w:t>3,400</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1620" w:type="dxa"/>
            <w:vAlign w:val="center"/>
          </w:tcPr>
          <w:p w:rsidRPr="00813902" w:rsidR="00C449D6" w:rsidP="0089533B" w:rsidRDefault="00C449D6" w14:paraId="5DB04005" w14:textId="2AB9F1CF">
            <w:pPr>
              <w:jc w:val="center"/>
              <w:rPr>
                <w:rFonts w:eastAsia="Arial" w:asciiTheme="minorBidi" w:hAnsiTheme="minorBidi" w:cstheme="minorBidi"/>
                <w:sz w:val="18"/>
                <w:szCs w:val="18"/>
              </w:rPr>
            </w:pPr>
            <w:r w:rsidRPr="00A15BC8">
              <w:rPr>
                <w:rFonts w:eastAsia="Arial" w:asciiTheme="minorBidi" w:hAnsiTheme="minorBidi" w:cstheme="minorBidi"/>
                <w:b/>
                <w:bCs/>
                <w:sz w:val="18"/>
                <w:szCs w:val="18"/>
              </w:rPr>
              <w:t>Good - 3,900</w:t>
            </w:r>
            <w:r w:rsidR="004663C2">
              <w:rPr>
                <w:rFonts w:eastAsia="Arial" w:asciiTheme="minorBidi" w:hAnsiTheme="minorBidi" w:cstheme="minorBidi"/>
                <w:b/>
                <w:bCs/>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r>
      <w:tr w:rsidR="00C449D6" w:rsidTr="000B7E13" w14:paraId="444C3D78" w14:textId="22FBB221">
        <w:trPr>
          <w:trHeight w:val="300"/>
        </w:trPr>
        <w:tc>
          <w:tcPr>
            <w:tcW w:w="889" w:type="dxa"/>
            <w:shd w:val="clear" w:color="auto" w:fill="F2F2F2" w:themeFill="background1" w:themeFillShade="F2"/>
          </w:tcPr>
          <w:p w:rsidRPr="0089533B" w:rsidR="00C449D6" w:rsidRDefault="00C449D6" w14:paraId="62CACF90" w14:textId="77777777">
            <w:pPr>
              <w:rPr>
                <w:rFonts w:eastAsia="Arial" w:asciiTheme="minorBidi" w:hAnsiTheme="minorBidi" w:cstheme="minorBidi"/>
                <w:b/>
                <w:bCs/>
                <w:sz w:val="18"/>
                <w:szCs w:val="18"/>
              </w:rPr>
            </w:pPr>
            <w:r w:rsidRPr="0089533B">
              <w:rPr>
                <w:rFonts w:eastAsia="Arial" w:asciiTheme="minorBidi" w:hAnsiTheme="minorBidi" w:cstheme="minorBidi"/>
                <w:b/>
                <w:bCs/>
                <w:sz w:val="18"/>
                <w:szCs w:val="18"/>
              </w:rPr>
              <w:t>KPI-3</w:t>
            </w:r>
          </w:p>
        </w:tc>
        <w:tc>
          <w:tcPr>
            <w:tcW w:w="3420" w:type="dxa"/>
            <w:vAlign w:val="center"/>
          </w:tcPr>
          <w:p w:rsidRPr="00813902" w:rsidR="00C449D6" w:rsidP="0089533B" w:rsidRDefault="00C449D6" w14:paraId="1989B649" w14:textId="5357DEE6">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 of all students (excluding dropouts) to have a tailored support plan which identifies barriers to employment with agreed steps to reducing these barriers</w:t>
            </w:r>
          </w:p>
        </w:tc>
        <w:tc>
          <w:tcPr>
            <w:tcW w:w="2340" w:type="dxa"/>
            <w:vAlign w:val="center"/>
          </w:tcPr>
          <w:p w:rsidRPr="00813902" w:rsidR="00C449D6" w:rsidP="0089533B" w:rsidRDefault="00C449D6" w14:paraId="64650FFD" w14:textId="003E0C9F">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 xml:space="preserve">% = Number of students with tailored support plans / Total number of students </w:t>
            </w:r>
            <w:r w:rsidR="003B6270">
              <w:rPr>
                <w:rFonts w:eastAsia="Arial" w:asciiTheme="minorBidi" w:hAnsiTheme="minorBidi" w:cstheme="minorBidi"/>
                <w:sz w:val="18"/>
                <w:szCs w:val="18"/>
              </w:rPr>
              <w:t xml:space="preserve">(who have not dropped out at time of count) </w:t>
            </w:r>
            <w:r w:rsidRPr="00813902">
              <w:rPr>
                <w:rFonts w:eastAsia="Arial" w:asciiTheme="minorBidi" w:hAnsiTheme="minorBidi" w:cstheme="minorBidi"/>
                <w:sz w:val="18"/>
                <w:szCs w:val="18"/>
              </w:rPr>
              <w:t>x 100</w:t>
            </w:r>
          </w:p>
        </w:tc>
        <w:tc>
          <w:tcPr>
            <w:tcW w:w="1800" w:type="dxa"/>
            <w:vAlign w:val="center"/>
          </w:tcPr>
          <w:p w:rsidRPr="00813902" w:rsidR="00C449D6" w:rsidP="0089533B" w:rsidRDefault="00C449D6" w14:paraId="699F39CE" w14:textId="2AA076C7">
            <w:pPr>
              <w:jc w:val="center"/>
              <w:rPr>
                <w:rFonts w:eastAsia="Arial" w:asciiTheme="minorBidi" w:hAnsiTheme="minorBidi" w:cstheme="minorBidi"/>
                <w:sz w:val="18"/>
                <w:szCs w:val="18"/>
              </w:rPr>
            </w:pPr>
            <w:r w:rsidRPr="00813902">
              <w:rPr>
                <w:rFonts w:eastAsia="Arial" w:asciiTheme="minorBidi" w:hAnsiTheme="minorBidi" w:cstheme="minorBidi"/>
                <w:sz w:val="18"/>
                <w:szCs w:val="18"/>
              </w:rPr>
              <w:t xml:space="preserve">Quarterly </w:t>
            </w:r>
            <w:r w:rsidRPr="00813902" w:rsidR="0073466F">
              <w:rPr>
                <w:rFonts w:eastAsia="Arial" w:asciiTheme="minorBidi" w:hAnsiTheme="minorBidi" w:cstheme="minorBidi"/>
                <w:sz w:val="18"/>
                <w:szCs w:val="18"/>
              </w:rPr>
              <w:t>(</w:t>
            </w:r>
            <w:r w:rsidR="0073466F">
              <w:rPr>
                <w:rFonts w:eastAsia="Arial" w:asciiTheme="minorBidi" w:hAnsiTheme="minorBidi" w:cstheme="minorBidi"/>
                <w:sz w:val="18"/>
                <w:szCs w:val="18"/>
              </w:rPr>
              <w:t xml:space="preserve">by end of contract or </w:t>
            </w:r>
            <w:r w:rsidRPr="00813902" w:rsidR="0073466F">
              <w:rPr>
                <w:rFonts w:eastAsia="Arial" w:asciiTheme="minorBidi" w:hAnsiTheme="minorBidi" w:cstheme="minorBidi"/>
                <w:sz w:val="18"/>
                <w:szCs w:val="18"/>
              </w:rPr>
              <w:t xml:space="preserve">cumulative </w:t>
            </w:r>
            <w:r w:rsidR="0073466F">
              <w:rPr>
                <w:rFonts w:eastAsia="Arial" w:asciiTheme="minorBidi" w:hAnsiTheme="minorBidi" w:cstheme="minorBidi"/>
                <w:sz w:val="18"/>
                <w:szCs w:val="18"/>
              </w:rPr>
              <w:t>pro-rata equivalent number</w:t>
            </w:r>
            <w:r w:rsidRPr="00813902" w:rsidR="0073466F">
              <w:rPr>
                <w:rFonts w:eastAsia="Arial" w:asciiTheme="minorBidi" w:hAnsiTheme="minorBidi" w:cstheme="minorBidi"/>
                <w:sz w:val="18"/>
                <w:szCs w:val="18"/>
              </w:rPr>
              <w:t>)</w:t>
            </w:r>
          </w:p>
        </w:tc>
        <w:tc>
          <w:tcPr>
            <w:tcW w:w="1620" w:type="dxa"/>
            <w:vAlign w:val="center"/>
          </w:tcPr>
          <w:p w:rsidRPr="00813902" w:rsidR="00C449D6" w:rsidP="0089533B" w:rsidRDefault="00C449D6" w14:paraId="5322C25E" w14:textId="02B734F0">
            <w:pPr>
              <w:jc w:val="center"/>
              <w:rPr>
                <w:rFonts w:eastAsia="Arial" w:asciiTheme="minorBidi" w:hAnsiTheme="minorBidi" w:cstheme="minorBidi"/>
                <w:sz w:val="18"/>
                <w:szCs w:val="18"/>
              </w:rPr>
            </w:pPr>
            <w:r>
              <w:rPr>
                <w:rFonts w:eastAsia="Arial" w:asciiTheme="minorBidi" w:hAnsiTheme="minorBidi" w:cstheme="minorBidi"/>
                <w:sz w:val="18"/>
                <w:szCs w:val="18"/>
              </w:rPr>
              <w:t xml:space="preserve">Inadequate - </w:t>
            </w:r>
            <w:r w:rsidRPr="00813902">
              <w:rPr>
                <w:rFonts w:eastAsia="Arial" w:asciiTheme="minorBidi" w:hAnsiTheme="minorBidi" w:cstheme="minorBidi"/>
                <w:sz w:val="18"/>
                <w:szCs w:val="18"/>
              </w:rPr>
              <w:t>79% or less</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2160" w:type="dxa"/>
            <w:vAlign w:val="center"/>
          </w:tcPr>
          <w:p w:rsidRPr="00813902" w:rsidR="00C449D6" w:rsidP="0089533B" w:rsidRDefault="00C449D6" w14:paraId="778784A9" w14:textId="28A2880A">
            <w:pPr>
              <w:jc w:val="center"/>
              <w:rPr>
                <w:rFonts w:eastAsia="Arial" w:asciiTheme="minorBidi" w:hAnsiTheme="minorBidi" w:cstheme="minorBidi"/>
                <w:sz w:val="18"/>
                <w:szCs w:val="18"/>
              </w:rPr>
            </w:pPr>
            <w:r>
              <w:rPr>
                <w:rFonts w:eastAsia="Arial" w:asciiTheme="minorBidi" w:hAnsiTheme="minorBidi" w:cstheme="minorBidi"/>
                <w:sz w:val="18"/>
                <w:szCs w:val="18"/>
              </w:rPr>
              <w:t xml:space="preserve">Requires Improvement - </w:t>
            </w:r>
            <w:r w:rsidRPr="00813902">
              <w:rPr>
                <w:rFonts w:eastAsia="Arial" w:asciiTheme="minorBidi" w:hAnsiTheme="minorBidi" w:cstheme="minorBidi"/>
                <w:sz w:val="18"/>
                <w:szCs w:val="18"/>
              </w:rPr>
              <w:t>80%</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1620" w:type="dxa"/>
            <w:vAlign w:val="center"/>
          </w:tcPr>
          <w:p w:rsidRPr="00813902" w:rsidR="00C449D6" w:rsidP="0089533B" w:rsidRDefault="00C449D6" w14:paraId="24F9328B" w14:textId="1AAEE6E8">
            <w:pPr>
              <w:jc w:val="center"/>
              <w:rPr>
                <w:rFonts w:eastAsia="Arial" w:asciiTheme="minorBidi" w:hAnsiTheme="minorBidi" w:cstheme="minorBidi"/>
                <w:sz w:val="18"/>
                <w:szCs w:val="18"/>
              </w:rPr>
            </w:pPr>
            <w:r>
              <w:rPr>
                <w:rFonts w:eastAsia="Arial" w:asciiTheme="minorBidi" w:hAnsiTheme="minorBidi" w:cstheme="minorBidi"/>
                <w:sz w:val="18"/>
                <w:szCs w:val="18"/>
              </w:rPr>
              <w:t xml:space="preserve">Approaching Target - </w:t>
            </w:r>
            <w:r w:rsidRPr="00813902">
              <w:rPr>
                <w:rFonts w:eastAsia="Arial" w:asciiTheme="minorBidi" w:hAnsiTheme="minorBidi" w:cstheme="minorBidi"/>
                <w:sz w:val="18"/>
                <w:szCs w:val="18"/>
              </w:rPr>
              <w:t>85%</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c>
          <w:tcPr>
            <w:tcW w:w="1620" w:type="dxa"/>
            <w:vAlign w:val="center"/>
          </w:tcPr>
          <w:p w:rsidRPr="00813902" w:rsidR="00C449D6" w:rsidP="0089533B" w:rsidRDefault="00C449D6" w14:paraId="0714CEC0" w14:textId="099E2CE4">
            <w:pPr>
              <w:jc w:val="center"/>
              <w:rPr>
                <w:rFonts w:eastAsia="Arial" w:asciiTheme="minorBidi" w:hAnsiTheme="minorBidi" w:cstheme="minorBidi"/>
                <w:sz w:val="18"/>
                <w:szCs w:val="18"/>
              </w:rPr>
            </w:pPr>
            <w:r w:rsidRPr="004663C2">
              <w:rPr>
                <w:rFonts w:eastAsia="Arial" w:asciiTheme="minorBidi" w:hAnsiTheme="minorBidi" w:cstheme="minorBidi"/>
                <w:b/>
                <w:bCs/>
                <w:sz w:val="18"/>
                <w:szCs w:val="18"/>
              </w:rPr>
              <w:t>Good - 90%</w:t>
            </w:r>
            <w:r w:rsidR="004663C2">
              <w:rPr>
                <w:rFonts w:eastAsia="Arial" w:asciiTheme="minorBidi" w:hAnsiTheme="minorBidi" w:cstheme="minorBidi"/>
                <w:sz w:val="18"/>
                <w:szCs w:val="18"/>
              </w:rPr>
              <w:t xml:space="preserve"> </w:t>
            </w:r>
            <w:r w:rsidRPr="00813902" w:rsidR="004663C2">
              <w:rPr>
                <w:rFonts w:eastAsia="Arial" w:asciiTheme="minorBidi" w:hAnsiTheme="minorBidi" w:cstheme="minorBidi"/>
                <w:sz w:val="18"/>
                <w:szCs w:val="18"/>
              </w:rPr>
              <w:t>(</w:t>
            </w:r>
            <w:r w:rsidR="004663C2">
              <w:rPr>
                <w:rFonts w:eastAsia="Arial" w:asciiTheme="minorBidi" w:hAnsiTheme="minorBidi" w:cstheme="minorBidi"/>
                <w:sz w:val="18"/>
                <w:szCs w:val="18"/>
              </w:rPr>
              <w:t xml:space="preserve">by end of contract or </w:t>
            </w:r>
            <w:r w:rsidRPr="00813902" w:rsidR="004663C2">
              <w:rPr>
                <w:rFonts w:eastAsia="Arial" w:asciiTheme="minorBidi" w:hAnsiTheme="minorBidi" w:cstheme="minorBidi"/>
                <w:sz w:val="18"/>
                <w:szCs w:val="18"/>
              </w:rPr>
              <w:t xml:space="preserve">cumulative </w:t>
            </w:r>
            <w:r w:rsidR="004663C2">
              <w:rPr>
                <w:rFonts w:eastAsia="Arial" w:asciiTheme="minorBidi" w:hAnsiTheme="minorBidi" w:cstheme="minorBidi"/>
                <w:sz w:val="18"/>
                <w:szCs w:val="18"/>
              </w:rPr>
              <w:t>pro-rata equivalent number</w:t>
            </w:r>
            <w:r w:rsidRPr="00813902" w:rsidR="004663C2">
              <w:rPr>
                <w:rFonts w:eastAsia="Arial" w:asciiTheme="minorBidi" w:hAnsiTheme="minorBidi" w:cstheme="minorBidi"/>
                <w:sz w:val="18"/>
                <w:szCs w:val="18"/>
              </w:rPr>
              <w:t>)</w:t>
            </w:r>
          </w:p>
        </w:tc>
      </w:tr>
      <w:tr w:rsidR="00C527B4" w14:paraId="5719D8FC" w14:textId="77777777">
        <w:trPr>
          <w:trHeight w:val="300"/>
        </w:trPr>
        <w:tc>
          <w:tcPr>
            <w:tcW w:w="15469" w:type="dxa"/>
            <w:gridSpan w:val="8"/>
            <w:shd w:val="clear" w:color="auto" w:fill="F2F2F2" w:themeFill="background1" w:themeFillShade="F2"/>
          </w:tcPr>
          <w:p w:rsidRPr="00813902" w:rsidR="00C527B4" w:rsidP="000B7E13" w:rsidRDefault="00C527B4" w14:paraId="64B06F0B" w14:textId="77777777">
            <w:pPr>
              <w:jc w:val="center"/>
              <w:rPr>
                <w:rFonts w:eastAsia="Arial" w:asciiTheme="minorBidi" w:hAnsiTheme="minorBidi" w:cstheme="minorBidi"/>
                <w:b/>
                <w:bCs/>
                <w:sz w:val="18"/>
                <w:szCs w:val="18"/>
              </w:rPr>
            </w:pPr>
            <w:r w:rsidRPr="00813902">
              <w:rPr>
                <w:rFonts w:eastAsia="Arial" w:asciiTheme="minorBidi" w:hAnsiTheme="minorBidi" w:cstheme="minorBidi"/>
                <w:b/>
                <w:bCs/>
                <w:sz w:val="18"/>
                <w:szCs w:val="18"/>
              </w:rPr>
              <w:t xml:space="preserve">Social Value Deliverables – </w:t>
            </w:r>
          </w:p>
          <w:p w:rsidRPr="00813902" w:rsidR="00C527B4" w:rsidP="000B7E13" w:rsidRDefault="00C527B4" w14:paraId="63BCA52F" w14:textId="5FA0E677">
            <w:pPr>
              <w:rPr>
                <w:rFonts w:asciiTheme="minorBidi" w:hAnsiTheme="minorBidi" w:cstheme="minorBidi"/>
                <w:b/>
                <w:bCs/>
                <w:sz w:val="18"/>
                <w:szCs w:val="18"/>
              </w:rPr>
            </w:pPr>
            <w:r w:rsidRPr="00813902">
              <w:rPr>
                <w:rFonts w:eastAsia="Arial" w:asciiTheme="minorBidi" w:hAnsiTheme="minorBidi" w:cstheme="minorBidi"/>
                <w:b/>
                <w:bCs/>
                <w:sz w:val="18"/>
                <w:szCs w:val="18"/>
              </w:rPr>
              <w:t>As agreed and detailed in the Tender Response in Schedule 4 of the contract and to be reviewed and confirmed during mobilisation</w:t>
            </w:r>
          </w:p>
        </w:tc>
      </w:tr>
      <w:tr w:rsidR="0008341F" w:rsidTr="00681779" w14:paraId="28F96B96" w14:textId="77777777">
        <w:trPr>
          <w:trHeight w:val="300"/>
        </w:trPr>
        <w:tc>
          <w:tcPr>
            <w:tcW w:w="13892" w:type="dxa"/>
            <w:gridSpan w:val="8"/>
            <w:shd w:val="clear" w:color="auto" w:fill="F2F2F2" w:themeFill="background1" w:themeFillShade="F2"/>
          </w:tcPr>
          <w:p w:rsidR="00147E88" w:rsidP="00A31B29" w:rsidRDefault="00A31B29" w14:paraId="28512D0C" w14:textId="77777777">
            <w:pPr>
              <w:rPr>
                <w:rFonts w:asciiTheme="minorBidi" w:hAnsiTheme="minorBidi" w:cstheme="minorBidi"/>
                <w:sz w:val="18"/>
                <w:szCs w:val="18"/>
              </w:rPr>
            </w:pPr>
            <w:r w:rsidRPr="003F0BEE">
              <w:rPr>
                <w:rFonts w:asciiTheme="minorBidi" w:hAnsiTheme="minorBidi" w:cstheme="minorBidi"/>
                <w:b/>
                <w:sz w:val="18"/>
                <w:szCs w:val="18"/>
              </w:rPr>
              <w:t xml:space="preserve">Social Value </w:t>
            </w:r>
            <w:proofErr w:type="spellStart"/>
            <w:r w:rsidRPr="003F0BEE">
              <w:rPr>
                <w:rFonts w:asciiTheme="minorBidi" w:hAnsiTheme="minorBidi" w:cstheme="minorBidi"/>
                <w:b/>
                <w:sz w:val="18"/>
                <w:szCs w:val="18"/>
              </w:rPr>
              <w:t>KPI</w:t>
            </w:r>
            <w:proofErr w:type="spellEnd"/>
            <w:r w:rsidRPr="003F0BEE">
              <w:rPr>
                <w:rFonts w:asciiTheme="minorBidi" w:hAnsiTheme="minorBidi" w:cstheme="minorBidi"/>
                <w:b/>
                <w:sz w:val="18"/>
                <w:szCs w:val="18"/>
              </w:rPr>
              <w:t xml:space="preserve">: </w:t>
            </w:r>
            <w:r w:rsidRPr="003F0BEE">
              <w:rPr>
                <w:rFonts w:asciiTheme="minorBidi" w:hAnsiTheme="minorBidi" w:cstheme="minorBidi"/>
                <w:sz w:val="18"/>
                <w:szCs w:val="18"/>
              </w:rPr>
              <w:t>% SV deliverables delivered as per SV delivery plan in Schedule 4</w:t>
            </w:r>
          </w:p>
          <w:p w:rsidRPr="003F0BEE" w:rsidR="00A31B29" w:rsidP="00A31B29" w:rsidRDefault="00147E88" w14:paraId="6327920C" w14:textId="5F210116">
            <w:pPr>
              <w:rPr>
                <w:rFonts w:asciiTheme="minorBidi" w:hAnsiTheme="minorBidi" w:cstheme="minorBidi"/>
                <w:sz w:val="18"/>
                <w:szCs w:val="18"/>
              </w:rPr>
            </w:pPr>
            <w:r w:rsidRPr="00147E88">
              <w:rPr>
                <w:rFonts w:asciiTheme="minorBidi" w:hAnsiTheme="minorBidi" w:cstheme="minorBidi"/>
                <w:b/>
                <w:bCs/>
                <w:sz w:val="18"/>
                <w:szCs w:val="18"/>
              </w:rPr>
              <w:t>Calculation</w:t>
            </w:r>
            <w:r>
              <w:rPr>
                <w:rFonts w:asciiTheme="minorBidi" w:hAnsiTheme="minorBidi" w:cstheme="minorBidi"/>
                <w:sz w:val="18"/>
                <w:szCs w:val="18"/>
              </w:rPr>
              <w:t>:</w:t>
            </w:r>
            <w:r w:rsidRPr="003F0BEE" w:rsidR="00A31B29">
              <w:rPr>
                <w:rFonts w:asciiTheme="minorBidi" w:hAnsiTheme="minorBidi" w:cstheme="minorBidi"/>
                <w:sz w:val="18"/>
                <w:szCs w:val="18"/>
              </w:rPr>
              <w:t xml:space="preserve"> (Total Number of Scheduled/due SV Deliverables due and fulfilled by measurement date)/(</w:t>
            </w:r>
            <w:r w:rsidR="00681105">
              <w:rPr>
                <w:rFonts w:asciiTheme="minorBidi" w:hAnsiTheme="minorBidi" w:cstheme="minorBidi"/>
                <w:sz w:val="18"/>
                <w:szCs w:val="18"/>
              </w:rPr>
              <w:t>Total</w:t>
            </w:r>
            <w:r w:rsidRPr="003F0BEE" w:rsidR="00A31B29">
              <w:rPr>
                <w:rFonts w:asciiTheme="minorBidi" w:hAnsiTheme="minorBidi" w:cstheme="minorBidi"/>
                <w:sz w:val="18"/>
                <w:szCs w:val="18"/>
              </w:rPr>
              <w:t xml:space="preserve"> Number of SV Deliverables Scheduled for delivery by this measurement date)</w:t>
            </w:r>
          </w:p>
          <w:p w:rsidRPr="003F0BEE" w:rsidR="00A31B29" w:rsidP="00A31B29" w:rsidRDefault="00A31B29" w14:paraId="001ABE84" w14:textId="3682056E">
            <w:pPr>
              <w:rPr>
                <w:rFonts w:asciiTheme="minorBidi" w:hAnsiTheme="minorBidi" w:cstheme="minorBidi"/>
                <w:b/>
                <w:sz w:val="18"/>
                <w:szCs w:val="18"/>
              </w:rPr>
            </w:pPr>
            <w:r w:rsidRPr="003F0BEE">
              <w:rPr>
                <w:rFonts w:asciiTheme="minorBidi" w:hAnsiTheme="minorBidi" w:cstheme="minorBidi"/>
                <w:b/>
                <w:sz w:val="18"/>
                <w:szCs w:val="18"/>
              </w:rPr>
              <w:t>Target</w:t>
            </w:r>
            <w:r w:rsidRPr="00DD1CDC">
              <w:rPr>
                <w:rFonts w:asciiTheme="minorBidi" w:hAnsiTheme="minorBidi" w:cstheme="minorBidi"/>
                <w:b/>
                <w:sz w:val="18"/>
                <w:szCs w:val="18"/>
              </w:rPr>
              <w:t xml:space="preserve">: </w:t>
            </w:r>
            <w:r w:rsidRPr="00DD1CDC">
              <w:rPr>
                <w:rFonts w:asciiTheme="minorBidi" w:hAnsiTheme="minorBidi" w:cstheme="minorBidi"/>
                <w:sz w:val="18"/>
                <w:szCs w:val="18"/>
              </w:rPr>
              <w:t>&gt;95%</w:t>
            </w:r>
          </w:p>
          <w:p w:rsidRPr="003F0BEE" w:rsidR="00A31B29" w:rsidP="00A31B29" w:rsidRDefault="00A31B29" w14:paraId="1D0B6D80" w14:textId="77777777">
            <w:pPr>
              <w:rPr>
                <w:rFonts w:asciiTheme="minorBidi" w:hAnsiTheme="minorBidi" w:cstheme="minorBidi"/>
                <w:b/>
                <w:sz w:val="18"/>
                <w:szCs w:val="18"/>
              </w:rPr>
            </w:pPr>
            <w:r w:rsidRPr="003F0BEE">
              <w:rPr>
                <w:rFonts w:asciiTheme="minorBidi" w:hAnsiTheme="minorBidi" w:cstheme="minorBidi"/>
                <w:b/>
                <w:sz w:val="18"/>
                <w:szCs w:val="18"/>
              </w:rPr>
              <w:t xml:space="preserve">Approaching Target: </w:t>
            </w:r>
            <w:r w:rsidRPr="003F0BEE">
              <w:rPr>
                <w:rFonts w:asciiTheme="minorBidi" w:hAnsiTheme="minorBidi" w:cstheme="minorBidi"/>
                <w:sz w:val="18"/>
                <w:szCs w:val="18"/>
              </w:rPr>
              <w:t>&lt; 95% i.e. less than 95%</w:t>
            </w:r>
          </w:p>
          <w:p w:rsidRPr="00813902" w:rsidR="00A31B29" w:rsidP="00A31B29" w:rsidRDefault="00A31B29" w14:paraId="7A264386" w14:textId="4EF015FE">
            <w:pPr>
              <w:rPr>
                <w:rFonts w:eastAsia="Arial" w:asciiTheme="minorBidi" w:hAnsiTheme="minorBidi" w:cstheme="minorBidi"/>
                <w:b/>
                <w:bCs/>
                <w:sz w:val="18"/>
                <w:szCs w:val="18"/>
              </w:rPr>
            </w:pPr>
            <w:r w:rsidRPr="003F0BEE">
              <w:rPr>
                <w:rFonts w:asciiTheme="minorBidi" w:hAnsiTheme="minorBidi" w:cstheme="minorBidi"/>
                <w:b/>
                <w:sz w:val="18"/>
                <w:szCs w:val="18"/>
              </w:rPr>
              <w:t xml:space="preserve">Inadequate: </w:t>
            </w:r>
            <w:r w:rsidRPr="003F0BEE">
              <w:rPr>
                <w:rFonts w:asciiTheme="minorBidi" w:hAnsiTheme="minorBidi" w:cstheme="minorBidi"/>
                <w:sz w:val="18"/>
                <w:szCs w:val="18"/>
              </w:rPr>
              <w:t>50% or less</w:t>
            </w:r>
          </w:p>
        </w:tc>
      </w:tr>
      <w:tr w:rsidR="000412F5" w:rsidTr="000B7E13" w14:paraId="6D6ECC97" w14:textId="403F1506">
        <w:trPr>
          <w:trHeight w:val="300"/>
        </w:trPr>
        <w:tc>
          <w:tcPr>
            <w:tcW w:w="889" w:type="dxa"/>
            <w:shd w:val="clear" w:color="auto" w:fill="F2F2F2" w:themeFill="background1" w:themeFillShade="F2"/>
          </w:tcPr>
          <w:p w:rsidRPr="00813902" w:rsidR="000412F5" w:rsidRDefault="000412F5" w14:paraId="3BDEF465" w14:textId="04067C29">
            <w:pPr>
              <w:rPr>
                <w:rFonts w:eastAsia="Arial" w:asciiTheme="minorBidi" w:hAnsiTheme="minorBidi" w:cstheme="minorBidi"/>
                <w:b/>
                <w:bCs/>
                <w:sz w:val="18"/>
                <w:szCs w:val="18"/>
              </w:rPr>
            </w:pPr>
            <w:r w:rsidRPr="00813902">
              <w:rPr>
                <w:rFonts w:eastAsia="Arial" w:asciiTheme="minorBidi" w:hAnsiTheme="minorBidi" w:cstheme="minorBidi"/>
                <w:b/>
                <w:bCs/>
                <w:sz w:val="18"/>
                <w:szCs w:val="18"/>
              </w:rPr>
              <w:t>Social Value</w:t>
            </w:r>
            <w:r w:rsidRPr="00813902" w:rsidR="00DB06A9">
              <w:rPr>
                <w:rFonts w:eastAsia="Arial" w:asciiTheme="minorBidi" w:hAnsiTheme="minorBidi" w:cstheme="minorBidi"/>
                <w:b/>
                <w:bCs/>
                <w:sz w:val="18"/>
                <w:szCs w:val="18"/>
              </w:rPr>
              <w:t xml:space="preserve"> Commitments </w:t>
            </w:r>
          </w:p>
        </w:tc>
        <w:tc>
          <w:tcPr>
            <w:tcW w:w="14580" w:type="dxa"/>
            <w:gridSpan w:val="7"/>
          </w:tcPr>
          <w:p w:rsidRPr="00813902" w:rsidR="000412F5" w:rsidP="00195A34" w:rsidRDefault="000412F5" w14:paraId="4F165986" w14:textId="73039C8E">
            <w:pPr>
              <w:rPr>
                <w:rFonts w:asciiTheme="minorBidi" w:hAnsiTheme="minorBidi" w:cstheme="minorBidi"/>
                <w:b/>
                <w:bCs/>
                <w:sz w:val="18"/>
                <w:szCs w:val="18"/>
              </w:rPr>
            </w:pPr>
            <w:r w:rsidRPr="00813902">
              <w:rPr>
                <w:rFonts w:asciiTheme="minorBidi" w:hAnsiTheme="minorBidi" w:cstheme="minorBidi"/>
                <w:b/>
                <w:bCs/>
                <w:sz w:val="18"/>
                <w:szCs w:val="18"/>
              </w:rPr>
              <w:t>No. of engagement activities with the community, community representatives and or anchor institutions that support community integration (aligns to Policy Outcome 3 – Resilient, innovative and flexible supply chains)</w:t>
            </w:r>
          </w:p>
        </w:tc>
      </w:tr>
      <w:tr w:rsidR="000412F5" w:rsidTr="000B7E13" w14:paraId="4D1CEC54" w14:textId="46B8B46C">
        <w:trPr>
          <w:trHeight w:val="300"/>
        </w:trPr>
        <w:tc>
          <w:tcPr>
            <w:tcW w:w="889" w:type="dxa"/>
            <w:shd w:val="clear" w:color="auto" w:fill="F2F2F2" w:themeFill="background1" w:themeFillShade="F2"/>
          </w:tcPr>
          <w:p w:rsidRPr="00813902" w:rsidR="000412F5" w:rsidRDefault="000412F5" w14:paraId="33853259" w14:textId="58D61815">
            <w:pPr>
              <w:rPr>
                <w:rFonts w:eastAsia="Arial" w:asciiTheme="minorBidi" w:hAnsiTheme="minorBidi" w:cstheme="minorBidi"/>
                <w:sz w:val="18"/>
                <w:szCs w:val="18"/>
              </w:rPr>
            </w:pPr>
            <w:r w:rsidRPr="00813902">
              <w:rPr>
                <w:rFonts w:eastAsia="Arial" w:asciiTheme="minorBidi" w:hAnsiTheme="minorBidi" w:cstheme="minorBidi"/>
                <w:sz w:val="18"/>
                <w:szCs w:val="18"/>
              </w:rPr>
              <w:t>SVC 1</w:t>
            </w:r>
          </w:p>
        </w:tc>
        <w:tc>
          <w:tcPr>
            <w:tcW w:w="14580" w:type="dxa"/>
            <w:gridSpan w:val="7"/>
          </w:tcPr>
          <w:p w:rsidRPr="00813902" w:rsidR="000412F5" w:rsidP="00195A34" w:rsidRDefault="000412F5" w14:paraId="36EE65E2" w14:textId="7F25965F">
            <w:pPr>
              <w:rPr>
                <w:rFonts w:asciiTheme="minorBidi" w:hAnsiTheme="minorBidi" w:cstheme="minorBidi"/>
                <w:sz w:val="18"/>
                <w:szCs w:val="18"/>
              </w:rPr>
            </w:pPr>
            <w:r w:rsidRPr="00813902">
              <w:rPr>
                <w:rFonts w:asciiTheme="minorBidi" w:hAnsiTheme="minorBidi" w:cstheme="minorBidi"/>
                <w:sz w:val="18"/>
                <w:szCs w:val="18"/>
              </w:rPr>
              <w:t>Deliver the first learning event in collaboration with each SMP within 3 months of the start of the contract and deliver the remaining 8 learning events within 12 months.</w:t>
            </w:r>
          </w:p>
        </w:tc>
      </w:tr>
      <w:tr w:rsidR="000412F5" w:rsidTr="000B7E13" w14:paraId="1FB85720" w14:textId="3C172195">
        <w:trPr>
          <w:trHeight w:val="300"/>
        </w:trPr>
        <w:tc>
          <w:tcPr>
            <w:tcW w:w="889" w:type="dxa"/>
            <w:shd w:val="clear" w:color="auto" w:fill="F2F2F2" w:themeFill="background1" w:themeFillShade="F2"/>
          </w:tcPr>
          <w:p w:rsidRPr="00813902" w:rsidR="000412F5" w:rsidRDefault="000412F5" w14:paraId="39948E26" w14:textId="1F654FE2">
            <w:pPr>
              <w:rPr>
                <w:rFonts w:eastAsia="Arial" w:asciiTheme="minorBidi" w:hAnsiTheme="minorBidi" w:cstheme="minorBidi"/>
                <w:sz w:val="18"/>
                <w:szCs w:val="18"/>
              </w:rPr>
            </w:pPr>
            <w:r w:rsidRPr="00813902">
              <w:rPr>
                <w:rFonts w:eastAsia="Arial" w:asciiTheme="minorBidi" w:hAnsiTheme="minorBidi" w:cstheme="minorBidi"/>
                <w:sz w:val="18"/>
                <w:szCs w:val="18"/>
              </w:rPr>
              <w:t>SVC 2</w:t>
            </w:r>
          </w:p>
        </w:tc>
        <w:tc>
          <w:tcPr>
            <w:tcW w:w="14580" w:type="dxa"/>
            <w:gridSpan w:val="7"/>
          </w:tcPr>
          <w:p w:rsidRPr="00813902" w:rsidR="000412F5" w:rsidP="00195A34" w:rsidRDefault="000412F5" w14:paraId="5E701CA8" w14:textId="5EB040C1">
            <w:pPr>
              <w:rPr>
                <w:rFonts w:asciiTheme="minorBidi" w:hAnsiTheme="minorBidi" w:cstheme="minorBidi"/>
                <w:sz w:val="18"/>
                <w:szCs w:val="18"/>
              </w:rPr>
            </w:pPr>
            <w:r w:rsidRPr="00813902">
              <w:rPr>
                <w:rFonts w:asciiTheme="minorBidi" w:hAnsiTheme="minorBidi" w:cstheme="minorBidi"/>
                <w:sz w:val="18"/>
                <w:szCs w:val="18"/>
              </w:rPr>
              <w:t>Deliver outreach supplier funded events (one per region) within the first 4 months of delivery totalling a Social Value investment of £4,500</w:t>
            </w:r>
          </w:p>
        </w:tc>
      </w:tr>
      <w:tr w:rsidR="000412F5" w:rsidTr="000B7E13" w14:paraId="1D4F8725" w14:textId="6467FBB7">
        <w:trPr>
          <w:trHeight w:val="300"/>
        </w:trPr>
        <w:tc>
          <w:tcPr>
            <w:tcW w:w="889" w:type="dxa"/>
            <w:shd w:val="clear" w:color="auto" w:fill="F2F2F2" w:themeFill="background1" w:themeFillShade="F2"/>
          </w:tcPr>
          <w:p w:rsidRPr="00813902" w:rsidR="000412F5" w:rsidRDefault="000412F5" w14:paraId="316F3013" w14:textId="69C88953">
            <w:pPr>
              <w:rPr>
                <w:rFonts w:eastAsia="Arial" w:asciiTheme="minorBidi" w:hAnsiTheme="minorBidi" w:cstheme="minorBidi"/>
                <w:sz w:val="18"/>
                <w:szCs w:val="18"/>
              </w:rPr>
            </w:pPr>
            <w:r w:rsidRPr="00813902">
              <w:rPr>
                <w:rFonts w:eastAsia="Arial" w:asciiTheme="minorBidi" w:hAnsiTheme="minorBidi" w:cstheme="minorBidi"/>
                <w:sz w:val="18"/>
                <w:szCs w:val="18"/>
              </w:rPr>
              <w:t>SVC 3</w:t>
            </w:r>
          </w:p>
        </w:tc>
        <w:tc>
          <w:tcPr>
            <w:tcW w:w="14580" w:type="dxa"/>
            <w:gridSpan w:val="7"/>
          </w:tcPr>
          <w:p w:rsidRPr="00813902" w:rsidR="000412F5" w:rsidP="00195A34" w:rsidRDefault="000412F5" w14:paraId="04307BC4" w14:textId="038EC188">
            <w:pPr>
              <w:rPr>
                <w:rFonts w:asciiTheme="minorBidi" w:hAnsiTheme="minorBidi" w:cstheme="minorBidi"/>
                <w:sz w:val="18"/>
                <w:szCs w:val="18"/>
              </w:rPr>
            </w:pPr>
            <w:r w:rsidRPr="00813902">
              <w:rPr>
                <w:rFonts w:asciiTheme="minorBidi" w:hAnsiTheme="minorBidi" w:cstheme="minorBidi"/>
                <w:sz w:val="18"/>
                <w:szCs w:val="18"/>
              </w:rPr>
              <w:t>Delivery of quarterly Experts by Experience Boards totalling a Social Value investment of £2,500, with the first board delivered by month 3 of the contract</w:t>
            </w:r>
          </w:p>
        </w:tc>
      </w:tr>
      <w:tr w:rsidR="000412F5" w:rsidTr="000B7E13" w14:paraId="236DA105" w14:textId="6D0087A3">
        <w:trPr>
          <w:trHeight w:val="300"/>
        </w:trPr>
        <w:tc>
          <w:tcPr>
            <w:tcW w:w="889" w:type="dxa"/>
            <w:shd w:val="clear" w:color="auto" w:fill="F2F2F2" w:themeFill="background1" w:themeFillShade="F2"/>
          </w:tcPr>
          <w:p w:rsidRPr="00813902" w:rsidR="000412F5" w:rsidRDefault="000412F5" w14:paraId="72A593AF" w14:textId="38F778D0">
            <w:pPr>
              <w:rPr>
                <w:rFonts w:eastAsia="Arial" w:asciiTheme="minorBidi" w:hAnsiTheme="minorBidi" w:cstheme="minorBidi"/>
                <w:sz w:val="18"/>
                <w:szCs w:val="18"/>
              </w:rPr>
            </w:pPr>
            <w:r w:rsidRPr="00813902">
              <w:rPr>
                <w:rFonts w:eastAsia="Arial" w:asciiTheme="minorBidi" w:hAnsiTheme="minorBidi" w:cstheme="minorBidi"/>
                <w:sz w:val="18"/>
                <w:szCs w:val="18"/>
              </w:rPr>
              <w:t>SVC 4</w:t>
            </w:r>
          </w:p>
        </w:tc>
        <w:tc>
          <w:tcPr>
            <w:tcW w:w="14580" w:type="dxa"/>
            <w:gridSpan w:val="7"/>
          </w:tcPr>
          <w:p w:rsidRPr="00813902" w:rsidR="000412F5" w:rsidP="00195A34" w:rsidRDefault="000412F5" w14:paraId="48606E60" w14:textId="15209656">
            <w:pPr>
              <w:rPr>
                <w:rFonts w:asciiTheme="minorBidi" w:hAnsiTheme="minorBidi" w:cstheme="minorBidi"/>
                <w:sz w:val="18"/>
                <w:szCs w:val="18"/>
              </w:rPr>
            </w:pPr>
            <w:r w:rsidRPr="00813902">
              <w:rPr>
                <w:rFonts w:asciiTheme="minorBidi" w:hAnsiTheme="minorBidi" w:cstheme="minorBidi"/>
                <w:sz w:val="18"/>
                <w:szCs w:val="18"/>
              </w:rPr>
              <w:t>Provision of a Volunteering Day for all WJR/BC staff (60) to support local community-led initiatives within the 12 month contract with an estimated Social Value investment of £7,440.</w:t>
            </w:r>
          </w:p>
        </w:tc>
      </w:tr>
    </w:tbl>
    <w:p w:rsidR="000B36C5" w:rsidP="000B36C5" w:rsidRDefault="00515F7D" w14:paraId="41A8F8B2" w14:textId="4D55471E">
      <w:pPr>
        <w:spacing w:after="0"/>
        <w:rPr>
          <w:rFonts w:eastAsia="Arial" w:cs="Arial"/>
          <w:sz w:val="22"/>
          <w:szCs w:val="22"/>
        </w:rPr>
      </w:pPr>
      <w:r w:rsidRPr="0088685B">
        <w:rPr>
          <w:rFonts w:cs="Arial"/>
          <w:highlight w:val="green"/>
        </w:rPr>
        <w:br/>
      </w:r>
    </w:p>
    <w:p w:rsidRPr="0088685B" w:rsidR="00C91A65" w:rsidP="00147AB8" w:rsidRDefault="00C91A65" w14:paraId="41A0D7E0" w14:textId="77777777">
      <w:pPr>
        <w:keepNext/>
        <w:keepLines/>
        <w:spacing w:before="120" w:after="120" w:line="240" w:lineRule="auto"/>
        <w:rPr>
          <w:rFonts w:cs="Arial"/>
        </w:rPr>
        <w:sectPr w:rsidRPr="0088685B" w:rsidR="00C91A65" w:rsidSect="00871568">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pgNumType w:start="1"/>
          <w:cols w:space="720"/>
          <w:docGrid w:linePitch="326"/>
        </w:sectPr>
      </w:pPr>
    </w:p>
    <w:p w:rsidRPr="0088685B" w:rsidR="00CA079E" w:rsidP="00C91A65" w:rsidRDefault="00CD7298" w14:paraId="3827D497" w14:textId="1BB532D3">
      <w:pPr>
        <w:rPr>
          <w:rFonts w:eastAsia="Arial Bold" w:cs="Arial"/>
          <w:b/>
          <w:color w:val="000000"/>
          <w:sz w:val="36"/>
          <w:szCs w:val="36"/>
        </w:rPr>
      </w:pPr>
      <w:r w:rsidRPr="0088685B">
        <w:rPr>
          <w:rFonts w:eastAsia="Arial Bold" w:cs="Arial"/>
          <w:b/>
          <w:color w:val="000000" w:themeColor="text1"/>
          <w:sz w:val="36"/>
          <w:szCs w:val="36"/>
        </w:rPr>
        <w:t xml:space="preserve">Part </w:t>
      </w:r>
      <w:bookmarkStart w:name="Part_B" w:id="7"/>
      <w:r w:rsidRPr="0088685B">
        <w:rPr>
          <w:rFonts w:eastAsia="Arial Bold" w:cs="Arial"/>
          <w:b/>
          <w:color w:val="000000" w:themeColor="text1"/>
          <w:sz w:val="36"/>
          <w:szCs w:val="36"/>
        </w:rPr>
        <w:t>B</w:t>
      </w:r>
      <w:bookmarkEnd w:id="7"/>
      <w:r w:rsidRPr="0088685B">
        <w:rPr>
          <w:rFonts w:eastAsia="Arial Bold" w:cs="Arial"/>
          <w:b/>
          <w:color w:val="000000" w:themeColor="text1"/>
          <w:sz w:val="36"/>
          <w:szCs w:val="36"/>
        </w:rPr>
        <w:t xml:space="preserve">: Performance Monitoring </w:t>
      </w:r>
    </w:p>
    <w:p w:rsidRPr="0088685B" w:rsidR="00CA079E" w:rsidP="00135404" w:rsidRDefault="00CD7298" w14:paraId="6B137567" w14:textId="77777777">
      <w:pPr>
        <w:pStyle w:val="GPSL1CLAUSEHEADING"/>
        <w:numPr>
          <w:ilvl w:val="0"/>
          <w:numId w:val="13"/>
        </w:numPr>
        <w:rPr>
          <w:rFonts w:ascii="Arial" w:hAnsi="Arial"/>
        </w:rPr>
      </w:pPr>
      <w:r w:rsidRPr="0088685B">
        <w:rPr>
          <w:rFonts w:ascii="Arial" w:hAnsi="Arial"/>
        </w:rPr>
        <w:t>Performance Monitoring and Performance Review</w:t>
      </w:r>
    </w:p>
    <w:p w:rsidR="00CA079E" w:rsidP="00135404" w:rsidRDefault="00CD7298" w14:paraId="648BD45F" w14:textId="77777777">
      <w:pPr>
        <w:pStyle w:val="GPSL2numberedclause"/>
      </w:pPr>
      <w:bookmarkStart w:name="_Ref141096545" w:id="8"/>
      <w:r>
        <w:rPr>
          <w:rFonts w:eastAsia="Arial"/>
        </w:rPr>
        <w:t xml:space="preserve">Within twenty (20) Working Days of the Effective Date the Supplier shall provide the Buyer with details of how the process in respect of the monitoring and reporting of </w:t>
      </w:r>
      <w:r w:rsidR="006D60FB">
        <w:rPr>
          <w:rFonts w:eastAsia="Arial"/>
        </w:rPr>
        <w:t>Key Performance Indicator</w:t>
      </w:r>
      <w:r>
        <w:rPr>
          <w:rFonts w:eastAsia="Arial"/>
        </w:rPr>
        <w:t>s will operate between the Parties and the Parties will endeavour to agree such process as soon as reasonably possible.</w:t>
      </w:r>
      <w:bookmarkEnd w:id="8"/>
    </w:p>
    <w:p w:rsidR="00CA079E" w:rsidP="00135404" w:rsidRDefault="00CD7298" w14:paraId="635F2656" w14:textId="77777777">
      <w:pPr>
        <w:pStyle w:val="GPSL2numberedclause"/>
      </w:pPr>
      <w:bookmarkStart w:name="_Ref188454577" w:id="9"/>
      <w:r>
        <w:rPr>
          <w:rFonts w:eastAsia="Arial"/>
        </w:rPr>
        <w:t>The Supplier shall provide the Buyer with performance monitoring reports ("</w:t>
      </w:r>
      <w:r>
        <w:rPr>
          <w:rFonts w:eastAsia="Arial"/>
          <w:b/>
        </w:rPr>
        <w:t>Performance Monitoring Reports</w:t>
      </w:r>
      <w:r>
        <w:rPr>
          <w:rFonts w:eastAsia="Arial"/>
        </w:rPr>
        <w:t xml:space="preserve">") in accordance with the process agreed pursuant to Paragraph </w:t>
      </w:r>
      <w:r w:rsidRPr="0088685B" w:rsidR="00147AB8">
        <w:rPr>
          <w:rFonts w:eastAsia="Arial"/>
        </w:rPr>
        <w:fldChar w:fldCharType="begin"/>
      </w:r>
      <w:r w:rsidRPr="0088685B" w:rsidR="00147AB8">
        <w:rPr>
          <w:rFonts w:eastAsia="Arial"/>
        </w:rPr>
        <w:instrText xml:space="preserve"> REF _Ref141096545 \n \h </w:instrText>
      </w:r>
      <w:r w:rsidR="0088685B">
        <w:rPr>
          <w:rFonts w:eastAsia="Arial"/>
        </w:rPr>
        <w:instrText xml:space="preserve"> \* MERGEFORMAT </w:instrText>
      </w:r>
      <w:r w:rsidRPr="0088685B" w:rsidR="00147AB8">
        <w:rPr>
          <w:rFonts w:eastAsia="Arial"/>
        </w:rPr>
      </w:r>
      <w:r w:rsidRPr="0088685B" w:rsidR="00147AB8">
        <w:rPr>
          <w:rFonts w:eastAsia="Arial"/>
        </w:rPr>
        <w:fldChar w:fldCharType="separate"/>
      </w:r>
      <w:r w:rsidR="00C91A65">
        <w:rPr>
          <w:rFonts w:eastAsia="Arial"/>
          <w:cs/>
        </w:rPr>
        <w:t>‎</w:t>
      </w:r>
      <w:r w:rsidR="00C91A65">
        <w:rPr>
          <w:rFonts w:eastAsia="Arial"/>
        </w:rPr>
        <w:t>1.1</w:t>
      </w:r>
      <w:r w:rsidRPr="0088685B" w:rsidR="00147AB8">
        <w:rPr>
          <w:rFonts w:eastAsia="Arial"/>
        </w:rPr>
        <w:fldChar w:fldCharType="end"/>
      </w:r>
      <w:r>
        <w:rPr>
          <w:rFonts w:eastAsia="Arial"/>
        </w:rPr>
        <w:t xml:space="preserve"> of </w:t>
      </w:r>
      <w:r w:rsidRPr="00147AB8">
        <w:rPr>
          <w:rFonts w:eastAsia="Arial"/>
        </w:rPr>
        <w:t>Part</w:t>
      </w:r>
      <w:r w:rsidR="00147AB8">
        <w:rPr>
          <w:rFonts w:eastAsia="Arial"/>
        </w:rPr>
        <w:t xml:space="preserve"> B</w:t>
      </w:r>
      <w:r w:rsidRPr="00147AB8">
        <w:rPr>
          <w:rFonts w:eastAsia="Arial"/>
        </w:rPr>
        <w:t xml:space="preserve"> of</w:t>
      </w:r>
      <w:r>
        <w:rPr>
          <w:rFonts w:eastAsia="Arial"/>
        </w:rPr>
        <w:t xml:space="preserve"> this Schedule </w:t>
      </w:r>
      <w:r w:rsidR="001A6841">
        <w:rPr>
          <w:rFonts w:eastAsia="Arial"/>
          <w:color w:val="000000"/>
        </w:rPr>
        <w:t>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w:t>
      </w:r>
      <w:r>
        <w:rPr>
          <w:rFonts w:eastAsia="Arial"/>
        </w:rPr>
        <w:t>:</w:t>
      </w:r>
      <w:bookmarkEnd w:id="9"/>
    </w:p>
    <w:p w:rsidR="00CA079E" w:rsidP="00135404" w:rsidRDefault="00CD7298" w14:paraId="544EABAD" w14:textId="77777777">
      <w:pPr>
        <w:pStyle w:val="GPSL3numberedclause"/>
      </w:pPr>
      <w:r>
        <w:rPr>
          <w:rFonts w:eastAsia="Arial"/>
        </w:rPr>
        <w:t xml:space="preserve">for </w:t>
      </w:r>
      <w:r w:rsidR="001A6841">
        <w:rPr>
          <w:rFonts w:eastAsia="Arial"/>
          <w:color w:val="000000"/>
        </w:rPr>
        <w:t xml:space="preserve">each Key Performance Indicator, the actual performance achieved against the KPI Performance Measure for the relevant Service Period </w:t>
      </w:r>
      <w:r w:rsidRPr="001F5828" w:rsidR="001A6841">
        <w:rPr>
          <w:rFonts w:eastAsia="Arial"/>
          <w:color w:val="000000"/>
        </w:rPr>
        <w:t>and, where a Measurement Period has ended in the period covered by the Performance Monitoring Report, the most recently ended Measurement Period</w:t>
      </w:r>
      <w:r>
        <w:rPr>
          <w:rFonts w:eastAsia="Arial"/>
        </w:rPr>
        <w:t>;</w:t>
      </w:r>
    </w:p>
    <w:p w:rsidR="00CA079E" w:rsidP="00135404" w:rsidRDefault="00CD7298" w14:paraId="691CDE0B" w14:textId="77777777">
      <w:pPr>
        <w:pStyle w:val="GPSL3numberedclause"/>
      </w:pPr>
      <w:r>
        <w:rPr>
          <w:rFonts w:eastAsia="Arial"/>
        </w:rPr>
        <w:t xml:space="preserve">a summary of all failures to achieve </w:t>
      </w:r>
      <w:r w:rsidR="006D60FB">
        <w:rPr>
          <w:rFonts w:eastAsia="Arial"/>
        </w:rPr>
        <w:t>Key Performance Indicator</w:t>
      </w:r>
      <w:r>
        <w:rPr>
          <w:rFonts w:eastAsia="Arial"/>
        </w:rPr>
        <w:t>s that occurred during that Service Period;</w:t>
      </w:r>
    </w:p>
    <w:p w:rsidR="00CA079E" w:rsidP="00135404" w:rsidRDefault="00CD7298" w14:paraId="137F2FCE" w14:textId="77777777">
      <w:pPr>
        <w:pStyle w:val="GPSL3numberedclause"/>
      </w:pPr>
      <w:r>
        <w:rPr>
          <w:rFonts w:eastAsia="Arial"/>
        </w:rPr>
        <w:t xml:space="preserve">details of any Critical </w:t>
      </w:r>
      <w:r w:rsidR="00AD7853">
        <w:rPr>
          <w:rFonts w:eastAsia="Arial"/>
        </w:rPr>
        <w:t>KPI F</w:t>
      </w:r>
      <w:r w:rsidR="00E73E7F">
        <w:rPr>
          <w:rFonts w:eastAsia="Arial"/>
        </w:rPr>
        <w:t>ailure</w:t>
      </w:r>
      <w:r>
        <w:rPr>
          <w:rFonts w:eastAsia="Arial"/>
        </w:rPr>
        <w:t>s;</w:t>
      </w:r>
    </w:p>
    <w:p w:rsidR="00CA079E" w:rsidP="00135404" w:rsidRDefault="00CD7298" w14:paraId="1159A338" w14:textId="77777777">
      <w:pPr>
        <w:pStyle w:val="GPSL3numberedclause"/>
      </w:pPr>
      <w:r>
        <w:rPr>
          <w:rFonts w:eastAsia="Arial"/>
        </w:rPr>
        <w:t>for any repeat failures, actions taken to resolve the underlying cause and prevent recurrence;</w:t>
      </w:r>
    </w:p>
    <w:p w:rsidR="00CA079E" w:rsidP="00135404" w:rsidRDefault="00CD7298" w14:paraId="36D7435B" w14:textId="77777777">
      <w:pPr>
        <w:pStyle w:val="GPSL3numberedclause"/>
      </w:pPr>
      <w:r>
        <w:rPr>
          <w:rFonts w:eastAsia="Arial"/>
        </w:rPr>
        <w:t xml:space="preserve">the Service Credits to be applied in respect of the relevant period indicating the failures and </w:t>
      </w:r>
      <w:r w:rsidR="006D60FB">
        <w:rPr>
          <w:rFonts w:eastAsia="Arial"/>
        </w:rPr>
        <w:t>Key Performance Indicator</w:t>
      </w:r>
      <w:r>
        <w:rPr>
          <w:rFonts w:eastAsia="Arial"/>
        </w:rPr>
        <w:t>s to which the Service Credits relate; and</w:t>
      </w:r>
    </w:p>
    <w:p w:rsidR="00CA079E" w:rsidP="00135404" w:rsidRDefault="00CD7298" w14:paraId="7B3FD3BF" w14:textId="77777777">
      <w:pPr>
        <w:pStyle w:val="GPSL3numberedclause"/>
      </w:pPr>
      <w:r>
        <w:rPr>
          <w:rFonts w:eastAsia="Arial"/>
        </w:rPr>
        <w:t>such other details as the Buyer may reasonably require from time to time.</w:t>
      </w:r>
    </w:p>
    <w:p w:rsidR="00CA079E" w:rsidP="00135404" w:rsidRDefault="00CD7298" w14:paraId="5AAB307C" w14:textId="77777777">
      <w:pPr>
        <w:pStyle w:val="GPSL2numberedclause"/>
      </w:pPr>
      <w:bookmarkStart w:name="_Ref188454584" w:id="10"/>
      <w:r>
        <w:rPr>
          <w:rFonts w:eastAsia="Arial"/>
        </w:rPr>
        <w:t>The Parties shall attend meetings to discuss Performance Monitoring Reports (</w:t>
      </w:r>
      <w:r w:rsidRPr="005127A9">
        <w:rPr>
          <w:rFonts w:eastAsia="Arial"/>
          <w:b/>
        </w:rPr>
        <w:t>"</w:t>
      </w:r>
      <w:r>
        <w:rPr>
          <w:rFonts w:eastAsia="Arial"/>
          <w:b/>
        </w:rPr>
        <w:t>Performance Review Meetings</w:t>
      </w:r>
      <w:r w:rsidRPr="005127A9">
        <w:rPr>
          <w:rFonts w:eastAsia="Arial"/>
          <w:b/>
        </w:rPr>
        <w:t>"</w:t>
      </w:r>
      <w:r>
        <w:rPr>
          <w:rFonts w:eastAsia="Arial"/>
        </w:rPr>
        <w:t>) on a Monthly basis. The Performance Review Meetings will be the forum for the review by the Supplier and the Buyer of the Performance Monitoring Reports.  The Performance Review Meetings shall:</w:t>
      </w:r>
      <w:bookmarkEnd w:id="10"/>
    </w:p>
    <w:p w:rsidR="00CA079E" w:rsidP="00135404" w:rsidRDefault="00CD7298" w14:paraId="746FE6AD" w14:textId="77777777">
      <w:pPr>
        <w:pStyle w:val="GPSL3numberedclause"/>
      </w:pPr>
      <w:r>
        <w:rPr>
          <w:rFonts w:eastAsia="Arial"/>
        </w:rPr>
        <w:t>take place within one (1) week of the Performance Monitoring Reports being issued by the Supplier at such location and time (within normal business hours) as the Buyer shall reasonably require;</w:t>
      </w:r>
    </w:p>
    <w:p w:rsidR="00CA079E" w:rsidP="00135404" w:rsidRDefault="00CD7298" w14:paraId="03F16EB1" w14:textId="77777777">
      <w:pPr>
        <w:pStyle w:val="GPSL3numberedclause"/>
      </w:pPr>
      <w:r>
        <w:rPr>
          <w:rFonts w:eastAsia="Arial"/>
        </w:rPr>
        <w:t>be attended by the Supplier's Representative and the Buyer’s Representative; and</w:t>
      </w:r>
    </w:p>
    <w:p w:rsidR="00CA079E" w:rsidP="00135404" w:rsidRDefault="00CD7298" w14:paraId="603028E2" w14:textId="77777777">
      <w:pPr>
        <w:pStyle w:val="GPSL3numberedclause"/>
      </w:pPr>
      <w:r>
        <w:rPr>
          <w:rFonts w:eastAsia="Arial"/>
        </w:rPr>
        <w:t xml:space="preserve">be fully </w:t>
      </w:r>
      <w:proofErr w:type="spellStart"/>
      <w:r>
        <w:rPr>
          <w:rFonts w:eastAsia="Arial"/>
        </w:rPr>
        <w:t>minuted</w:t>
      </w:r>
      <w:proofErr w:type="spellEnd"/>
      <w:r>
        <w:rPr>
          <w:rFonts w:eastAsia="Arial"/>
        </w:rPr>
        <w:t xml:space="preserve"> by the Supplier and the minutes will be circulated by the Supplier to all attendees at the relevant meeting and also to the Buyer’s Representative and any other recipients agreed at the relevant meeting.  </w:t>
      </w:r>
    </w:p>
    <w:p w:rsidR="00CA079E" w:rsidP="00135404" w:rsidRDefault="00CD7298" w14:paraId="329D42DD" w14:textId="77777777">
      <w:pPr>
        <w:pStyle w:val="GPSL2numberedclause"/>
      </w:pPr>
      <w:r>
        <w:rPr>
          <w:rFonts w:eastAsia="Arial"/>
        </w:rPr>
        <w:t>The minutes of the preceding Month's Performance Review Meeting will be agreed and signed by both the Supplier's Representative and the Buyer’s Representative at each meeting.</w:t>
      </w:r>
    </w:p>
    <w:p w:rsidRPr="00AA4934" w:rsidR="00CA079E" w:rsidP="00135404" w:rsidRDefault="00CD7298" w14:paraId="561AED2E" w14:textId="77777777">
      <w:pPr>
        <w:pStyle w:val="GPSL2numberedclause"/>
      </w:pPr>
      <w:r>
        <w:rPr>
          <w:rFonts w:eastAsia="Arial"/>
        </w:rPr>
        <w:t>The Supplier shall provide to the Buyer such documentation as the Buyer may reasonably require in order to verify the level of the performance by the Supplier and the calculations of the amount of Service Credits for any specified Service Period.</w:t>
      </w:r>
    </w:p>
    <w:p w:rsidR="0087195F" w:rsidP="00135404" w:rsidRDefault="00AA4934" w14:paraId="6209CFD5" w14:textId="77777777">
      <w:pPr>
        <w:pStyle w:val="GPSL2numberedclause"/>
      </w:pPr>
      <w:r>
        <w:t xml:space="preserve">The relevant table in </w:t>
      </w:r>
      <w:r w:rsidR="001A6841">
        <w:t xml:space="preserve">the </w:t>
      </w:r>
      <w:r>
        <w:t xml:space="preserve">Annex to Part A of this Schedule describes how the levels of performance under the KPI Performance Measures will be mapped to the performance ratings prescribed under </w:t>
      </w:r>
      <w:r w:rsidR="7C8440E9">
        <w:t>r</w:t>
      </w:r>
      <w:r>
        <w:t xml:space="preserve">egulation 38(5) of the Procurement Regulations 2024. The mapping set out in that table will be applied by the </w:t>
      </w:r>
      <w:r w:rsidR="003C0BBD">
        <w:t xml:space="preserve">Buyer </w:t>
      </w:r>
      <w:r>
        <w:t xml:space="preserve">when publishing relevant Transparency Information relating to the Performance Indicators and/or the Supplier's performance against the relevant KPIs pursuant to </w:t>
      </w:r>
      <w:r w:rsidR="0087195F">
        <w:t>S</w:t>
      </w:r>
      <w:r>
        <w:t xml:space="preserve">ection 52(3) and/or </w:t>
      </w:r>
      <w:r w:rsidR="0087195F">
        <w:t>S</w:t>
      </w:r>
      <w:r>
        <w:t>ection 71(2) of the Procurement Act 2023 and the associated Regulations</w:t>
      </w:r>
      <w:r w:rsidR="0087195F">
        <w:t>.</w:t>
      </w:r>
    </w:p>
    <w:p w:rsidR="00AA4934" w:rsidP="00135404" w:rsidRDefault="001A6841" w14:paraId="2D76FB37" w14:textId="48886DB9">
      <w:pPr>
        <w:pStyle w:val="GPSL2numberedclause"/>
      </w:pPr>
      <w:r w:rsidRPr="0087195F">
        <w:t xml:space="preserve">The Supplier acknowledges and agrees </w:t>
      </w:r>
      <w:r w:rsidRPr="0087195F" w:rsidR="00DA184C">
        <w:t>that</w:t>
      </w:r>
      <w:r w:rsidRPr="0087195F">
        <w:t xml:space="preserve"> each time the Buyer </w:t>
      </w:r>
      <w:proofErr w:type="gramStart"/>
      <w:r w:rsidRPr="0087195F">
        <w:t>conducts an assessment of</w:t>
      </w:r>
      <w:proofErr w:type="gramEnd"/>
      <w:r w:rsidRPr="0087195F">
        <w:t xml:space="preserve"> the Supplier’s performance against a Key Performance Indicator, the Buyer may publish information as required by Law in relation to that assessment</w:t>
      </w:r>
      <w:r w:rsidRPr="00AA4934" w:rsidR="00AA4934">
        <w:t>.</w:t>
      </w:r>
    </w:p>
    <w:p w:rsidRPr="0088685B" w:rsidR="00CA079E" w:rsidP="00135404" w:rsidRDefault="00CD7298" w14:paraId="489048D8" w14:textId="77777777">
      <w:pPr>
        <w:pStyle w:val="GPSL1CLAUSEHEADING"/>
        <w:rPr>
          <w:rFonts w:ascii="Arial" w:hAnsi="Arial"/>
        </w:rPr>
      </w:pPr>
      <w:r w:rsidRPr="0088685B">
        <w:rPr>
          <w:rFonts w:ascii="Arial" w:hAnsi="Arial"/>
        </w:rPr>
        <w:t>Satisfaction Surveys</w:t>
      </w:r>
    </w:p>
    <w:p w:rsidRPr="0088685B" w:rsidR="00CA079E" w:rsidP="00147AB8" w:rsidRDefault="00CD7298" w14:paraId="62475478" w14:textId="77777777">
      <w:pPr>
        <w:pBdr>
          <w:top w:val="nil"/>
          <w:left w:val="nil"/>
          <w:bottom w:val="nil"/>
          <w:right w:val="nil"/>
          <w:between w:val="nil"/>
        </w:pBdr>
        <w:spacing w:before="120" w:after="120" w:line="240" w:lineRule="auto"/>
        <w:ind w:left="426"/>
        <w:rPr>
          <w:rFonts w:cs="Arial"/>
        </w:rPr>
      </w:pPr>
      <w:r>
        <w:rPr>
          <w:rFonts w:eastAsia="Arial" w:cs="Arial"/>
          <w:color w:val="000000"/>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Pr="0088685B" w:rsidR="00CA079E" w:rsidRDefault="00CA079E" w14:paraId="65805CCD" w14:textId="77777777">
      <w:pPr>
        <w:spacing w:after="0"/>
        <w:rPr>
          <w:rFonts w:cs="Arial"/>
        </w:rPr>
      </w:pPr>
    </w:p>
    <w:sectPr w:rsidRPr="0088685B" w:rsidR="00CA079E" w:rsidSect="00871568">
      <w:pgSz w:w="11906" w:h="16838" w:orient="portrait"/>
      <w:pgMar w:top="1440" w:right="1440" w:bottom="1440" w:left="1440" w:header="709" w:footer="709" w:gutter="0"/>
      <w:pgNumType w:start="1"/>
      <w:cols w:space="720"/>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DB9" w:rsidRDefault="00490DB9" w14:paraId="3132FB5A" w14:textId="77777777">
      <w:pPr>
        <w:spacing w:after="0" w:line="240" w:lineRule="auto"/>
      </w:pPr>
      <w:r>
        <w:separator/>
      </w:r>
    </w:p>
  </w:endnote>
  <w:endnote w:type="continuationSeparator" w:id="0">
    <w:p w:rsidR="00490DB9" w:rsidRDefault="00490DB9" w14:paraId="62CA4D19" w14:textId="77777777">
      <w:pPr>
        <w:spacing w:after="0" w:line="240" w:lineRule="auto"/>
      </w:pPr>
      <w:r>
        <w:continuationSeparator/>
      </w:r>
    </w:p>
  </w:endnote>
  <w:endnote w:type="continuationNotice" w:id="1">
    <w:p w:rsidR="00490DB9" w:rsidRDefault="00490DB9" w14:paraId="49EEE8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0BC6" w:rsidRDefault="00EC0BC6" w14:paraId="16C0A144" w14:textId="77777777">
    <w:pPr>
      <w:pStyle w:val="Footer"/>
    </w:pPr>
    <w:r>
      <w:rPr>
        <w:noProof/>
      </w:rPr>
      <mc:AlternateContent>
        <mc:Choice Requires="wps">
          <w:drawing>
            <wp:anchor distT="0" distB="0" distL="0" distR="0" simplePos="0" relativeHeight="251658250" behindDoc="0" locked="0" layoutInCell="1" allowOverlap="1" wp14:anchorId="070B822D" wp14:editId="5F8DAAEC">
              <wp:simplePos x="635" y="635"/>
              <wp:positionH relativeFrom="page">
                <wp:align>center</wp:align>
              </wp:positionH>
              <wp:positionV relativeFrom="page">
                <wp:align>bottom</wp:align>
              </wp:positionV>
              <wp:extent cx="459740" cy="368935"/>
              <wp:effectExtent l="0" t="0" r="16510" b="0"/>
              <wp:wrapNone/>
              <wp:docPr id="5876757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EC0BC6" w:rsidP="001C7C8D" w:rsidRDefault="00EC0BC6" w14:paraId="2EB4FFDD"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B3C5555">
            <v:shapetype id="_x0000_t202" coordsize="21600,21600" o:spt="202" path="m,l,21600r21600,l21600,xe" w14:anchorId="070B822D">
              <v:stroke joinstyle="miter"/>
              <v:path gradientshapeok="t" o:connecttype="rect"/>
            </v:shapetype>
            <v:shape id="Text Box 5" style="position:absolute;margin-left:0;margin-top:0;width:36.2pt;height:29.05pt;z-index:25165825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v:textbox style="mso-fit-shape-to-text:t" inset="0,0,0,15pt">
                <w:txbxContent>
                  <w:p w:rsidRPr="001C7C8D" w:rsidR="00EC0BC6" w:rsidP="001C7C8D" w:rsidRDefault="00EC0BC6" w14:paraId="17D1F485"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0BC6" w:rsidRDefault="00EC0BC6" w14:paraId="0E65D036" w14:textId="77777777">
    <w:pPr>
      <w:tabs>
        <w:tab w:val="center" w:pos="4513"/>
        <w:tab w:val="right" w:pos="9026"/>
      </w:tabs>
      <w:spacing w:after="0" w:line="240" w:lineRule="auto"/>
      <w:jc w:val="both"/>
    </w:pPr>
    <w:r>
      <w:rPr>
        <w:noProof/>
      </w:rPr>
      <mc:AlternateContent>
        <mc:Choice Requires="wps">
          <w:drawing>
            <wp:anchor distT="0" distB="0" distL="0" distR="0" simplePos="0" relativeHeight="251658251" behindDoc="0" locked="0" layoutInCell="1" allowOverlap="1" wp14:anchorId="58E310E0" wp14:editId="1A0B45DB">
              <wp:simplePos x="914400" y="9921240"/>
              <wp:positionH relativeFrom="page">
                <wp:align>center</wp:align>
              </wp:positionH>
              <wp:positionV relativeFrom="page">
                <wp:align>bottom</wp:align>
              </wp:positionV>
              <wp:extent cx="459740" cy="368935"/>
              <wp:effectExtent l="0" t="0" r="16510" b="0"/>
              <wp:wrapNone/>
              <wp:docPr id="7613201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EC0BC6" w:rsidP="001C7C8D" w:rsidRDefault="00EC0BC6" w14:paraId="59953C13"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7395BE2">
            <v:shapetype id="_x0000_t202" coordsize="21600,21600" o:spt="202" path="m,l,21600r21600,l21600,xe" w14:anchorId="58E310E0">
              <v:stroke joinstyle="miter"/>
              <v:path gradientshapeok="t" o:connecttype="rect"/>
            </v:shapetype>
            <v:shape id="Text Box 6" style="position:absolute;left:0;text-align:left;margin-left:0;margin-top:0;width:36.2pt;height:29.05pt;z-index:251658251;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v:textbox style="mso-fit-shape-to-text:t" inset="0,0,0,15pt">
                <w:txbxContent>
                  <w:p w:rsidRPr="001C7C8D" w:rsidR="00EC0BC6" w:rsidP="001C7C8D" w:rsidRDefault="00EC0BC6" w14:paraId="08CE8BEA"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p w:rsidRPr="00F23A6C" w:rsidR="00EC0BC6" w:rsidP="000068DB" w:rsidRDefault="00EC0BC6" w14:paraId="72F15266"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v.1.3</w:t>
    </w: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noProof/>
        <w:color w:val="000000"/>
        <w:sz w:val="20"/>
        <w:szCs w:val="20"/>
      </w:rPr>
      <w:t>5</w:t>
    </w:r>
    <w:r>
      <w:rPr>
        <w:rFonts w:eastAsia="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0BC6" w:rsidRDefault="00EC0BC6" w14:paraId="1DB19246" w14:textId="77777777">
    <w:pPr>
      <w:tabs>
        <w:tab w:val="center" w:pos="4513"/>
        <w:tab w:val="right" w:pos="9026"/>
      </w:tabs>
      <w:spacing w:after="0" w:line="240" w:lineRule="auto"/>
      <w:jc w:val="both"/>
    </w:pPr>
    <w:r>
      <w:rPr>
        <w:noProof/>
      </w:rPr>
      <mc:AlternateContent>
        <mc:Choice Requires="wps">
          <w:drawing>
            <wp:anchor distT="0" distB="0" distL="0" distR="0" simplePos="0" relativeHeight="251658249" behindDoc="0" locked="0" layoutInCell="1" allowOverlap="1" wp14:anchorId="5551D877" wp14:editId="3FEA3E26">
              <wp:simplePos x="635" y="635"/>
              <wp:positionH relativeFrom="page">
                <wp:align>center</wp:align>
              </wp:positionH>
              <wp:positionV relativeFrom="page">
                <wp:align>bottom</wp:align>
              </wp:positionV>
              <wp:extent cx="459740" cy="368935"/>
              <wp:effectExtent l="0" t="0" r="16510" b="0"/>
              <wp:wrapNone/>
              <wp:docPr id="8322014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EC0BC6" w:rsidP="001C7C8D" w:rsidRDefault="00EC0BC6" w14:paraId="28032F0C"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726F25B">
            <v:shapetype id="_x0000_t202" coordsize="21600,21600" o:spt="202" path="m,l,21600r21600,l21600,xe" w14:anchorId="5551D877">
              <v:stroke joinstyle="miter"/>
              <v:path gradientshapeok="t" o:connecttype="rect"/>
            </v:shapetype>
            <v:shape id="Text Box 4" style="position:absolute;left:0;text-align:left;margin-left:0;margin-top:0;width:36.2pt;height:29.05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v:textbox style="mso-fit-shape-to-text:t" inset="0,0,0,15pt">
                <w:txbxContent>
                  <w:p w:rsidRPr="001C7C8D" w:rsidR="00EC0BC6" w:rsidP="001C7C8D" w:rsidRDefault="00EC0BC6" w14:paraId="42DD9960"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p w:rsidR="00EC0BC6" w:rsidRDefault="00EC0BC6" w14:paraId="4045397B"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ab/>
    </w:r>
    <w:r>
      <w:rPr>
        <w:rFonts w:eastAsia="Arial" w:cs="Arial"/>
        <w:color w:val="000000"/>
        <w:sz w:val="20"/>
        <w:szCs w:val="20"/>
      </w:rPr>
      <w:t xml:space="preserve">                                           </w:t>
    </w:r>
  </w:p>
  <w:p w:rsidR="00EC0BC6" w:rsidRDefault="00EC0BC6" w14:paraId="3ABB0A69"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noProof/>
        <w:color w:val="000000"/>
        <w:sz w:val="20"/>
        <w:szCs w:val="20"/>
      </w:rPr>
      <w:t>4</w:t>
    </w:r>
    <w:r>
      <w:rPr>
        <w:rFonts w:eastAsia="Arial" w:cs="Arial"/>
        <w:color w:val="000000"/>
        <w:sz w:val="20"/>
        <w:szCs w:val="20"/>
      </w:rPr>
      <w:fldChar w:fldCharType="end"/>
    </w:r>
  </w:p>
  <w:p w:rsidR="00EC0BC6" w:rsidRDefault="00EC0BC6" w14:paraId="348B391C" w14:textId="77777777">
    <w:pPr>
      <w:pBdr>
        <w:top w:val="nil"/>
        <w:left w:val="nil"/>
        <w:bottom w:val="nil"/>
        <w:right w:val="nil"/>
        <w:between w:val="nil"/>
      </w:pBdr>
      <w:tabs>
        <w:tab w:val="center" w:pos="4513"/>
        <w:tab w:val="right" w:pos="9026"/>
      </w:tabs>
      <w:spacing w:after="0" w:line="240" w:lineRule="auto"/>
      <w:rPr>
        <w:rFonts w:eastAsia="Arial" w:cs="Arial"/>
        <w:color w:val="000000"/>
      </w:rPr>
    </w:pPr>
    <w:r>
      <w:rPr>
        <w:rFonts w:eastAsia="Arial" w:cs="Arial"/>
        <w:color w:val="000000"/>
        <w:sz w:val="20"/>
        <w:szCs w:val="20"/>
      </w:rPr>
      <w:tab/>
    </w:r>
    <w:r>
      <w:rPr>
        <w:rFonts w:eastAsia="Arial" w:cs="Arial"/>
        <w:color w:val="000000"/>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F1E19" w:rsidRDefault="001C7C8D" w14:paraId="733A7425" w14:textId="77777777">
    <w:pPr>
      <w:pStyle w:val="Footer"/>
    </w:pPr>
    <w:r>
      <w:rPr>
        <w:noProof/>
      </w:rPr>
      <mc:AlternateContent>
        <mc:Choice Requires="wps">
          <w:drawing>
            <wp:anchor distT="0" distB="0" distL="0" distR="0" simplePos="0" relativeHeight="251658244" behindDoc="0" locked="0" layoutInCell="1" allowOverlap="1" wp14:anchorId="4D1BE859" wp14:editId="42AD79F8">
              <wp:simplePos x="635" y="635"/>
              <wp:positionH relativeFrom="page">
                <wp:align>center</wp:align>
              </wp:positionH>
              <wp:positionV relativeFrom="page">
                <wp:align>bottom</wp:align>
              </wp:positionV>
              <wp:extent cx="459740" cy="368935"/>
              <wp:effectExtent l="0" t="0" r="16510" b="0"/>
              <wp:wrapNone/>
              <wp:docPr id="18956504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1C7C8D" w:rsidP="001C7C8D" w:rsidRDefault="001C7C8D" w14:paraId="76535552"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D3A75FB">
            <v:shapetype id="_x0000_t202" coordsize="21600,21600" o:spt="202" path="m,l,21600r21600,l21600,xe" w14:anchorId="4D1BE859">
              <v:stroke joinstyle="miter"/>
              <v:path gradientshapeok="t" o:connecttype="rect"/>
            </v:shapetype>
            <v:shape id="_x0000_s1034" style="position:absolute;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IOkk8A8CAAAc&#10;BAAADgAAAAAAAAAAAAAAAAAuAgAAZHJzL2Uyb0RvYy54bWxQSwECLQAUAAYACAAAACEActkwTtoA&#10;AAADAQAADwAAAAAAAAAAAAAAAABpBAAAZHJzL2Rvd25yZXYueG1sUEsFBgAAAAAEAAQA8wAAAHAF&#10;AAAAAA==&#10;">
              <v:textbox style="mso-fit-shape-to-text:t" inset="0,0,0,15pt">
                <w:txbxContent>
                  <w:p w:rsidRPr="001C7C8D" w:rsidR="001C7C8D" w:rsidP="001C7C8D" w:rsidRDefault="001C7C8D" w14:paraId="70DA405C"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E5DD2" w:rsidRDefault="001C7C8D" w14:paraId="5F353171" w14:textId="77777777">
    <w:pPr>
      <w:tabs>
        <w:tab w:val="center" w:pos="4513"/>
        <w:tab w:val="right" w:pos="9026"/>
      </w:tabs>
      <w:spacing w:after="0" w:line="240" w:lineRule="auto"/>
      <w:jc w:val="both"/>
    </w:pPr>
    <w:r>
      <w:rPr>
        <w:noProof/>
      </w:rPr>
      <mc:AlternateContent>
        <mc:Choice Requires="wps">
          <w:drawing>
            <wp:anchor distT="0" distB="0" distL="0" distR="0" simplePos="0" relativeHeight="251658245" behindDoc="0" locked="0" layoutInCell="1" allowOverlap="1" wp14:anchorId="142CFE8E" wp14:editId="1D2E50CD">
              <wp:simplePos x="914400" y="9921240"/>
              <wp:positionH relativeFrom="page">
                <wp:align>center</wp:align>
              </wp:positionH>
              <wp:positionV relativeFrom="page">
                <wp:align>bottom</wp:align>
              </wp:positionV>
              <wp:extent cx="459740" cy="368935"/>
              <wp:effectExtent l="0" t="0" r="16510" b="0"/>
              <wp:wrapNone/>
              <wp:docPr id="1447259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1C7C8D" w:rsidP="001C7C8D" w:rsidRDefault="001C7C8D" w14:paraId="0CCE9F5E"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930B742">
            <v:shapetype id="_x0000_t202" coordsize="21600,21600" o:spt="202" path="m,l,21600r21600,l21600,xe" w14:anchorId="142CFE8E">
              <v:stroke joinstyle="miter"/>
              <v:path gradientshapeok="t" o:connecttype="rect"/>
            </v:shapetype>
            <v:shape id="_x0000_s1035" style="position:absolute;left:0;text-align:left;margin-left:0;margin-top:0;width:36.2pt;height:29.05pt;z-index:251658245;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bNDw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R1Sedj9xXURxzKwbBvb/m6xdIb5sMLc7hg7BZF&#10;G57xkAq6ksLJoqQB9+Nv/piPvGOUkg4FU1KDiqZEfTO4j6it0XCjUSVjOs9nOcbNXj8AynCKL8Ly&#10;ZKLXBTWa0oF+QzmvYiEMMcOxXEmr0XwIg3LxOXCxWqUklJFlYWO2lkfoSFfk8rV/Y86eCA+4qScY&#10;1cSKd7wPufGmt6t9QPbTUiK1A5EnxlGCaa2n5xI1/ut/yro86uVP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TVaWzQ8CAAAc&#10;BAAADgAAAAAAAAAAAAAAAAAuAgAAZHJzL2Uyb0RvYy54bWxQSwECLQAUAAYACAAAACEActkwTtoA&#10;AAADAQAADwAAAAAAAAAAAAAAAABpBAAAZHJzL2Rvd25yZXYueG1sUEsFBgAAAAAEAAQA8wAAAHAF&#10;AAAAAA==&#10;">
              <v:textbox style="mso-fit-shape-to-text:t" inset="0,0,0,15pt">
                <w:txbxContent>
                  <w:p w:rsidRPr="001C7C8D" w:rsidR="001C7C8D" w:rsidP="001C7C8D" w:rsidRDefault="001C7C8D" w14:paraId="6E4A0F12"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p w:rsidRPr="00F23A6C" w:rsidR="002E5DD2" w:rsidP="000068DB" w:rsidRDefault="002E5DD2" w14:paraId="16B6A0E8"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v.1.</w:t>
    </w:r>
    <w:r w:rsidR="00AF1E19">
      <w:rPr>
        <w:rFonts w:eastAsia="Arial" w:cs="Arial"/>
        <w:color w:val="000000"/>
        <w:sz w:val="20"/>
        <w:szCs w:val="20"/>
      </w:rPr>
      <w:t>3</w:t>
    </w: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F36489">
      <w:rPr>
        <w:rFonts w:eastAsia="Arial" w:cs="Arial"/>
        <w:noProof/>
        <w:color w:val="000000"/>
        <w:sz w:val="20"/>
        <w:szCs w:val="20"/>
      </w:rPr>
      <w:t>5</w:t>
    </w:r>
    <w:r>
      <w:rPr>
        <w:rFonts w:eastAsia="Arial" w:cs="Arial"/>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E5DD2" w:rsidRDefault="001C7C8D" w14:paraId="7E8F1514" w14:textId="77777777">
    <w:pPr>
      <w:tabs>
        <w:tab w:val="center" w:pos="4513"/>
        <w:tab w:val="right" w:pos="9026"/>
      </w:tabs>
      <w:spacing w:after="0" w:line="240" w:lineRule="auto"/>
      <w:jc w:val="both"/>
    </w:pPr>
    <w:r>
      <w:rPr>
        <w:noProof/>
      </w:rPr>
      <mc:AlternateContent>
        <mc:Choice Requires="wps">
          <w:drawing>
            <wp:anchor distT="0" distB="0" distL="0" distR="0" simplePos="0" relativeHeight="251658243" behindDoc="0" locked="0" layoutInCell="1" allowOverlap="1" wp14:anchorId="1FB2CB7F" wp14:editId="29358840">
              <wp:simplePos x="635" y="635"/>
              <wp:positionH relativeFrom="page">
                <wp:align>center</wp:align>
              </wp:positionH>
              <wp:positionV relativeFrom="page">
                <wp:align>bottom</wp:align>
              </wp:positionV>
              <wp:extent cx="459740" cy="368935"/>
              <wp:effectExtent l="0" t="0" r="16510" b="0"/>
              <wp:wrapNone/>
              <wp:docPr id="9472551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1C7C8D" w:rsidP="001C7C8D" w:rsidRDefault="001C7C8D" w14:paraId="73479A18"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F01680F">
            <v:shapetype id="_x0000_t202" coordsize="21600,21600" o:spt="202" path="m,l,21600r21600,l21600,xe" w14:anchorId="1FB2CB7F">
              <v:stroke joinstyle="miter"/>
              <v:path gradientshapeok="t" o:connecttype="rect"/>
            </v:shapetype>
            <v:shape id="_x0000_s1037" style="position:absolute;left:0;text-align:left;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boDgIAAB0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dn9uv4L6iFM5GBbuLV+3WHvDfHhhDjeM7aJq&#10;wzMeUkFXUjhZlDTgfvzNH/OReIxS0qFiSmpQ0pSobwYXEsU1Gm40qmRM5/ksx7jZ6wdAHU7xSVie&#10;TPS6oEZTOtBvqOdVLIQhZjiWK2k1mg9hkC6+By5Wq5SEOrIsbMzW8ggd+YpkvvZvzNkT4wFX9QSj&#10;nFjxjvghN970drUPSH/aSuR2IPJEOWow7fX0XqLIf/1PWZdXvfwJ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0DAboDgIAAB0E&#10;AAAOAAAAAAAAAAAAAAAAAC4CAABkcnMvZTJvRG9jLnhtbFBLAQItABQABgAIAAAAIQBy2TBO2gAA&#10;AAMBAAAPAAAAAAAAAAAAAAAAAGgEAABkcnMvZG93bnJldi54bWxQSwUGAAAAAAQABADzAAAAbwUA&#10;AAAA&#10;">
              <v:textbox style="mso-fit-shape-to-text:t" inset="0,0,0,15pt">
                <w:txbxContent>
                  <w:p w:rsidRPr="001C7C8D" w:rsidR="001C7C8D" w:rsidP="001C7C8D" w:rsidRDefault="001C7C8D" w14:paraId="09E77742"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p w:rsidR="002E5DD2" w:rsidRDefault="002E5DD2" w14:paraId="52289454"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ab/>
    </w:r>
    <w:r>
      <w:rPr>
        <w:rFonts w:eastAsia="Arial" w:cs="Arial"/>
        <w:color w:val="000000"/>
        <w:sz w:val="20"/>
        <w:szCs w:val="20"/>
      </w:rPr>
      <w:t xml:space="preserve">                                           </w:t>
    </w:r>
  </w:p>
  <w:p w:rsidR="002E5DD2" w:rsidRDefault="002E5DD2" w14:paraId="79CF424A"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626983">
      <w:rPr>
        <w:rFonts w:eastAsia="Arial" w:cs="Arial"/>
        <w:noProof/>
        <w:color w:val="000000"/>
        <w:sz w:val="20"/>
        <w:szCs w:val="20"/>
      </w:rPr>
      <w:t>4</w:t>
    </w:r>
    <w:r>
      <w:rPr>
        <w:rFonts w:eastAsia="Arial" w:cs="Arial"/>
        <w:color w:val="000000"/>
        <w:sz w:val="20"/>
        <w:szCs w:val="20"/>
      </w:rPr>
      <w:fldChar w:fldCharType="end"/>
    </w:r>
  </w:p>
  <w:p w:rsidR="002E5DD2" w:rsidRDefault="002E5DD2" w14:paraId="1F2F00AE" w14:textId="77777777">
    <w:pPr>
      <w:pBdr>
        <w:top w:val="nil"/>
        <w:left w:val="nil"/>
        <w:bottom w:val="nil"/>
        <w:right w:val="nil"/>
        <w:between w:val="nil"/>
      </w:pBdr>
      <w:tabs>
        <w:tab w:val="center" w:pos="4513"/>
        <w:tab w:val="right" w:pos="9026"/>
      </w:tabs>
      <w:spacing w:after="0" w:line="240" w:lineRule="auto"/>
      <w:rPr>
        <w:rFonts w:eastAsia="Arial" w:cs="Arial"/>
        <w:color w:val="000000"/>
      </w:rPr>
    </w:pPr>
    <w:r>
      <w:rPr>
        <w:rFonts w:eastAsia="Arial" w:cs="Arial"/>
        <w:color w:val="000000"/>
        <w:sz w:val="20"/>
        <w:szCs w:val="20"/>
      </w:rPr>
      <w:tab/>
    </w:r>
    <w:r>
      <w:rPr>
        <w:rFonts w:eastAsia="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DB9" w:rsidRDefault="00490DB9" w14:paraId="73BE10CD" w14:textId="77777777">
      <w:pPr>
        <w:spacing w:after="0" w:line="240" w:lineRule="auto"/>
      </w:pPr>
      <w:r>
        <w:separator/>
      </w:r>
    </w:p>
  </w:footnote>
  <w:footnote w:type="continuationSeparator" w:id="0">
    <w:p w:rsidR="00490DB9" w:rsidRDefault="00490DB9" w14:paraId="16274BD8" w14:textId="77777777">
      <w:pPr>
        <w:spacing w:after="0" w:line="240" w:lineRule="auto"/>
      </w:pPr>
      <w:r>
        <w:continuationSeparator/>
      </w:r>
    </w:p>
  </w:footnote>
  <w:footnote w:type="continuationNotice" w:id="1">
    <w:p w:rsidR="00490DB9" w:rsidRDefault="00490DB9" w14:paraId="07ED3E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0BC6" w:rsidRDefault="00EC0BC6" w14:paraId="6CCB5E69" w14:textId="77777777">
    <w:pPr>
      <w:pStyle w:val="Header"/>
    </w:pPr>
    <w:r>
      <w:rPr>
        <w:noProof/>
      </w:rPr>
      <mc:AlternateContent>
        <mc:Choice Requires="wps">
          <w:drawing>
            <wp:anchor distT="0" distB="0" distL="0" distR="0" simplePos="0" relativeHeight="251658247" behindDoc="0" locked="0" layoutInCell="1" allowOverlap="1" wp14:anchorId="069CC219" wp14:editId="46CEE690">
              <wp:simplePos x="635" y="635"/>
              <wp:positionH relativeFrom="page">
                <wp:align>center</wp:align>
              </wp:positionH>
              <wp:positionV relativeFrom="page">
                <wp:align>top</wp:align>
              </wp:positionV>
              <wp:extent cx="459740" cy="368935"/>
              <wp:effectExtent l="0" t="0" r="16510" b="12065"/>
              <wp:wrapNone/>
              <wp:docPr id="4395281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EC0BC6" w:rsidP="001C7C8D" w:rsidRDefault="00EC0BC6" w14:paraId="49AE1B87"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46DFC06">
            <v:shapetype id="_x0000_t202" coordsize="21600,21600" o:spt="202" path="m,l,21600r21600,l21600,xe" w14:anchorId="069CC219">
              <v:stroke joinstyle="miter"/>
              <v:path gradientshapeok="t" o:connecttype="rect"/>
            </v:shapetype>
            <v:shape id="Text Box 2" style="position:absolute;margin-left:0;margin-top:0;width:36.2pt;height:29.05pt;z-index:251658247;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v:textbox style="mso-fit-shape-to-text:t" inset="0,15pt,0,0">
                <w:txbxContent>
                  <w:p w:rsidRPr="001C7C8D" w:rsidR="00EC0BC6" w:rsidP="001C7C8D" w:rsidRDefault="00EC0BC6" w14:paraId="6D44D65D"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101CFB" w:rsidR="00EC0BC6" w:rsidP="00147AB8" w:rsidRDefault="00EC0BC6" w14:paraId="67CDA160" w14:textId="77777777">
    <w:pPr>
      <w:pBdr>
        <w:top w:val="nil"/>
        <w:left w:val="nil"/>
        <w:bottom w:val="nil"/>
        <w:right w:val="nil"/>
        <w:between w:val="nil"/>
      </w:pBdr>
      <w:tabs>
        <w:tab w:val="center" w:pos="4513"/>
        <w:tab w:val="right" w:pos="9026"/>
      </w:tabs>
      <w:spacing w:after="0" w:line="240" w:lineRule="auto"/>
      <w:rPr>
        <w:rFonts w:eastAsia="Arial" w:cs="Arial"/>
        <w:bCs/>
        <w:color w:val="000000"/>
        <w:sz w:val="20"/>
        <w:szCs w:val="20"/>
      </w:rPr>
    </w:pPr>
    <w:r>
      <w:rPr>
        <w:rFonts w:eastAsia="Arial" w:cs="Arial"/>
        <w:bCs/>
        <w:noProof/>
        <w:color w:val="000000"/>
        <w:sz w:val="20"/>
        <w:szCs w:val="20"/>
      </w:rPr>
      <mc:AlternateContent>
        <mc:Choice Requires="wps">
          <w:drawing>
            <wp:anchor distT="0" distB="0" distL="0" distR="0" simplePos="0" relativeHeight="251658248" behindDoc="0" locked="0" layoutInCell="1" allowOverlap="1" wp14:anchorId="0A7005F9" wp14:editId="06A1C4E7">
              <wp:simplePos x="914400" y="449580"/>
              <wp:positionH relativeFrom="page">
                <wp:align>center</wp:align>
              </wp:positionH>
              <wp:positionV relativeFrom="page">
                <wp:align>top</wp:align>
              </wp:positionV>
              <wp:extent cx="459740" cy="368935"/>
              <wp:effectExtent l="0" t="0" r="16510" b="12065"/>
              <wp:wrapNone/>
              <wp:docPr id="17571168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EC0BC6" w:rsidP="001C7C8D" w:rsidRDefault="00EC0BC6" w14:paraId="699ED1D2"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926653D">
            <v:shapetype id="_x0000_t202" coordsize="21600,21600" o:spt="202" path="m,l,21600r21600,l21600,xe" w14:anchorId="0A7005F9">
              <v:stroke joinstyle="miter"/>
              <v:path gradientshapeok="t" o:connecttype="rect"/>
            </v:shapetype>
            <v:shape id="Text Box 3" style="position:absolute;margin-left:0;margin-top:0;width:36.2pt;height:29.05pt;z-index:25165824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v:textbox style="mso-fit-shape-to-text:t" inset="0,15pt,0,0">
                <w:txbxContent>
                  <w:p w:rsidRPr="001C7C8D" w:rsidR="00EC0BC6" w:rsidP="001C7C8D" w:rsidRDefault="00EC0BC6" w14:paraId="2CCFEE10"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r w:rsidRPr="00101CFB">
      <w:rPr>
        <w:rFonts w:eastAsia="Arial" w:cs="Arial"/>
        <w:bCs/>
        <w:color w:val="000000"/>
        <w:sz w:val="20"/>
        <w:szCs w:val="20"/>
      </w:rPr>
      <w:t>Schedule 10 (</w:t>
    </w:r>
    <w:r>
      <w:rPr>
        <w:rFonts w:eastAsia="Arial" w:cs="Arial"/>
        <w:bCs/>
        <w:color w:val="000000"/>
        <w:sz w:val="20"/>
        <w:szCs w:val="20"/>
      </w:rPr>
      <w:t>Performance</w:t>
    </w:r>
    <w:r w:rsidRPr="00101CFB">
      <w:rPr>
        <w:rFonts w:eastAsia="Arial" w:cs="Arial"/>
        <w:bCs/>
        <w:color w:val="000000"/>
        <w:sz w:val="20"/>
        <w:szCs w:val="20"/>
      </w:rPr>
      <w:t xml:space="preserve"> Levels), Crown Copyright 202</w:t>
    </w:r>
    <w:r>
      <w:rPr>
        <w:rFonts w:eastAsia="Arial" w:cs="Arial"/>
        <w:bCs/>
        <w:color w:val="000000"/>
        <w:sz w:val="20"/>
        <w:szCs w:val="20"/>
      </w:rPr>
      <w:t>5</w:t>
    </w:r>
    <w:r w:rsidRPr="00101CFB">
      <w:rPr>
        <w:rFonts w:eastAsia="Arial" w:cs="Arial"/>
        <w:bCs/>
        <w:color w:val="000000"/>
        <w:sz w:val="20"/>
        <w:szCs w:val="20"/>
      </w:rPr>
      <w:t>, [Subject to Contract]</w:t>
    </w:r>
  </w:p>
  <w:p w:rsidR="00EC0BC6" w:rsidRDefault="00EC0BC6" w14:paraId="56B4C015"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C0BC6" w:rsidRDefault="00EC0BC6" w14:paraId="3C95CF8D" w14:textId="77777777">
    <w:pPr>
      <w:pStyle w:val="Header"/>
    </w:pPr>
    <w:r>
      <w:rPr>
        <w:noProof/>
      </w:rPr>
      <mc:AlternateContent>
        <mc:Choice Requires="wps">
          <w:drawing>
            <wp:anchor distT="0" distB="0" distL="0" distR="0" simplePos="0" relativeHeight="251658246" behindDoc="0" locked="0" layoutInCell="1" allowOverlap="1" wp14:anchorId="3D83AC4A" wp14:editId="7F756287">
              <wp:simplePos x="635" y="635"/>
              <wp:positionH relativeFrom="page">
                <wp:align>center</wp:align>
              </wp:positionH>
              <wp:positionV relativeFrom="page">
                <wp:align>top</wp:align>
              </wp:positionV>
              <wp:extent cx="459740" cy="368935"/>
              <wp:effectExtent l="0" t="0" r="16510" b="12065"/>
              <wp:wrapNone/>
              <wp:docPr id="11768098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EC0BC6" w:rsidP="001C7C8D" w:rsidRDefault="00EC0BC6" w14:paraId="0C4B0A7E"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E8C57C9">
            <v:shapetype id="_x0000_t202" coordsize="21600,21600" o:spt="202" path="m,l,21600r21600,l21600,xe" w14:anchorId="3D83AC4A">
              <v:stroke joinstyle="miter"/>
              <v:path gradientshapeok="t" o:connecttype="rect"/>
            </v:shapetype>
            <v:shape id="Text Box 1" style="position:absolute;margin-left:0;margin-top:0;width:36.2pt;height:29.05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v:textbox style="mso-fit-shape-to-text:t" inset="0,15pt,0,0">
                <w:txbxContent>
                  <w:p w:rsidRPr="001C7C8D" w:rsidR="00EC0BC6" w:rsidP="001C7C8D" w:rsidRDefault="00EC0BC6" w14:paraId="1DE42834"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F1E19" w:rsidRDefault="001C7C8D" w14:paraId="082C3A9E" w14:textId="77777777">
    <w:pPr>
      <w:pStyle w:val="Header"/>
    </w:pPr>
    <w:r>
      <w:rPr>
        <w:noProof/>
      </w:rPr>
      <mc:AlternateContent>
        <mc:Choice Requires="wps">
          <w:drawing>
            <wp:anchor distT="0" distB="0" distL="0" distR="0" simplePos="0" relativeHeight="251658241" behindDoc="0" locked="0" layoutInCell="1" allowOverlap="1" wp14:anchorId="024B24A1" wp14:editId="17C8DDDA">
              <wp:simplePos x="635" y="635"/>
              <wp:positionH relativeFrom="page">
                <wp:align>center</wp:align>
              </wp:positionH>
              <wp:positionV relativeFrom="page">
                <wp:align>top</wp:align>
              </wp:positionV>
              <wp:extent cx="459740" cy="368935"/>
              <wp:effectExtent l="0" t="0" r="16510" b="12065"/>
              <wp:wrapNone/>
              <wp:docPr id="1449082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1C7C8D" w:rsidP="001C7C8D" w:rsidRDefault="001C7C8D" w14:paraId="05B8D32C"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1009832">
            <v:shapetype id="_x0000_t202" coordsize="21600,21600" o:spt="202" path="m,l,21600r21600,l21600,xe" w14:anchorId="024B24A1">
              <v:stroke joinstyle="miter"/>
              <v:path gradientshapeok="t" o:connecttype="rect"/>
            </v:shapetype>
            <v:shape id="_x0000_s1032" style="position:absolute;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7/Dg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vJnMvt5ghGPoeno7u55ElOzys3U+fBegSTRK6nAriSx2&#10;WPvQpw4psZaBVaNU2owyfzkQM3qyS4fRCt22I01V0unQ/RaqIw7loN+3t3zVYOk18+GZOVwwdoui&#10;DU94SAVtSeFkUVKD+/U/f8xH3jFKSYuCKalBRVOifhjcR9RWMsazfJL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D5UD7/DgIAABwE&#10;AAAOAAAAAAAAAAAAAAAAAC4CAABkcnMvZTJvRG9jLnhtbFBLAQItABQABgAIAAAAIQCRKuzx2gAA&#10;AAMBAAAPAAAAAAAAAAAAAAAAAGgEAABkcnMvZG93bnJldi54bWxQSwUGAAAAAAQABADzAAAAbwUA&#10;AAAA&#10;">
              <v:textbox style="mso-fit-shape-to-text:t" inset="0,15pt,0,0">
                <w:txbxContent>
                  <w:p w:rsidRPr="001C7C8D" w:rsidR="001C7C8D" w:rsidP="001C7C8D" w:rsidRDefault="001C7C8D" w14:paraId="75F360E3"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101CFB" w:rsidR="002E5DD2" w:rsidP="00147AB8" w:rsidRDefault="001C7C8D" w14:paraId="341CD977" w14:textId="77777777">
    <w:pPr>
      <w:pBdr>
        <w:top w:val="nil"/>
        <w:left w:val="nil"/>
        <w:bottom w:val="nil"/>
        <w:right w:val="nil"/>
        <w:between w:val="nil"/>
      </w:pBdr>
      <w:tabs>
        <w:tab w:val="center" w:pos="4513"/>
        <w:tab w:val="right" w:pos="9026"/>
      </w:tabs>
      <w:spacing w:after="0" w:line="240" w:lineRule="auto"/>
      <w:rPr>
        <w:rFonts w:eastAsia="Arial" w:cs="Arial"/>
        <w:bCs/>
        <w:color w:val="000000"/>
        <w:sz w:val="20"/>
        <w:szCs w:val="20"/>
      </w:rPr>
    </w:pPr>
    <w:r>
      <w:rPr>
        <w:rFonts w:eastAsia="Arial" w:cs="Arial"/>
        <w:bCs/>
        <w:noProof/>
        <w:color w:val="000000"/>
        <w:sz w:val="20"/>
        <w:szCs w:val="20"/>
      </w:rPr>
      <mc:AlternateContent>
        <mc:Choice Requires="wps">
          <w:drawing>
            <wp:anchor distT="0" distB="0" distL="0" distR="0" simplePos="0" relativeHeight="251658242" behindDoc="0" locked="0" layoutInCell="1" allowOverlap="1" wp14:anchorId="0FF3B1DE" wp14:editId="12FB4893">
              <wp:simplePos x="914400" y="449580"/>
              <wp:positionH relativeFrom="page">
                <wp:align>center</wp:align>
              </wp:positionH>
              <wp:positionV relativeFrom="page">
                <wp:align>top</wp:align>
              </wp:positionV>
              <wp:extent cx="459740" cy="368935"/>
              <wp:effectExtent l="0" t="0" r="16510" b="12065"/>
              <wp:wrapNone/>
              <wp:docPr id="7984394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1C7C8D" w:rsidP="001C7C8D" w:rsidRDefault="001C7C8D" w14:paraId="2FAB4D92"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207A0B9">
            <v:shapetype id="_x0000_t202" coordsize="21600,21600" o:spt="202" path="m,l,21600r21600,l21600,xe" w14:anchorId="0FF3B1DE">
              <v:stroke joinstyle="miter"/>
              <v:path gradientshapeok="t" o:connecttype="rect"/>
            </v:shapetype>
            <v:shape id="_x0000_s1033" style="position:absolute;margin-left:0;margin-top:0;width:36.2pt;height:29.05pt;z-index:251658242;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CU74zCDgIAABwE&#10;AAAOAAAAAAAAAAAAAAAAAC4CAABkcnMvZTJvRG9jLnhtbFBLAQItABQABgAIAAAAIQCRKuzx2gAA&#10;AAMBAAAPAAAAAAAAAAAAAAAAAGgEAABkcnMvZG93bnJldi54bWxQSwUGAAAAAAQABADzAAAAbwUA&#10;AAAA&#10;">
              <v:textbox style="mso-fit-shape-to-text:t" inset="0,15pt,0,0">
                <w:txbxContent>
                  <w:p w:rsidRPr="001C7C8D" w:rsidR="001C7C8D" w:rsidP="001C7C8D" w:rsidRDefault="001C7C8D" w14:paraId="6E1199A7"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r w:rsidRPr="00101CFB" w:rsidR="002E5DD2">
      <w:rPr>
        <w:rFonts w:eastAsia="Arial" w:cs="Arial"/>
        <w:bCs/>
        <w:color w:val="000000"/>
        <w:sz w:val="20"/>
        <w:szCs w:val="20"/>
      </w:rPr>
      <w:t>Schedule 10 (</w:t>
    </w:r>
    <w:r w:rsidR="002E5DD2">
      <w:rPr>
        <w:rFonts w:eastAsia="Arial" w:cs="Arial"/>
        <w:bCs/>
        <w:color w:val="000000"/>
        <w:sz w:val="20"/>
        <w:szCs w:val="20"/>
      </w:rPr>
      <w:t>Performance</w:t>
    </w:r>
    <w:r w:rsidRPr="00101CFB" w:rsidR="002E5DD2">
      <w:rPr>
        <w:rFonts w:eastAsia="Arial" w:cs="Arial"/>
        <w:bCs/>
        <w:color w:val="000000"/>
        <w:sz w:val="20"/>
        <w:szCs w:val="20"/>
      </w:rPr>
      <w:t xml:space="preserve"> Levels), Crown Copyright 202</w:t>
    </w:r>
    <w:r w:rsidR="002E5DD2">
      <w:rPr>
        <w:rFonts w:eastAsia="Arial" w:cs="Arial"/>
        <w:bCs/>
        <w:color w:val="000000"/>
        <w:sz w:val="20"/>
        <w:szCs w:val="20"/>
      </w:rPr>
      <w:t>5</w:t>
    </w:r>
    <w:r w:rsidRPr="00101CFB" w:rsidR="002E5DD2">
      <w:rPr>
        <w:rFonts w:eastAsia="Arial" w:cs="Arial"/>
        <w:bCs/>
        <w:color w:val="000000"/>
        <w:sz w:val="20"/>
        <w:szCs w:val="20"/>
      </w:rPr>
      <w:t>, [Subject to Contract]</w:t>
    </w:r>
  </w:p>
  <w:p w:rsidR="002E5DD2" w:rsidRDefault="002E5DD2" w14:paraId="51CF693F" w14:textId="77777777">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F1E19" w:rsidRDefault="001C7C8D" w14:paraId="13645ED2" w14:textId="77777777">
    <w:pPr>
      <w:pStyle w:val="Header"/>
    </w:pPr>
    <w:r>
      <w:rPr>
        <w:noProof/>
      </w:rPr>
      <mc:AlternateContent>
        <mc:Choice Requires="wps">
          <w:drawing>
            <wp:anchor distT="0" distB="0" distL="0" distR="0" simplePos="0" relativeHeight="251658240" behindDoc="0" locked="0" layoutInCell="1" allowOverlap="1" wp14:anchorId="14DE7954" wp14:editId="35E14F7A">
              <wp:simplePos x="635" y="635"/>
              <wp:positionH relativeFrom="page">
                <wp:align>center</wp:align>
              </wp:positionH>
              <wp:positionV relativeFrom="page">
                <wp:align>top</wp:align>
              </wp:positionV>
              <wp:extent cx="459740" cy="368935"/>
              <wp:effectExtent l="0" t="0" r="16510" b="12065"/>
              <wp:wrapNone/>
              <wp:docPr id="5202181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rsidRPr="001C7C8D" w:rsidR="001C7C8D" w:rsidP="001C7C8D" w:rsidRDefault="001C7C8D" w14:paraId="2A1413A0"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A7AE30A">
            <v:shapetype id="_x0000_t202" coordsize="21600,21600" o:spt="202" path="m,l,21600r21600,l21600,xe" w14:anchorId="14DE7954">
              <v:stroke joinstyle="miter"/>
              <v:path gradientshapeok="t" o:connecttype="rect"/>
            </v:shapetype>
            <v:shape id="_x0000_s1036"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VhDQ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">
              <v:textbox style="mso-fit-shape-to-text:t" inset="0,15pt,0,0">
                <w:txbxContent>
                  <w:p w:rsidRPr="001C7C8D" w:rsidR="001C7C8D" w:rsidP="001C7C8D" w:rsidRDefault="001C7C8D" w14:paraId="171AAEBA" w14:textId="77777777">
                    <w:pPr>
                      <w:spacing w:after="0"/>
                      <w:rPr>
                        <w:rFonts w:ascii="Calibri" w:hAnsi="Calibri" w:cs="Calibri"/>
                        <w:noProof/>
                        <w:color w:val="000000"/>
                        <w:sz w:val="20"/>
                        <w:szCs w:val="20"/>
                      </w:rPr>
                    </w:pPr>
                    <w:r w:rsidRPr="001C7C8D">
                      <w:rPr>
                        <w:rFonts w:ascii="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10"/>
    <w:multiLevelType w:val="multilevel"/>
    <w:tmpl w:val="6EDECC78"/>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2813BB"/>
    <w:multiLevelType w:val="hybridMultilevel"/>
    <w:tmpl w:val="5D2270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887CC6"/>
    <w:multiLevelType w:val="multilevel"/>
    <w:tmpl w:val="96B2B050"/>
    <w:lvl w:ilvl="0">
      <w:start w:val="1"/>
      <w:numFmt w:val="decimal"/>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sz w:val="24"/>
        <w:szCs w:val="24"/>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25723AAE"/>
    <w:multiLevelType w:val="multilevel"/>
    <w:tmpl w:val="8F785C60"/>
    <w:lvl w:ilvl="0">
      <w:start w:val="1"/>
      <w:numFmt w:val="decimal"/>
      <w:pStyle w:val="GPSL1CLAUSEHEADING"/>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hint="default" w:ascii="Arial" w:hAnsi="Arial" w:cs="Calibri"/>
        <w:b w:val="0"/>
        <w:i w:val="0"/>
        <w:smallCaps w:val="0"/>
        <w:strike w:val="0"/>
        <w:color w:val="000000"/>
        <w:sz w:val="24"/>
        <w:szCs w:val="22"/>
        <w:u w:val="none"/>
        <w:vertAlign w:val="baseline"/>
      </w:rPr>
    </w:lvl>
    <w:lvl w:ilvl="2">
      <w:start w:val="1"/>
      <w:numFmt w:val="decimal"/>
      <w:pStyle w:val="GPSL3numberedclause"/>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ascii="Arial" w:hAnsi="Arial" w:cs="Calibri"/>
        <w:b w:val="0"/>
        <w:i w:val="0"/>
        <w:smallCaps w:val="0"/>
        <w:strike w:val="0"/>
        <w:color w:val="000000"/>
        <w:sz w:val="24"/>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4C965BC8"/>
    <w:multiLevelType w:val="multilevel"/>
    <w:tmpl w:val="E6165AD2"/>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pStyle w:val="GPSL2NumberedBoldHeading"/>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8AC0137"/>
    <w:multiLevelType w:val="multilevel"/>
    <w:tmpl w:val="82DC9354"/>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BB1631E"/>
    <w:multiLevelType w:val="hybridMultilevel"/>
    <w:tmpl w:val="55340398"/>
    <w:lvl w:ilvl="0" w:tplc="A364A408">
      <w:start w:val="6"/>
      <w:numFmt w:val="bullet"/>
      <w:lvlText w:val=""/>
      <w:lvlJc w:val="left"/>
      <w:pPr>
        <w:ind w:left="1080" w:hanging="360"/>
      </w:pPr>
      <w:rPr>
        <w:rFonts w:hint="default" w:ascii="Symbol" w:hAnsi="Symbol"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60723921"/>
    <w:multiLevelType w:val="multilevel"/>
    <w:tmpl w:val="D8941D22"/>
    <w:lvl w:ilvl="0">
      <w:start w:val="1"/>
      <w:numFmt w:val="decimal"/>
      <w:pStyle w:val="GPsDefinition"/>
      <w:lvlText w:val="%1."/>
      <w:lvlJc w:val="left"/>
      <w:pPr>
        <w:ind w:left="720" w:hanging="720"/>
      </w:pPr>
      <w:rPr>
        <w:rFonts w:ascii="Calibri" w:hAnsi="Calibri" w:eastAsia="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hAnsi="Arial" w:eastAsia="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7736AA9"/>
    <w:multiLevelType w:val="multilevel"/>
    <w:tmpl w:val="2CEE12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2FB0A0"/>
    <w:multiLevelType w:val="hybridMultilevel"/>
    <w:tmpl w:val="DF42984E"/>
    <w:lvl w:ilvl="0" w:tplc="5D1EBD98">
      <w:start w:val="1"/>
      <w:numFmt w:val="bullet"/>
      <w:lvlText w:val=""/>
      <w:lvlJc w:val="left"/>
      <w:pPr>
        <w:ind w:left="720" w:hanging="360"/>
      </w:pPr>
      <w:rPr>
        <w:rFonts w:hint="default" w:ascii="Symbol" w:hAnsi="Symbol"/>
      </w:rPr>
    </w:lvl>
    <w:lvl w:ilvl="1" w:tplc="E1867F00">
      <w:start w:val="1"/>
      <w:numFmt w:val="bullet"/>
      <w:lvlText w:val="o"/>
      <w:lvlJc w:val="left"/>
      <w:pPr>
        <w:ind w:left="1440" w:hanging="360"/>
      </w:pPr>
      <w:rPr>
        <w:rFonts w:hint="default" w:ascii="Courier New" w:hAnsi="Courier New"/>
      </w:rPr>
    </w:lvl>
    <w:lvl w:ilvl="2" w:tplc="BFC6A42C">
      <w:start w:val="1"/>
      <w:numFmt w:val="bullet"/>
      <w:lvlText w:val=""/>
      <w:lvlJc w:val="left"/>
      <w:pPr>
        <w:ind w:left="2160" w:hanging="360"/>
      </w:pPr>
      <w:rPr>
        <w:rFonts w:hint="default" w:ascii="Wingdings" w:hAnsi="Wingdings"/>
      </w:rPr>
    </w:lvl>
    <w:lvl w:ilvl="3" w:tplc="AA5C09B8">
      <w:start w:val="1"/>
      <w:numFmt w:val="bullet"/>
      <w:lvlText w:val=""/>
      <w:lvlJc w:val="left"/>
      <w:pPr>
        <w:ind w:left="2880" w:hanging="360"/>
      </w:pPr>
      <w:rPr>
        <w:rFonts w:hint="default" w:ascii="Symbol" w:hAnsi="Symbol"/>
      </w:rPr>
    </w:lvl>
    <w:lvl w:ilvl="4" w:tplc="12407B46">
      <w:start w:val="1"/>
      <w:numFmt w:val="bullet"/>
      <w:lvlText w:val="o"/>
      <w:lvlJc w:val="left"/>
      <w:pPr>
        <w:ind w:left="3600" w:hanging="360"/>
      </w:pPr>
      <w:rPr>
        <w:rFonts w:hint="default" w:ascii="Courier New" w:hAnsi="Courier New"/>
      </w:rPr>
    </w:lvl>
    <w:lvl w:ilvl="5" w:tplc="9E78D23A">
      <w:start w:val="1"/>
      <w:numFmt w:val="bullet"/>
      <w:lvlText w:val=""/>
      <w:lvlJc w:val="left"/>
      <w:pPr>
        <w:ind w:left="4320" w:hanging="360"/>
      </w:pPr>
      <w:rPr>
        <w:rFonts w:hint="default" w:ascii="Wingdings" w:hAnsi="Wingdings"/>
      </w:rPr>
    </w:lvl>
    <w:lvl w:ilvl="6" w:tplc="8E000514">
      <w:start w:val="1"/>
      <w:numFmt w:val="bullet"/>
      <w:lvlText w:val=""/>
      <w:lvlJc w:val="left"/>
      <w:pPr>
        <w:ind w:left="5040" w:hanging="360"/>
      </w:pPr>
      <w:rPr>
        <w:rFonts w:hint="default" w:ascii="Symbol" w:hAnsi="Symbol"/>
      </w:rPr>
    </w:lvl>
    <w:lvl w:ilvl="7" w:tplc="30EC57F8">
      <w:start w:val="1"/>
      <w:numFmt w:val="bullet"/>
      <w:lvlText w:val="o"/>
      <w:lvlJc w:val="left"/>
      <w:pPr>
        <w:ind w:left="5760" w:hanging="360"/>
      </w:pPr>
      <w:rPr>
        <w:rFonts w:hint="default" w:ascii="Courier New" w:hAnsi="Courier New"/>
      </w:rPr>
    </w:lvl>
    <w:lvl w:ilvl="8" w:tplc="1F8A4EDC">
      <w:start w:val="1"/>
      <w:numFmt w:val="bullet"/>
      <w:lvlText w:val=""/>
      <w:lvlJc w:val="left"/>
      <w:pPr>
        <w:ind w:left="6480" w:hanging="360"/>
      </w:pPr>
      <w:rPr>
        <w:rFonts w:hint="default" w:ascii="Wingdings" w:hAnsi="Wingdings"/>
      </w:rPr>
    </w:lvl>
  </w:abstractNum>
  <w:abstractNum w:abstractNumId="10" w15:restartNumberingAfterBreak="0">
    <w:nsid w:val="6F347084"/>
    <w:multiLevelType w:val="multilevel"/>
    <w:tmpl w:val="A3FEEA2E"/>
    <w:lvl w:ilvl="0">
      <w:start w:val="1"/>
      <w:numFmt w:val="decimal"/>
      <w:lvlText w:val="%1"/>
      <w:lvlJc w:val="left"/>
      <w:pPr>
        <w:ind w:left="720" w:hanging="720"/>
      </w:pPr>
      <w:rPr>
        <w:smallCaps w:val="0"/>
        <w:strike w:val="0"/>
        <w:u w:val="none"/>
        <w:vertAlign w:val="baseline"/>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decimal"/>
      <w:lvlText w:val="%2.%3.%4"/>
      <w:lvlJc w:val="left"/>
      <w:pPr>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2568394">
    <w:abstractNumId w:val="4"/>
  </w:num>
  <w:num w:numId="2" w16cid:durableId="1883865073">
    <w:abstractNumId w:val="7"/>
  </w:num>
  <w:num w:numId="3" w16cid:durableId="368796848">
    <w:abstractNumId w:val="5"/>
  </w:num>
  <w:num w:numId="4" w16cid:durableId="1593081024">
    <w:abstractNumId w:val="2"/>
  </w:num>
  <w:num w:numId="5" w16cid:durableId="501513286">
    <w:abstractNumId w:val="0"/>
  </w:num>
  <w:num w:numId="6" w16cid:durableId="426392228">
    <w:abstractNumId w:val="6"/>
  </w:num>
  <w:num w:numId="7" w16cid:durableId="102045278">
    <w:abstractNumId w:val="8"/>
  </w:num>
  <w:num w:numId="8" w16cid:durableId="350838617">
    <w:abstractNumId w:val="10"/>
  </w:num>
  <w:num w:numId="9" w16cid:durableId="1247883161">
    <w:abstractNumId w:val="3"/>
  </w:num>
  <w:num w:numId="10" w16cid:durableId="1188829313">
    <w:abstractNumId w:val="3"/>
  </w:num>
  <w:num w:numId="11" w16cid:durableId="1323464183">
    <w:abstractNumId w:val="3"/>
  </w:num>
  <w:num w:numId="12" w16cid:durableId="2038238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47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658421">
    <w:abstractNumId w:val="1"/>
  </w:num>
  <w:num w:numId="15" w16cid:durableId="532117245">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8"/>
  <w:proofState w:spelling="clean" w:grammar="dirty"/>
  <w:attachedTemplate r:id="rId1"/>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Schedule 10 (Performance Levels) (Final Review).DOCX"/>
    <w:docVar w:name="gemDN1|GAYLEJ|25 July 2023 19:30:42" w:val="V2 - Amend TRK NV"/>
    <w:docVar w:name="gemDocNotesCount" w:val="1"/>
  </w:docVars>
  <w:rsids>
    <w:rsidRoot w:val="00C91A65"/>
    <w:rsid w:val="00000DDA"/>
    <w:rsid w:val="000068DB"/>
    <w:rsid w:val="0001687F"/>
    <w:rsid w:val="00022886"/>
    <w:rsid w:val="000325A2"/>
    <w:rsid w:val="00034290"/>
    <w:rsid w:val="000412F5"/>
    <w:rsid w:val="00042D3D"/>
    <w:rsid w:val="00043663"/>
    <w:rsid w:val="0004681C"/>
    <w:rsid w:val="00052D92"/>
    <w:rsid w:val="00063A76"/>
    <w:rsid w:val="000701E6"/>
    <w:rsid w:val="0008341F"/>
    <w:rsid w:val="00083F3D"/>
    <w:rsid w:val="000842BF"/>
    <w:rsid w:val="000B3289"/>
    <w:rsid w:val="000B36C5"/>
    <w:rsid w:val="000B5C11"/>
    <w:rsid w:val="000B7E13"/>
    <w:rsid w:val="000C0522"/>
    <w:rsid w:val="000D0217"/>
    <w:rsid w:val="00101CFB"/>
    <w:rsid w:val="00102577"/>
    <w:rsid w:val="0011051A"/>
    <w:rsid w:val="00110968"/>
    <w:rsid w:val="00132FDE"/>
    <w:rsid w:val="00135404"/>
    <w:rsid w:val="00146ACF"/>
    <w:rsid w:val="00147AB8"/>
    <w:rsid w:val="00147E88"/>
    <w:rsid w:val="00152439"/>
    <w:rsid w:val="00161361"/>
    <w:rsid w:val="001667C6"/>
    <w:rsid w:val="00195A34"/>
    <w:rsid w:val="00195F10"/>
    <w:rsid w:val="001A13EE"/>
    <w:rsid w:val="001A6841"/>
    <w:rsid w:val="001B2072"/>
    <w:rsid w:val="001B6612"/>
    <w:rsid w:val="001C7C8D"/>
    <w:rsid w:val="001E034C"/>
    <w:rsid w:val="001E4207"/>
    <w:rsid w:val="0021031B"/>
    <w:rsid w:val="00210FF5"/>
    <w:rsid w:val="00211E82"/>
    <w:rsid w:val="00220D35"/>
    <w:rsid w:val="00235967"/>
    <w:rsid w:val="002369C1"/>
    <w:rsid w:val="00240641"/>
    <w:rsid w:val="00254024"/>
    <w:rsid w:val="0028284D"/>
    <w:rsid w:val="00284677"/>
    <w:rsid w:val="0028495C"/>
    <w:rsid w:val="00285233"/>
    <w:rsid w:val="0029164C"/>
    <w:rsid w:val="002928C3"/>
    <w:rsid w:val="00294111"/>
    <w:rsid w:val="00295413"/>
    <w:rsid w:val="002B5C17"/>
    <w:rsid w:val="002C098E"/>
    <w:rsid w:val="002C4E52"/>
    <w:rsid w:val="002D4FB1"/>
    <w:rsid w:val="002E242B"/>
    <w:rsid w:val="002E403A"/>
    <w:rsid w:val="002E582D"/>
    <w:rsid w:val="002E5DD2"/>
    <w:rsid w:val="00302F98"/>
    <w:rsid w:val="00303CB2"/>
    <w:rsid w:val="00303EE0"/>
    <w:rsid w:val="00321771"/>
    <w:rsid w:val="0033626C"/>
    <w:rsid w:val="003449CB"/>
    <w:rsid w:val="00345892"/>
    <w:rsid w:val="00356568"/>
    <w:rsid w:val="003743B1"/>
    <w:rsid w:val="00380F62"/>
    <w:rsid w:val="00393481"/>
    <w:rsid w:val="003A19A0"/>
    <w:rsid w:val="003B4F50"/>
    <w:rsid w:val="003B6270"/>
    <w:rsid w:val="003C0BBD"/>
    <w:rsid w:val="003E2C32"/>
    <w:rsid w:val="00403245"/>
    <w:rsid w:val="004118A3"/>
    <w:rsid w:val="0042107E"/>
    <w:rsid w:val="004210E9"/>
    <w:rsid w:val="00425119"/>
    <w:rsid w:val="00434215"/>
    <w:rsid w:val="0043597C"/>
    <w:rsid w:val="00443484"/>
    <w:rsid w:val="00445492"/>
    <w:rsid w:val="00447E13"/>
    <w:rsid w:val="00450E07"/>
    <w:rsid w:val="0045592A"/>
    <w:rsid w:val="004663C2"/>
    <w:rsid w:val="00467724"/>
    <w:rsid w:val="00471F44"/>
    <w:rsid w:val="00474F3D"/>
    <w:rsid w:val="00487E77"/>
    <w:rsid w:val="00490DB9"/>
    <w:rsid w:val="004B3FB8"/>
    <w:rsid w:val="004B47AB"/>
    <w:rsid w:val="004B5389"/>
    <w:rsid w:val="004B7F8C"/>
    <w:rsid w:val="004D1BCB"/>
    <w:rsid w:val="004D1E7F"/>
    <w:rsid w:val="004F17BD"/>
    <w:rsid w:val="0050634D"/>
    <w:rsid w:val="005127A9"/>
    <w:rsid w:val="00515F7D"/>
    <w:rsid w:val="00520D45"/>
    <w:rsid w:val="00524572"/>
    <w:rsid w:val="00545572"/>
    <w:rsid w:val="0055238D"/>
    <w:rsid w:val="0055530D"/>
    <w:rsid w:val="00557D4E"/>
    <w:rsid w:val="00567409"/>
    <w:rsid w:val="00570635"/>
    <w:rsid w:val="005849CC"/>
    <w:rsid w:val="00586B6B"/>
    <w:rsid w:val="00587AFB"/>
    <w:rsid w:val="005A220E"/>
    <w:rsid w:val="005A227F"/>
    <w:rsid w:val="005A2ED8"/>
    <w:rsid w:val="005C751C"/>
    <w:rsid w:val="005D16BC"/>
    <w:rsid w:val="005D21E8"/>
    <w:rsid w:val="005F5FFE"/>
    <w:rsid w:val="006150D0"/>
    <w:rsid w:val="00626983"/>
    <w:rsid w:val="00637481"/>
    <w:rsid w:val="006376A1"/>
    <w:rsid w:val="0066226F"/>
    <w:rsid w:val="00681105"/>
    <w:rsid w:val="00681779"/>
    <w:rsid w:val="006932BD"/>
    <w:rsid w:val="00695B95"/>
    <w:rsid w:val="006B3680"/>
    <w:rsid w:val="006D2031"/>
    <w:rsid w:val="006D60FB"/>
    <w:rsid w:val="006E17AA"/>
    <w:rsid w:val="006F4DA2"/>
    <w:rsid w:val="00701ED3"/>
    <w:rsid w:val="00712BD0"/>
    <w:rsid w:val="007248F9"/>
    <w:rsid w:val="00732A0A"/>
    <w:rsid w:val="0073466F"/>
    <w:rsid w:val="007415C8"/>
    <w:rsid w:val="00743160"/>
    <w:rsid w:val="0076748B"/>
    <w:rsid w:val="00767CA4"/>
    <w:rsid w:val="00781EAC"/>
    <w:rsid w:val="007923B4"/>
    <w:rsid w:val="007935A5"/>
    <w:rsid w:val="00796392"/>
    <w:rsid w:val="00796A11"/>
    <w:rsid w:val="00797C86"/>
    <w:rsid w:val="007A25FA"/>
    <w:rsid w:val="007B00C0"/>
    <w:rsid w:val="00801597"/>
    <w:rsid w:val="00813902"/>
    <w:rsid w:val="00821763"/>
    <w:rsid w:val="00834806"/>
    <w:rsid w:val="008475AA"/>
    <w:rsid w:val="00871568"/>
    <w:rsid w:val="0087195F"/>
    <w:rsid w:val="00873250"/>
    <w:rsid w:val="00873D73"/>
    <w:rsid w:val="00876189"/>
    <w:rsid w:val="0088685B"/>
    <w:rsid w:val="00890019"/>
    <w:rsid w:val="0089533B"/>
    <w:rsid w:val="008A6727"/>
    <w:rsid w:val="008C34B3"/>
    <w:rsid w:val="008C4CB9"/>
    <w:rsid w:val="008D12AE"/>
    <w:rsid w:val="008D50E1"/>
    <w:rsid w:val="00961CF1"/>
    <w:rsid w:val="0097740D"/>
    <w:rsid w:val="0098040C"/>
    <w:rsid w:val="009820C5"/>
    <w:rsid w:val="009C11A0"/>
    <w:rsid w:val="009C3301"/>
    <w:rsid w:val="009C40C9"/>
    <w:rsid w:val="00A0543E"/>
    <w:rsid w:val="00A14E28"/>
    <w:rsid w:val="00A15BC8"/>
    <w:rsid w:val="00A252B2"/>
    <w:rsid w:val="00A31B29"/>
    <w:rsid w:val="00A33A80"/>
    <w:rsid w:val="00A721FA"/>
    <w:rsid w:val="00A76184"/>
    <w:rsid w:val="00A7666C"/>
    <w:rsid w:val="00A81369"/>
    <w:rsid w:val="00A85B89"/>
    <w:rsid w:val="00A91410"/>
    <w:rsid w:val="00A937D3"/>
    <w:rsid w:val="00AA0FCF"/>
    <w:rsid w:val="00AA266C"/>
    <w:rsid w:val="00AA4934"/>
    <w:rsid w:val="00AA778E"/>
    <w:rsid w:val="00AB3785"/>
    <w:rsid w:val="00AB5228"/>
    <w:rsid w:val="00AC1376"/>
    <w:rsid w:val="00AC30DB"/>
    <w:rsid w:val="00AC3C94"/>
    <w:rsid w:val="00AD7853"/>
    <w:rsid w:val="00AE1A79"/>
    <w:rsid w:val="00AF1E19"/>
    <w:rsid w:val="00B03621"/>
    <w:rsid w:val="00B072B6"/>
    <w:rsid w:val="00B14D50"/>
    <w:rsid w:val="00B349EE"/>
    <w:rsid w:val="00B42BC1"/>
    <w:rsid w:val="00B43E8C"/>
    <w:rsid w:val="00B44B0C"/>
    <w:rsid w:val="00B54538"/>
    <w:rsid w:val="00B55D09"/>
    <w:rsid w:val="00B5713A"/>
    <w:rsid w:val="00B621E3"/>
    <w:rsid w:val="00B64EBB"/>
    <w:rsid w:val="00B71277"/>
    <w:rsid w:val="00B828D2"/>
    <w:rsid w:val="00B84739"/>
    <w:rsid w:val="00BA34B5"/>
    <w:rsid w:val="00BA7828"/>
    <w:rsid w:val="00BA78DD"/>
    <w:rsid w:val="00BB0DF7"/>
    <w:rsid w:val="00BB7123"/>
    <w:rsid w:val="00BC65D2"/>
    <w:rsid w:val="00BE4C99"/>
    <w:rsid w:val="00BE61DD"/>
    <w:rsid w:val="00BF0703"/>
    <w:rsid w:val="00BF239A"/>
    <w:rsid w:val="00BF78B3"/>
    <w:rsid w:val="00C01161"/>
    <w:rsid w:val="00C02E15"/>
    <w:rsid w:val="00C0489A"/>
    <w:rsid w:val="00C16E9A"/>
    <w:rsid w:val="00C237C7"/>
    <w:rsid w:val="00C3074E"/>
    <w:rsid w:val="00C449D6"/>
    <w:rsid w:val="00C50F17"/>
    <w:rsid w:val="00C527B4"/>
    <w:rsid w:val="00C54EEF"/>
    <w:rsid w:val="00C56D01"/>
    <w:rsid w:val="00C80A7E"/>
    <w:rsid w:val="00C91A65"/>
    <w:rsid w:val="00C96140"/>
    <w:rsid w:val="00CA079E"/>
    <w:rsid w:val="00CA38BC"/>
    <w:rsid w:val="00CA61F1"/>
    <w:rsid w:val="00CA757A"/>
    <w:rsid w:val="00CB5100"/>
    <w:rsid w:val="00CD7298"/>
    <w:rsid w:val="00CE03AC"/>
    <w:rsid w:val="00CE121F"/>
    <w:rsid w:val="00CE2822"/>
    <w:rsid w:val="00CF0A27"/>
    <w:rsid w:val="00D04F17"/>
    <w:rsid w:val="00D1195C"/>
    <w:rsid w:val="00D12C11"/>
    <w:rsid w:val="00D15C13"/>
    <w:rsid w:val="00D30F8F"/>
    <w:rsid w:val="00D52576"/>
    <w:rsid w:val="00D6282E"/>
    <w:rsid w:val="00D62B1F"/>
    <w:rsid w:val="00D6377D"/>
    <w:rsid w:val="00D701F3"/>
    <w:rsid w:val="00D86191"/>
    <w:rsid w:val="00D922AD"/>
    <w:rsid w:val="00D93B75"/>
    <w:rsid w:val="00DA11C8"/>
    <w:rsid w:val="00DA184C"/>
    <w:rsid w:val="00DB06A9"/>
    <w:rsid w:val="00DC7636"/>
    <w:rsid w:val="00DD1CDC"/>
    <w:rsid w:val="00DD39A3"/>
    <w:rsid w:val="00DD78E7"/>
    <w:rsid w:val="00DE0860"/>
    <w:rsid w:val="00DE3D8A"/>
    <w:rsid w:val="00DF2E13"/>
    <w:rsid w:val="00DF6545"/>
    <w:rsid w:val="00E03DDB"/>
    <w:rsid w:val="00E05169"/>
    <w:rsid w:val="00E3145A"/>
    <w:rsid w:val="00E31695"/>
    <w:rsid w:val="00E32C44"/>
    <w:rsid w:val="00E3748B"/>
    <w:rsid w:val="00E50D5E"/>
    <w:rsid w:val="00E51E5F"/>
    <w:rsid w:val="00E54ACA"/>
    <w:rsid w:val="00E73E7F"/>
    <w:rsid w:val="00E77AE1"/>
    <w:rsid w:val="00E94A99"/>
    <w:rsid w:val="00EA171A"/>
    <w:rsid w:val="00EB2AFA"/>
    <w:rsid w:val="00EC0BC6"/>
    <w:rsid w:val="00EE3C95"/>
    <w:rsid w:val="00EE7824"/>
    <w:rsid w:val="00F15ED2"/>
    <w:rsid w:val="00F238EC"/>
    <w:rsid w:val="00F23A6C"/>
    <w:rsid w:val="00F25E30"/>
    <w:rsid w:val="00F36489"/>
    <w:rsid w:val="00F407D7"/>
    <w:rsid w:val="00F44098"/>
    <w:rsid w:val="00F52A63"/>
    <w:rsid w:val="00F55CAF"/>
    <w:rsid w:val="00F64178"/>
    <w:rsid w:val="00F73E87"/>
    <w:rsid w:val="00F94B52"/>
    <w:rsid w:val="00FA3C2A"/>
    <w:rsid w:val="00FC53BE"/>
    <w:rsid w:val="00FC5A34"/>
    <w:rsid w:val="00FC7FD8"/>
    <w:rsid w:val="00FD6681"/>
    <w:rsid w:val="00FE3A21"/>
    <w:rsid w:val="00FF21D1"/>
    <w:rsid w:val="00FF761A"/>
    <w:rsid w:val="021C044A"/>
    <w:rsid w:val="03A827A9"/>
    <w:rsid w:val="063C0B3D"/>
    <w:rsid w:val="0CA35561"/>
    <w:rsid w:val="14C4BEE3"/>
    <w:rsid w:val="1AE049F1"/>
    <w:rsid w:val="21D54E55"/>
    <w:rsid w:val="3C1A3E35"/>
    <w:rsid w:val="419CC518"/>
    <w:rsid w:val="4677714F"/>
    <w:rsid w:val="4B261A08"/>
    <w:rsid w:val="4FF0750D"/>
    <w:rsid w:val="57D1F290"/>
    <w:rsid w:val="6ABAF91A"/>
    <w:rsid w:val="6B2C3B10"/>
    <w:rsid w:val="716AFF22"/>
    <w:rsid w:val="78031A2C"/>
    <w:rsid w:val="7901602A"/>
    <w:rsid w:val="7C8440E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5663D"/>
  <w15:docId w15:val="{EC513E64-555A-445F-82BE-84C6EC52F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1BC4"/>
    <w:rPr>
      <w:rFonts w:eastAsia="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CLAUSEHEADING" w:customStyle="1">
    <w:name w:val="GPS L1 CLAUSE HEADING"/>
    <w:basedOn w:val="Normal"/>
    <w:next w:val="Normal"/>
    <w:link w:val="GPSL1CLAUSEHEADINGChar"/>
    <w:qFormat/>
    <w:rsid w:val="00135404"/>
    <w:pPr>
      <w:keepNext/>
      <w:numPr>
        <w:numId w:val="11"/>
      </w:numPr>
      <w:tabs>
        <w:tab w:val="left" w:pos="142"/>
      </w:tabs>
      <w:adjustRightInd w:val="0"/>
      <w:spacing w:before="240" w:after="120" w:line="240" w:lineRule="auto"/>
      <w:outlineLvl w:val="1"/>
    </w:pPr>
    <w:rPr>
      <w:rFonts w:ascii="Arial Bold" w:hAnsi="Arial Bold" w:eastAsia="STZhongsong" w:cs="Arial"/>
      <w:b/>
      <w:szCs w:val="22"/>
      <w:lang w:eastAsia="zh-CN"/>
    </w:rPr>
  </w:style>
  <w:style w:type="paragraph" w:styleId="GPSL3numberedclause" w:customStyle="1">
    <w:name w:val="GPS L3 numbered clause"/>
    <w:basedOn w:val="Normal"/>
    <w:link w:val="GPSL3numberedclauseChar"/>
    <w:qFormat/>
    <w:rsid w:val="00135404"/>
    <w:pPr>
      <w:numPr>
        <w:ilvl w:val="2"/>
        <w:numId w:val="11"/>
      </w:numPr>
      <w:adjustRightInd w:val="0"/>
      <w:spacing w:before="120" w:after="120" w:line="240" w:lineRule="auto"/>
    </w:pPr>
    <w:rPr>
      <w:rFonts w:eastAsia="Times New Roman" w:cs="Arial"/>
      <w:szCs w:val="22"/>
      <w:lang w:eastAsia="zh-CN"/>
    </w:rPr>
  </w:style>
  <w:style w:type="paragraph" w:styleId="GPSL4numberedclause" w:customStyle="1">
    <w:name w:val="GPS L4 numbered clause"/>
    <w:basedOn w:val="GPSL3numberedclause"/>
    <w:link w:val="GPSL4numberedclauseChar"/>
    <w:qFormat/>
    <w:pPr>
      <w:numPr>
        <w:ilvl w:val="3"/>
      </w:numPr>
    </w:pPr>
  </w:style>
  <w:style w:type="paragraph" w:styleId="GPSL5numberedclause" w:customStyle="1">
    <w:name w:val="GPS L5 numbered clause"/>
    <w:basedOn w:val="GPSL4numberedclause"/>
    <w:link w:val="GPSL5numberedclauseChar"/>
    <w:qFormat/>
    <w:pPr>
      <w:numPr>
        <w:ilvl w:val="4"/>
        <w:numId w:val="0"/>
      </w:numPr>
    </w:pPr>
  </w:style>
  <w:style w:type="paragraph" w:styleId="GPSL2NumberedBoldHeading" w:customStyle="1">
    <w:name w:val="GPS L2 Numbered Bold Heading"/>
    <w:basedOn w:val="Normal"/>
    <w:qFormat/>
    <w:rsid w:val="00915547"/>
    <w:pPr>
      <w:numPr>
        <w:ilvl w:val="1"/>
        <w:numId w:val="1"/>
      </w:numPr>
      <w:adjustRightInd w:val="0"/>
      <w:spacing w:before="120" w:after="120" w:line="240" w:lineRule="auto"/>
    </w:pPr>
    <w:rPr>
      <w:rFonts w:eastAsia="Times New Roman" w:cs="Arial"/>
      <w:lang w:eastAsia="zh-CN"/>
    </w:rPr>
  </w:style>
  <w:style w:type="paragraph" w:styleId="GPSL6numbered" w:customStyle="1">
    <w:name w:val="GPS L6 numbered"/>
    <w:basedOn w:val="GPSL5numberedclause"/>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sid w:val="00135404"/>
    <w:rPr>
      <w:rFonts w:eastAsia="Times New Roman"/>
      <w:szCs w:val="22"/>
      <w:lang w:eastAsia="zh-CN"/>
    </w:rPr>
  </w:style>
  <w:style w:type="paragraph" w:styleId="GPSL2numberedclause" w:customStyle="1">
    <w:name w:val="GPS L2 numbered clause"/>
    <w:basedOn w:val="Normal"/>
    <w:link w:val="GPSL2numberedclauseChar1"/>
    <w:qFormat/>
    <w:rsid w:val="00135404"/>
    <w:pPr>
      <w:numPr>
        <w:ilvl w:val="1"/>
        <w:numId w:val="11"/>
      </w:numPr>
      <w:tabs>
        <w:tab w:val="left" w:pos="1134"/>
      </w:tabs>
      <w:adjustRightInd w:val="0"/>
      <w:spacing w:before="120" w:after="120" w:line="240" w:lineRule="auto"/>
    </w:pPr>
    <w:rPr>
      <w:rFonts w:eastAsia="Times New Roman" w:cs="Arial"/>
      <w:szCs w:val="22"/>
      <w:lang w:eastAsia="zh-CN"/>
    </w:rPr>
  </w:style>
  <w:style w:type="character" w:styleId="GPSL2numberedclauseChar1" w:customStyle="1">
    <w:name w:val="GPS L2 numbered clause Char1"/>
    <w:link w:val="GPSL2numberedclause"/>
    <w:rsid w:val="00135404"/>
    <w:rPr>
      <w:rFonts w:eastAsia="Times New Roman"/>
      <w:szCs w:val="22"/>
      <w:lang w:eastAsia="zh-CN"/>
    </w:rPr>
  </w:style>
  <w:style w:type="character" w:styleId="GPSL4numberedclauseChar" w:customStyle="1">
    <w:name w:val="GPS L4 numbered clause Char"/>
    <w:link w:val="GPSL4numberedclause"/>
    <w:rPr>
      <w:rFonts w:ascii="Calibri" w:hAnsi="Calibri" w:eastAsia="Times New Roman" w:cs="Arial"/>
      <w:lang w:eastAsia="zh-CN"/>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character" w:styleId="GPSL1CLAUSEHEADINGChar" w:customStyle="1">
    <w:name w:val="GPS L1 CLAUSE HEADING Char"/>
    <w:link w:val="GPSL1CLAUSEHEADING"/>
    <w:rsid w:val="00135404"/>
    <w:rPr>
      <w:rFonts w:ascii="Arial Bold" w:hAnsi="Arial Bold" w:eastAsia="STZhongsong"/>
      <w:b/>
      <w:szCs w:val="22"/>
      <w:lang w:eastAsia="zh-CN"/>
    </w:rPr>
  </w:style>
  <w:style w:type="paragraph" w:styleId="GPSSchTitleandNumber" w:customStyle="1">
    <w:name w:val="GPS Sch Title and Number"/>
    <w:basedOn w:val="Normal"/>
    <w:link w:val="GPSSchTitleandNumberChar"/>
    <w:qFormat/>
    <w:pPr>
      <w:keepNext/>
      <w:adjustRightInd w:val="0"/>
      <w:spacing w:after="240" w:line="240" w:lineRule="auto"/>
      <w:jc w:val="center"/>
      <w:outlineLvl w:val="0"/>
    </w:pPr>
    <w:rPr>
      <w:rFonts w:ascii="Arial Bold" w:hAnsi="Arial Bold" w:eastAsia="STZhongsong"/>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GPsDefinition" w:customStyle="1">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styleId="GPSDefinitionL2" w:customStyle="1">
    <w:name w:val="GPS Definition L2"/>
    <w:basedOn w:val="GPsDefinition"/>
    <w:qFormat/>
    <w:pPr>
      <w:numPr>
        <w:ilvl w:val="1"/>
      </w:numPr>
      <w:tabs>
        <w:tab w:val="clear" w:pos="-9"/>
        <w:tab w:val="left" w:pos="144"/>
      </w:tabs>
      <w:ind w:hanging="545"/>
    </w:pPr>
  </w:style>
  <w:style w:type="paragraph" w:styleId="GPSDefinitionL3" w:customStyle="1">
    <w:name w:val="GPS Definition L3"/>
    <w:basedOn w:val="GPSDefinitionL2"/>
    <w:qFormat/>
    <w:pPr>
      <w:numPr>
        <w:ilvl w:val="2"/>
      </w:numPr>
    </w:pPr>
  </w:style>
  <w:style w:type="paragraph" w:styleId="GPSDefinitionL4" w:customStyle="1">
    <w:name w:val="GPS Definition L4"/>
    <w:basedOn w:val="GPSDefinitionL3"/>
    <w:qFormat/>
    <w:pPr>
      <w:numPr>
        <w:ilvl w:val="3"/>
      </w:numPr>
    </w:pPr>
  </w:style>
  <w:style w:type="paragraph" w:styleId="GPSSchAnnexname" w:customStyle="1">
    <w:name w:val="GPS Sch Annex name"/>
    <w:basedOn w:val="GPSSchTitleandNumber"/>
    <w:link w:val="GPSSchAnnexnameChar"/>
    <w:qFormat/>
    <w:pPr>
      <w:outlineLvl w:val="1"/>
    </w:pPr>
    <w:rPr>
      <w:rFonts w:ascii="Calibri" w:hAnsi="Calibri"/>
      <w:sz w:val="20"/>
    </w:rPr>
  </w:style>
  <w:style w:type="paragraph" w:styleId="GPSL1SCHEDULEHeading" w:customStyle="1">
    <w:name w:val="GPS L1 SCHEDULE Heading"/>
    <w:basedOn w:val="GPSL1CLAUSEHEADING"/>
    <w:link w:val="GPSL1SCHEDULEHeadingChar"/>
    <w:qFormat/>
    <w:pPr>
      <w:numPr>
        <w:numId w:val="0"/>
      </w:numPr>
      <w:tabs>
        <w:tab w:val="left" w:pos="0"/>
      </w:tabs>
      <w:ind w:left="360" w:hanging="360"/>
      <w:outlineLvl w:val="9"/>
    </w:pPr>
  </w:style>
  <w:style w:type="character" w:styleId="GPSSchAnnexnameChar" w:customStyle="1">
    <w:name w:val="GPS Sch Annex name Char"/>
    <w:link w:val="GPSSchAnnexname"/>
    <w:rPr>
      <w:rFonts w:ascii="Calibri" w:hAnsi="Calibri" w:eastAsia="STZhongsong" w:cs="Times New Roman"/>
      <w:b/>
      <w:caps/>
      <w:sz w:val="20"/>
      <w:lang w:eastAsia="zh-CN"/>
    </w:rPr>
  </w:style>
  <w:style w:type="paragraph" w:styleId="GPSSchPart" w:customStyle="1">
    <w:name w:val="GPS Sch Part"/>
    <w:basedOn w:val="GPSSchAnnexname"/>
    <w:link w:val="GPSSchPartChar"/>
    <w:qFormat/>
    <w:pPr>
      <w:outlineLvl w:val="9"/>
    </w:pPr>
  </w:style>
  <w:style w:type="character" w:styleId="GPSL1SCHEDULEHeadingChar" w:customStyle="1">
    <w:name w:val="GPS L1 SCHEDULE Heading Char"/>
    <w:link w:val="GPSL1SCHEDULEHeading"/>
    <w:rPr>
      <w:rFonts w:ascii="Calibri" w:hAnsi="Calibri" w:eastAsia="STZhongsong" w:cs="Arial"/>
      <w:b/>
      <w:caps/>
      <w:lang w:eastAsia="zh-CN"/>
    </w:rPr>
  </w:style>
  <w:style w:type="character" w:styleId="GPSSchPartChar" w:customStyle="1">
    <w:name w:val="GPS Sch Part Char"/>
    <w:link w:val="GPSSchPart"/>
    <w:rPr>
      <w:rFonts w:ascii="Calibri" w:hAnsi="Calibri" w:eastAsia="STZhongsong"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hAnsi="Calibri" w:eastAsia="Times New Roman" w:cs="Times New Roman"/>
      <w:lang w:eastAsia="zh-CN"/>
    </w:rPr>
  </w:style>
  <w:style w:type="character" w:styleId="GPSL5numberedclauseChar" w:customStyle="1">
    <w:name w:val="GPS L5 numbered clause Char"/>
    <w:link w:val="GPSL5numberedclause"/>
    <w:locked/>
    <w:rPr>
      <w:rFonts w:ascii="Calibri" w:hAnsi="Calibri" w:eastAsia="Times New Roman" w:cs="Arial"/>
      <w:lang w:eastAsia="zh-CN"/>
    </w:rPr>
  </w:style>
  <w:style w:type="paragraph" w:styleId="GPSL2Indent" w:customStyle="1">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rPr>
  </w:style>
  <w:style w:type="character" w:styleId="GPSL2IndentChar" w:customStyle="1">
    <w:name w:val="GPS L2 Indent Char"/>
    <w:link w:val="GPSL2Indent"/>
    <w:rPr>
      <w:rFonts w:ascii="Calibri" w:hAnsi="Calibri" w:eastAsia="Times New Roman" w:cs="Arial"/>
      <w:szCs w:val="24"/>
    </w:rPr>
  </w:style>
  <w:style w:type="paragraph" w:styleId="GPSDefinitionTerm" w:customStyle="1">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table" w:styleId="TableGrid">
    <w:name w:val="Table Grid"/>
    <w:basedOn w:val="TableNormal"/>
    <w:uiPriority w:val="59"/>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semiHidden/>
    <w:unhideWhenUsed/>
    <w:pPr>
      <w:spacing w:after="0" w:line="240" w:lineRule="auto"/>
    </w:pPr>
    <w:rPr>
      <w:sz w:val="20"/>
      <w:szCs w:val="20"/>
    </w:rPr>
  </w:style>
  <w:style w:type="character" w:styleId="FootnoteTextChar" w:customStyle="1">
    <w:name w:val="Footnote Text Char"/>
    <w:basedOn w:val="DefaultParagraphFont"/>
    <w:link w:val="FootnoteText"/>
    <w:semiHidden/>
    <w:rPr>
      <w:rFonts w:ascii="Calibri" w:hAnsi="Calibri" w:eastAsia="Calibri" w:cs="Times New Roman"/>
      <w:sz w:val="20"/>
      <w:szCs w:val="20"/>
    </w:rPr>
  </w:style>
  <w:style w:type="character" w:styleId="FootnoteReference">
    <w:name w:val="footnote reference"/>
    <w:basedOn w:val="DefaultParagraphFont"/>
    <w:semiHidden/>
    <w:unhideWhenUsed/>
    <w:rPr>
      <w:vertAlign w:val="superscript"/>
    </w:rPr>
  </w:style>
  <w:style w:type="character" w:styleId="Heading1Char" w:customStyle="1">
    <w:name w:val="Heading 1 Char"/>
    <w:basedOn w:val="DefaultParagraphFont"/>
    <w:link w:val="Heading1"/>
    <w:uiPriority w:val="9"/>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Pr>
      <w:rFonts w:asciiTheme="majorHAnsi" w:hAnsiTheme="majorHAnsi" w:eastAsiaTheme="majorEastAsia" w:cstheme="majorBidi"/>
      <w:b/>
      <w:bCs/>
      <w:color w:val="4F81BD" w:themeColor="accent1"/>
      <w:sz w:val="26"/>
      <w:szCs w:val="26"/>
    </w:rPr>
  </w:style>
  <w:style w:type="paragraph" w:styleId="DefinitionNumbering1" w:customStyle="1">
    <w:name w:val="Definition Numbering 1"/>
    <w:basedOn w:val="Normal"/>
    <w:pPr>
      <w:adjustRightInd w:val="0"/>
      <w:spacing w:after="240" w:line="240" w:lineRule="auto"/>
      <w:jc w:val="both"/>
      <w:outlineLvl w:val="0"/>
    </w:pPr>
    <w:rPr>
      <w:rFonts w:ascii="Times New Roman" w:hAnsi="Times New Roman" w:eastAsia="STZhongsong"/>
      <w:szCs w:val="20"/>
      <w:lang w:eastAsia="zh-CN"/>
    </w:rPr>
  </w:style>
  <w:style w:type="paragraph" w:styleId="Revision">
    <w:name w:val="Revision"/>
    <w:hidden/>
    <w:uiPriority w:val="99"/>
    <w:semiHidden/>
    <w:rsid w:val="00CB349E"/>
    <w:pPr>
      <w:spacing w:after="0" w:line="240" w:lineRule="auto"/>
    </w:pPr>
    <w:rPr>
      <w:rFonts w:ascii="Calibri" w:hAnsi="Calibri" w:eastAsia="Calibri" w:cs="Times New Roman"/>
    </w:rPr>
  </w:style>
  <w:style w:type="character" w:styleId="Hyperlink">
    <w:name w:val="Hyperlink"/>
    <w:basedOn w:val="DefaultParagraphFont"/>
    <w:uiPriority w:val="99"/>
    <w:unhideWhenUsed/>
    <w:rsid w:val="009A7838"/>
    <w:rPr>
      <w:color w:val="0000FF" w:themeColor="hyperlink"/>
      <w:u w:val="single"/>
    </w:rPr>
  </w:style>
  <w:style w:type="character" w:styleId="UnresolvedMention1" w:customStyle="1">
    <w:name w:val="Unresolved Mention1"/>
    <w:basedOn w:val="DefaultParagraphFont"/>
    <w:uiPriority w:val="99"/>
    <w:semiHidden/>
    <w:unhideWhenUsed/>
    <w:rsid w:val="009A783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3" w:customStyle="1">
    <w:name w:val="3"/>
    <w:basedOn w:val="TableNormal"/>
    <w:tblPr>
      <w:tblStyleRowBandSize w:val="1"/>
      <w:tblStyleColBandSize w:val="1"/>
      <w:tblCellMar>
        <w:left w:w="115" w:type="dxa"/>
        <w:right w:w="115" w:type="dxa"/>
      </w:tblCellMar>
    </w:tblPr>
  </w:style>
  <w:style w:type="table" w:styleId="2" w:customStyle="1">
    <w:name w:val="2"/>
    <w:basedOn w:val="TableNormal"/>
    <w:tblPr>
      <w:tblStyleRowBandSize w:val="1"/>
      <w:tblStyleColBandSize w:val="1"/>
      <w:tblCellMar>
        <w:left w:w="115" w:type="dxa"/>
        <w:right w:w="115" w:type="dxa"/>
      </w:tblCellMar>
    </w:tblPr>
  </w:style>
  <w:style w:type="table" w:styleId="1" w:customStyle="1">
    <w:name w:val="1"/>
    <w:basedOn w:val="TableNormal"/>
    <w:tblPr>
      <w:tblStyleRowBandSize w:val="1"/>
      <w:tblStyleColBandSize w:val="1"/>
      <w:tblCellMar>
        <w:left w:w="115" w:type="dxa"/>
        <w:right w:w="115" w:type="dxa"/>
      </w:tblCellMar>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03EE0"/>
    <w:pPr>
      <w:ind w:left="720"/>
      <w:contextualSpacing/>
    </w:pPr>
  </w:style>
  <w:style w:type="character" w:styleId="Mention">
    <w:name w:val="Mention"/>
    <w:basedOn w:val="DefaultParagraphFont"/>
    <w:uiPriority w:val="99"/>
    <w:unhideWhenUsed/>
    <w:rsid w:val="00C91A65"/>
    <w:rPr>
      <w:color w:val="2B579A"/>
      <w:shd w:val="clear" w:color="auto" w:fill="E1DFDD"/>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91A6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5.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oter" Target="footer4.xm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5.xml" Id="rId22" /><Relationship Type="http://schemas.openxmlformats.org/officeDocument/2006/relationships/fontTable" Target="fontTable.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mieYates\Downloads\MHCLG_Mid-Tier_Schedule_10__Performance_Levels__Word_v1.3_2025%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2" ma:contentTypeDescription="Create a new document." ma:contentTypeScope="" ma:versionID="b102b8ad530b1175f21ddc12240f08a7">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2200edf3631e9698c7c5c5a00c66ead"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kC1QCFyPcZkQG8/K/UWghe/DQ==">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9BA74-BBC5-46C1-A3A0-7768D2C86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7D3BE39-C8AC-4BBD-B51A-22221456D124}">
  <ds:schemaRefs>
    <ds:schemaRef ds:uri="http://schemas.microsoft.com/office/2006/metadata/properties"/>
    <ds:schemaRef ds:uri="http://schemas.microsoft.com/office/infopath/2007/PartnerControls"/>
    <ds:schemaRef ds:uri="http://schemas.microsoft.com/sharepoint/v3"/>
    <ds:schemaRef ds:uri="3fa4860e-4e84-4984-b511-cb934d7752ca"/>
    <ds:schemaRef ds:uri="83a87e31-bf32-46ab-8e70-9fa18461fa4d"/>
  </ds:schemaRefs>
</ds:datastoreItem>
</file>

<file path=customXml/itemProps4.xml><?xml version="1.0" encoding="utf-8"?>
<ds:datastoreItem xmlns:ds="http://schemas.openxmlformats.org/officeDocument/2006/customXml" ds:itemID="{8D5BF472-6258-49BA-9F22-EAC410A9CE4B}">
  <ds:schemaRefs>
    <ds:schemaRef ds:uri="http://schemas.microsoft.com/sharepoint/v3/contenttype/forms"/>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MHCLG_Mid-Tier_Schedule_10__Performance_Levels__Word_v1.3_2025 (6)</ap:Template>
  <ap:Application>Microsoft Word for the web</ap:Application>
  <ap:DocSecurity>0</ap:DocSecurity>
  <ap:PresentationFormat/>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Sammie Yates</dc:creator>
  <keywords/>
  <dc:description/>
  <lastModifiedBy>Sammie Yates</lastModifiedBy>
  <revision>107</revision>
  <dcterms:created xsi:type="dcterms:W3CDTF">2025-08-01T22:22:00.0000000Z</dcterms:created>
  <dcterms:modified xsi:type="dcterms:W3CDTF">2025-09-05T08:37:07.1677961Z</dcterms:modified>
  <category/>
  <contentStatus/>
  <dc:language/>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92858536-1</vt:lpwstr>
  </property>
  <property fmtid="{D5CDD505-2E9C-101B-9397-08002B2CF9AE}" pid="3" name="MediaServiceImageTags">
    <vt:lpwstr/>
  </property>
  <property fmtid="{D5CDD505-2E9C-101B-9397-08002B2CF9AE}" pid="4" name="ContentTypeId">
    <vt:lpwstr>0x010100ECCB7E1F660E4D499F35AD51896216AD</vt:lpwstr>
  </property>
  <property fmtid="{D5CDD505-2E9C-101B-9397-08002B2CF9AE}" pid="5" name="DWFAuthor">
    <vt:lpwstr>DJEFFERIES</vt:lpwstr>
  </property>
  <property fmtid="{D5CDD505-2E9C-101B-9397-08002B2CF9AE}" pid="6" name="DWFTypist">
    <vt:lpwstr>LZS</vt:lpwstr>
  </property>
  <property fmtid="{D5CDD505-2E9C-101B-9397-08002B2CF9AE}" pid="7" name="DWFTypistName">
    <vt:lpwstr>Lesley Shelbourne</vt:lpwstr>
  </property>
  <property fmtid="{D5CDD505-2E9C-101B-9397-08002B2CF9AE}" pid="8" name="DWFAuthorName">
    <vt:lpwstr>Douglas Jefferies</vt:lpwstr>
  </property>
  <property fmtid="{D5CDD505-2E9C-101B-9397-08002B2CF9AE}" pid="9" name="DWFClientNum">
    <vt:lpwstr>2040175</vt:lpwstr>
  </property>
  <property fmtid="{D5CDD505-2E9C-101B-9397-08002B2CF9AE}" pid="10" name="DWFClientName">
    <vt:lpwstr>Government Legal Department</vt:lpwstr>
  </property>
  <property fmtid="{D5CDD505-2E9C-101B-9397-08002B2CF9AE}" pid="11" name="DWFMatterNum">
    <vt:lpwstr>26</vt:lpwstr>
  </property>
  <property fmtid="{D5CDD505-2E9C-101B-9397-08002B2CF9AE}" pid="12" name="DWFMatterName">
    <vt:lpwstr>RM6179 - LSP - 099 - Model Contracts Review 2024</vt:lpwstr>
  </property>
  <property fmtid="{D5CDD505-2E9C-101B-9397-08002B2CF9AE}" pid="13" name="DWFOurRef">
    <vt:lpwstr>0</vt:lpwstr>
  </property>
  <property fmtid="{D5CDD505-2E9C-101B-9397-08002B2CF9AE}" pid="14" name="DWFDocName">
    <vt:lpwstr>Mid-Tier Schedule 10 (Performance Levels) (V5)</vt:lpwstr>
  </property>
  <property fmtid="{D5CDD505-2E9C-101B-9397-08002B2CF9AE}" pid="15" name="DWFOffice">
    <vt:lpwstr>LLP - Edinburgh - 2 Semple Street</vt:lpwstr>
  </property>
  <property fmtid="{D5CDD505-2E9C-101B-9397-08002B2CF9AE}" pid="16" name="DWFClientPartner">
    <vt:lpwstr>Colin Murray</vt:lpwstr>
  </property>
  <property fmtid="{D5CDD505-2E9C-101B-9397-08002B2CF9AE}" pid="17" name="DWFMatterPartner">
    <vt:lpwstr>Douglas Jefferies</vt:lpwstr>
  </property>
  <property fmtid="{D5CDD505-2E9C-101B-9397-08002B2CF9AE}" pid="18" name="DWFPracticeGroup">
    <vt:lpwstr>Commercial, Regulatory &amp; Data</vt:lpwstr>
  </property>
  <property fmtid="{D5CDD505-2E9C-101B-9397-08002B2CF9AE}" pid="19" name="Order">
    <vt:r8>1461500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ClassificationContentMarkingHeaderShapeIds">
    <vt:lpwstr>1f01e63e,8a31fd0,2f9737f3</vt:lpwstr>
  </property>
  <property fmtid="{D5CDD505-2E9C-101B-9397-08002B2CF9AE}" pid="27" name="ClassificationContentMarkingHeaderFontProps">
    <vt:lpwstr>#000000,10,Calibri</vt:lpwstr>
  </property>
  <property fmtid="{D5CDD505-2E9C-101B-9397-08002B2CF9AE}" pid="28" name="ClassificationContentMarkingHeaderText">
    <vt:lpwstr>OFFICIAL</vt:lpwstr>
  </property>
  <property fmtid="{D5CDD505-2E9C-101B-9397-08002B2CF9AE}" pid="29" name="ClassificationContentMarkingFooterShapeIds">
    <vt:lpwstr>3875f752,70fd5477,8a057b6</vt:lpwstr>
  </property>
  <property fmtid="{D5CDD505-2E9C-101B-9397-08002B2CF9AE}" pid="30" name="ClassificationContentMarkingFooterFontProps">
    <vt:lpwstr>#000000,10,Calibri</vt:lpwstr>
  </property>
  <property fmtid="{D5CDD505-2E9C-101B-9397-08002B2CF9AE}" pid="31" name="ClassificationContentMarkingFooterText">
    <vt:lpwstr>OFFICIAL</vt:lpwstr>
  </property>
</Properties>
</file>