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p w14:paraId="4950705D" w14:textId="3D98F9B0" w:rsidR="008746A2" w:rsidRDefault="00D40FB9" w:rsidP="0FF4C8F5">
      <w:pPr>
        <w:pStyle w:val="Heading1"/>
        <w:rPr>
          <w:rFonts w:ascii="Arial" w:eastAsia="DengXian Light" w:hAnsi="Arial" w:cs="Times New Roman"/>
          <w:color w:val="B1173B" w:themeColor="accent1"/>
          <w:sz w:val="40"/>
          <w:szCs w:val="40"/>
        </w:rPr>
      </w:pPr>
      <w:proofErr w:type="spellStart"/>
      <w:r w:rsidRPr="00D40FB9">
        <w:rPr>
          <w:rFonts w:ascii="Arial" w:eastAsia="DengXian Light" w:hAnsi="Arial" w:cs="Times New Roman"/>
          <w:bCs/>
          <w:color w:val="B0173A"/>
          <w:sz w:val="40"/>
          <w:szCs w:val="40"/>
        </w:rPr>
        <w:t>ElecLink</w:t>
      </w:r>
      <w:proofErr w:type="spellEnd"/>
      <w:r w:rsidRPr="00D40FB9">
        <w:rPr>
          <w:rFonts w:ascii="Arial" w:eastAsia="DengXian Light" w:hAnsi="Arial" w:cs="Times New Roman"/>
          <w:bCs/>
          <w:color w:val="B0173A"/>
          <w:sz w:val="40"/>
          <w:szCs w:val="40"/>
        </w:rPr>
        <w:t xml:space="preserve"> maintenance and monitoring inspections - Expert advice to CTSA</w:t>
      </w:r>
    </w:p>
    <w:p w14:paraId="38D7D855" w14:textId="2988DD91" w:rsidR="00FC6860" w:rsidRPr="00A13506" w:rsidRDefault="00946584" w:rsidP="0FF4C8F5">
      <w:pPr>
        <w:pStyle w:val="Heading1"/>
        <w:rPr>
          <w:rStyle w:val="chrSubTitle"/>
          <w:color w:val="B1173B" w:themeColor="accent1"/>
          <w:sz w:val="32"/>
        </w:rPr>
      </w:pPr>
      <w:sdt>
        <w:sdtPr>
          <w:rPr>
            <w:rFonts w:ascii="Arial" w:hAnsi="Arial"/>
            <w:bCs/>
            <w:sz w:val="40"/>
          </w:rPr>
          <w:alias w:val="Date"/>
          <w:id w:val="1579170274"/>
          <w:placeholder>
            <w:docPart w:val="1ADB65CC09474754A5533DF5B548DD6C"/>
          </w:placeholder>
        </w:sdtPr>
        <w:sdtEndPr>
          <w:rPr>
            <w:rFonts w:ascii="Arial Bold" w:hAnsi="Arial Bold"/>
            <w:bCs w:val="0"/>
            <w:sz w:val="32"/>
          </w:rPr>
        </w:sdtEndPr>
        <w:sdtContent>
          <w:r w:rsidR="00E94F29" w:rsidRPr="00A13506">
            <w:rPr>
              <w:sz w:val="32"/>
            </w:rPr>
            <w:t>Date of issue</w:t>
          </w:r>
          <w:r w:rsidR="00374BAE" w:rsidRPr="00A13506">
            <w:rPr>
              <w:sz w:val="32"/>
            </w:rPr>
            <w:t>: (</w:t>
          </w:r>
          <w:r w:rsidR="00A13506">
            <w:rPr>
              <w:sz w:val="32"/>
            </w:rPr>
            <w:t xml:space="preserve">23 </w:t>
          </w:r>
          <w:r w:rsidR="00AA09B6">
            <w:rPr>
              <w:sz w:val="32"/>
            </w:rPr>
            <w:t>September</w:t>
          </w:r>
          <w:r w:rsidR="00A13506">
            <w:rPr>
              <w:sz w:val="32"/>
            </w:rPr>
            <w:t xml:space="preserve"> 2</w:t>
          </w:r>
          <w:r w:rsidR="00AA09B6">
            <w:rPr>
              <w:sz w:val="32"/>
            </w:rPr>
            <w:t>02</w:t>
          </w:r>
          <w:r w:rsidR="00A13506">
            <w:rPr>
              <w:sz w:val="32"/>
            </w:rPr>
            <w:t>5</w:t>
          </w:r>
          <w:r w:rsidR="00A13506" w:rsidRPr="00A13506">
            <w:rPr>
              <w:sz w:val="32"/>
            </w:rPr>
            <w:t>)</w:t>
          </w:r>
        </w:sdtContent>
      </w:sdt>
    </w:p>
    <w:p w14:paraId="512B2E87" w14:textId="77777777" w:rsidR="003E5612" w:rsidRDefault="003E5612" w:rsidP="003E5612"/>
    <w:p w14:paraId="0B23CADF" w14:textId="71F40F1C" w:rsidR="003E5612" w:rsidRPr="00574B16" w:rsidRDefault="003E5612" w:rsidP="00A13506">
      <w:pPr>
        <w:pStyle w:val="NormalBulletround"/>
        <w:ind w:left="0" w:firstLine="0"/>
        <w:rPr>
          <w:b/>
          <w:bCs/>
          <w:color w:val="B1173B"/>
        </w:rPr>
      </w:pPr>
      <w:r w:rsidRPr="003E5612">
        <w:rPr>
          <w:b/>
          <w:bCs/>
        </w:rPr>
        <w:t xml:space="preserve">CPV Code: </w:t>
      </w:r>
      <w:r w:rsidRPr="00574B16">
        <w:rPr>
          <w:b/>
          <w:bCs/>
          <w:color w:val="B1173B"/>
        </w:rPr>
        <w:t>(</w:t>
      </w:r>
      <w:r w:rsidR="00A13506" w:rsidRPr="00A13506">
        <w:rPr>
          <w:b/>
          <w:bCs/>
          <w:color w:val="B1173B"/>
        </w:rPr>
        <w:t>50532400</w:t>
      </w:r>
      <w:r w:rsidRPr="00574B16">
        <w:rPr>
          <w:b/>
          <w:bCs/>
          <w:color w:val="B1173B"/>
        </w:rPr>
        <w:t>)</w:t>
      </w:r>
    </w:p>
    <w:p w14:paraId="4B92FCBC" w14:textId="1DDA4782" w:rsidR="00FC6860" w:rsidRPr="00574B16" w:rsidRDefault="003E5612" w:rsidP="00A13506">
      <w:pPr>
        <w:pStyle w:val="NormalBulletround"/>
        <w:ind w:left="0" w:firstLine="0"/>
        <w:rPr>
          <w:b/>
          <w:bCs/>
          <w:color w:val="B1173B"/>
        </w:rPr>
      </w:pPr>
      <w:r w:rsidRPr="003E5612">
        <w:rPr>
          <w:b/>
          <w:bCs/>
        </w:rPr>
        <w:t>Tender Reference:</w:t>
      </w:r>
      <w:r w:rsidRPr="00574B16">
        <w:rPr>
          <w:b/>
          <w:bCs/>
          <w:color w:val="B1173B"/>
        </w:rPr>
        <w:t xml:space="preserve"> (</w:t>
      </w:r>
      <w:r w:rsidR="00A13506" w:rsidRPr="00A13506">
        <w:rPr>
          <w:b/>
          <w:bCs/>
          <w:color w:val="B1173B"/>
        </w:rPr>
        <w:t>ORR/CT/25-66</w:t>
      </w:r>
      <w:r w:rsidRPr="00574B16">
        <w:rPr>
          <w:b/>
          <w:bCs/>
          <w:color w:val="B1173B"/>
        </w:rPr>
        <w:t>)</w:t>
      </w:r>
    </w:p>
    <w:p w14:paraId="60F6998D" w14:textId="0B0FBB2D" w:rsidR="003E5612" w:rsidRDefault="003E5612" w:rsidP="003A16E9">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5E5E5324" w14:textId="075EFD19" w:rsidR="0079264A" w:rsidRDefault="00FC6860" w:rsidP="00AA09B6">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2EDB0490" w14:textId="2D1AD556" w:rsidR="0079264A" w:rsidRPr="00AA09B6" w:rsidRDefault="0079264A" w:rsidP="00AA09B6">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Pr>
            <w:webHidden/>
          </w:rPr>
          <w:t>6</w:t>
        </w:r>
        <w:r>
          <w:rPr>
            <w:webHidden/>
          </w:rPr>
          <w:fldChar w:fldCharType="end"/>
        </w:r>
      </w:hyperlink>
    </w:p>
    <w:p w14:paraId="234AD544" w14:textId="37367FC3"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Pr>
            <w:webHidden/>
          </w:rPr>
          <w:t>8</w:t>
        </w:r>
        <w:r>
          <w:rPr>
            <w:webHidden/>
          </w:rPr>
          <w:fldChar w:fldCharType="end"/>
        </w:r>
      </w:hyperlink>
    </w:p>
    <w:p w14:paraId="3ED694D5" w14:textId="6B08AEF2" w:rsidR="0079264A" w:rsidRPr="00AA09B6" w:rsidRDefault="0079264A" w:rsidP="00AA09B6">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Pr>
            <w:webHidden/>
          </w:rPr>
          <w:t>10</w:t>
        </w:r>
        <w:r>
          <w:rPr>
            <w:webHidden/>
          </w:rPr>
          <w:fldChar w:fldCharType="end"/>
        </w:r>
      </w:hyperlink>
    </w:p>
    <w:p w14:paraId="24C28E0D" w14:textId="34546ED7" w:rsidR="0079264A" w:rsidRPr="00AA09B6" w:rsidRDefault="0079264A" w:rsidP="00AA09B6">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Pr>
            <w:webHidden/>
          </w:rPr>
          <w:t>16</w:t>
        </w:r>
        <w:r>
          <w:rPr>
            <w:webHidden/>
          </w:rPr>
          <w:fldChar w:fldCharType="end"/>
        </w:r>
      </w:hyperlink>
    </w:p>
    <w:p w14:paraId="0713F7E5" w14:textId="6560AA75" w:rsidR="0079264A" w:rsidRPr="00AA09B6" w:rsidRDefault="0079264A" w:rsidP="00AA09B6">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Pr>
            <w:webHidden/>
          </w:rPr>
          <w:t>21</w:t>
        </w:r>
        <w:r>
          <w:rPr>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5691CFFC" w:rsidR="00A02455" w:rsidRDefault="00A02455" w:rsidP="00A02455">
      <w:r>
        <w:t xml:space="preserve">The purpose of this document is to invite proposals for </w:t>
      </w:r>
      <w:r w:rsidR="7C2EC2F6" w:rsidRPr="0FF4C8F5">
        <w:rPr>
          <w:b/>
          <w:bCs/>
          <w:color w:val="B1173B" w:themeColor="accent1"/>
        </w:rPr>
        <w:t>The</w:t>
      </w:r>
      <w:commentRangeStart w:id="5"/>
      <w:commentRangeStart w:id="6"/>
      <w:r w:rsidR="7C2EC2F6" w:rsidRPr="3536381C">
        <w:rPr>
          <w:b/>
          <w:bCs/>
          <w:color w:val="B1173B" w:themeColor="accent1"/>
        </w:rPr>
        <w:t xml:space="preserve"> Provision of Technical Advice on High Voltage DC Interconnectors</w:t>
      </w:r>
      <w:r w:rsidRPr="3536381C">
        <w:rPr>
          <w:color w:val="B1173B" w:themeColor="accent1"/>
        </w:rPr>
        <w:t xml:space="preserve"> </w:t>
      </w:r>
      <w:commentRangeEnd w:id="5"/>
      <w:r>
        <w:rPr>
          <w:rStyle w:val="CommentReference"/>
          <w:sz w:val="24"/>
          <w:szCs w:val="22"/>
        </w:rPr>
        <w:commentReference w:id="5"/>
      </w:r>
      <w:commentRangeEnd w:id="6"/>
      <w:r w:rsidR="000216F1">
        <w:rPr>
          <w:rStyle w:val="CommentReference"/>
        </w:rPr>
        <w:commentReference w:id="6"/>
      </w:r>
      <w:r>
        <w:t>for the Office of Rail and Road (ORR).</w:t>
      </w:r>
    </w:p>
    <w:p w14:paraId="34BD75ED" w14:textId="1C118601" w:rsidR="004B7CC0" w:rsidRDefault="00A02455" w:rsidP="00A02455">
      <w:r>
        <w:t>This document contains the following sections:</w:t>
      </w:r>
    </w:p>
    <w:p w14:paraId="51B87CA1" w14:textId="0B9312F1" w:rsidR="00A02455" w:rsidRDefault="00A02455" w:rsidP="005A3376">
      <w:r>
        <w:t>Introduction to the Office of Rail and Road</w:t>
      </w:r>
    </w:p>
    <w:p w14:paraId="2D9218E9" w14:textId="244A6AEA" w:rsidR="00A02455" w:rsidRDefault="00A02455" w:rsidP="005A3376">
      <w:pPr>
        <w:pStyle w:val="NormalBulletnumber"/>
        <w:tabs>
          <w:tab w:val="clear" w:pos="2268"/>
        </w:tabs>
        <w:ind w:left="0" w:firstLine="0"/>
      </w:pPr>
      <w:r>
        <w:t>Statement of Requirement</w:t>
      </w:r>
    </w:p>
    <w:p w14:paraId="58D2761D" w14:textId="55F451CC" w:rsidR="00A02455" w:rsidRDefault="00A02455" w:rsidP="005A3376">
      <w:pPr>
        <w:pStyle w:val="NormalBulletnumber"/>
        <w:tabs>
          <w:tab w:val="clear" w:pos="2268"/>
        </w:tabs>
        <w:ind w:left="0" w:firstLine="0"/>
      </w:pPr>
      <w:r>
        <w:t>Tender Proposal &amp; Evaluation Criteria</w:t>
      </w:r>
    </w:p>
    <w:p w14:paraId="3E217975" w14:textId="18F2E131" w:rsidR="00451C67" w:rsidRPr="00451C67" w:rsidRDefault="00A02455" w:rsidP="005A3376">
      <w:pPr>
        <w:pStyle w:val="NormalBulletnumber"/>
        <w:tabs>
          <w:tab w:val="clear" w:pos="2268"/>
        </w:tabs>
        <w:ind w:left="0" w:firstLine="0"/>
      </w:pPr>
      <w:r>
        <w:t>Procurement Procedures</w:t>
      </w:r>
    </w:p>
    <w:p w14:paraId="253D5E63" w14:textId="052BB41B" w:rsidR="003E1A78" w:rsidRDefault="00490915" w:rsidP="00D776B6">
      <w:pPr>
        <w:pStyle w:val="Heading2"/>
      </w:pPr>
      <w:bookmarkStart w:id="7" w:name="_Toc111551914"/>
      <w:r>
        <w:lastRenderedPageBreak/>
        <w:t>Introduction to the Office of Rail and Road</w:t>
      </w:r>
      <w:bookmarkEnd w:id="7"/>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8" w:name="_Toc111551915"/>
      <w:r>
        <w:t>Our strategic objectives</w:t>
      </w:r>
      <w:bookmarkEnd w:id="8"/>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9" w:name="_Toc111551916"/>
      <w:r>
        <w:t>Supplying ORR</w:t>
      </w:r>
      <w:bookmarkEnd w:id="9"/>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7"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0" w:name="_Toc111551917"/>
      <w:r>
        <w:lastRenderedPageBreak/>
        <w:t>Small and Medium Enterprises</w:t>
      </w:r>
      <w:bookmarkEnd w:id="10"/>
    </w:p>
    <w:p w14:paraId="37ED9C1E" w14:textId="73536768" w:rsidR="00D776B6" w:rsidRDefault="00D776B6" w:rsidP="00D776B6">
      <w:pPr>
        <w:pStyle w:val="Boxedparagraph"/>
      </w:pPr>
      <w:commentRangeStart w:id="11"/>
      <w:commentRangeStart w:id="12"/>
      <w:r>
        <w:t xml:space="preserve">ORR considers that </w:t>
      </w:r>
      <w:commentRangeEnd w:id="11"/>
      <w:r w:rsidR="00FE3892">
        <w:rPr>
          <w:rStyle w:val="CommentReference"/>
        </w:rPr>
        <w:commentReference w:id="11"/>
      </w:r>
      <w:commentRangeEnd w:id="12"/>
      <w:r>
        <w:rPr>
          <w:rStyle w:val="CommentReference"/>
        </w:rPr>
        <w:commentReference w:id="12"/>
      </w:r>
      <w:r>
        <w:t xml:space="preserve">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3" w:name="_Toc111551918"/>
      <w:r>
        <w:lastRenderedPageBreak/>
        <w:t>Statement of Requirement</w:t>
      </w:r>
      <w:bookmarkEnd w:id="13"/>
    </w:p>
    <w:p w14:paraId="0C918979" w14:textId="4CE3B4F2" w:rsidR="00F20E70" w:rsidRDefault="00F20E70" w:rsidP="00F20E70">
      <w:pPr>
        <w:pStyle w:val="Heading3"/>
      </w:pPr>
      <w:bookmarkStart w:id="14" w:name="_Toc111551919"/>
      <w:r>
        <w:t>2.1 Background of the project</w:t>
      </w:r>
      <w:bookmarkEnd w:id="14"/>
    </w:p>
    <w:p w14:paraId="5D5F3503" w14:textId="28856FA1" w:rsidR="00F032FC" w:rsidRDefault="00F032FC" w:rsidP="49A0D604">
      <w:pPr>
        <w:rPr>
          <w:rFonts w:ascii="Open Sans" w:hAnsi="Open Sans" w:cs="Open Sans"/>
          <w:color w:val="000000"/>
          <w:shd w:val="clear" w:color="auto" w:fill="FFFFFF"/>
        </w:rPr>
      </w:pPr>
      <w:r>
        <w:t>The Channel Tunnel comprises</w:t>
      </w:r>
      <w:r w:rsidDel="00F032FC">
        <w:t xml:space="preserve"> </w:t>
      </w:r>
      <w:r>
        <w:t xml:space="preserve">two railway running tunnels and a service tunnel between the UK terminal in Folkestone and the French terminal in </w:t>
      </w:r>
      <w:proofErr w:type="spellStart"/>
      <w:r>
        <w:t>Coquelles</w:t>
      </w:r>
      <w:proofErr w:type="spellEnd"/>
      <w:r>
        <w:t>.</w:t>
      </w:r>
      <w:r w:rsidDel="00F032FC">
        <w:t xml:space="preserve"> </w:t>
      </w:r>
      <w:r>
        <w:t xml:space="preserve">An electrical interconnector cable is installed through </w:t>
      </w:r>
      <w:r w:rsidR="008746A2">
        <w:t>the North</w:t>
      </w:r>
      <w:r>
        <w:t xml:space="preserve"> running tunnel. The interconnector, know</w:t>
      </w:r>
      <w:r w:rsidR="002014B9">
        <w:t>n</w:t>
      </w:r>
      <w:r>
        <w:t xml:space="preserve"> as the </w:t>
      </w:r>
      <w:proofErr w:type="spellStart"/>
      <w:r>
        <w:t>ElecLink</w:t>
      </w:r>
      <w:proofErr w:type="spellEnd"/>
      <w:r>
        <w:t xml:space="preserve"> interconnector,</w:t>
      </w:r>
      <w:r w:rsidDel="00F032FC">
        <w:t xml:space="preserve"> is </w:t>
      </w:r>
      <w:r>
        <w:t>a 1GW electrical interconnector operating between the United Kingdom and France, through two direct current cables inside the Channel Tunnel. These enable electricity produced on either side of the Channel to circulate between the two countries.</w:t>
      </w:r>
    </w:p>
    <w:p w14:paraId="6BD71CF1" w14:textId="29698CA2" w:rsidR="00F032FC" w:rsidRDefault="00F032FC" w:rsidP="0052392D">
      <w:pPr>
        <w:rPr>
          <w:rFonts w:eastAsia="Arial" w:cs="Arial"/>
          <w:color w:val="000000" w:themeColor="text1"/>
        </w:rPr>
      </w:pPr>
      <w:r w:rsidRPr="48C2AEB2">
        <w:rPr>
          <w:rStyle w:val="normaltextrun"/>
          <w:rFonts w:ascii="Arial" w:eastAsia="Arial" w:hAnsi="Arial" w:cs="Arial"/>
          <w:color w:val="000000" w:themeColor="text1"/>
          <w:sz w:val="24"/>
          <w:szCs w:val="24"/>
        </w:rPr>
        <w:t xml:space="preserve">The Intergovernmental Commission (IGC) is </w:t>
      </w:r>
      <w:r w:rsidR="0052392D">
        <w:rPr>
          <w:rStyle w:val="normaltextrun"/>
          <w:rFonts w:ascii="Arial" w:eastAsia="Arial" w:hAnsi="Arial" w:cs="Arial"/>
          <w:color w:val="000000" w:themeColor="text1"/>
          <w:sz w:val="24"/>
          <w:szCs w:val="24"/>
        </w:rPr>
        <w:t xml:space="preserve">currently </w:t>
      </w:r>
      <w:r w:rsidRPr="48C2AEB2">
        <w:rPr>
          <w:rStyle w:val="normaltextrun"/>
          <w:rFonts w:ascii="Arial" w:eastAsia="Arial" w:hAnsi="Arial" w:cs="Arial"/>
          <w:color w:val="000000" w:themeColor="text1"/>
          <w:sz w:val="24"/>
          <w:szCs w:val="24"/>
        </w:rPr>
        <w:t xml:space="preserve">the National Safety Authority (NSA) for the UK half of the Channel Tunnel. The IGC exercises delegated authority from both the French and UK </w:t>
      </w:r>
      <w:proofErr w:type="gramStart"/>
      <w:r w:rsidRPr="48C2AEB2">
        <w:rPr>
          <w:rStyle w:val="normaltextrun"/>
          <w:rFonts w:ascii="Arial" w:eastAsia="Arial" w:hAnsi="Arial" w:cs="Arial"/>
          <w:color w:val="000000" w:themeColor="text1"/>
          <w:sz w:val="24"/>
          <w:szCs w:val="24"/>
        </w:rPr>
        <w:t>Governments</w:t>
      </w:r>
      <w:proofErr w:type="gramEnd"/>
      <w:r w:rsidRPr="48C2AEB2">
        <w:rPr>
          <w:rStyle w:val="normaltextrun"/>
          <w:rFonts w:ascii="Arial" w:eastAsia="Arial" w:hAnsi="Arial" w:cs="Arial"/>
          <w:color w:val="000000" w:themeColor="text1"/>
          <w:sz w:val="24"/>
          <w:szCs w:val="24"/>
        </w:rPr>
        <w:t xml:space="preserve"> and its decisions are made jointly by the UK and French Heads of Delegation.</w:t>
      </w:r>
    </w:p>
    <w:p w14:paraId="4238B744" w14:textId="77777777" w:rsidR="008746A2" w:rsidRDefault="008746A2" w:rsidP="0052392D">
      <w:pPr>
        <w:rPr>
          <w:rStyle w:val="normaltextrun"/>
          <w:rFonts w:ascii="Arial" w:eastAsia="Arial" w:hAnsi="Arial" w:cs="Arial"/>
          <w:color w:val="000000" w:themeColor="text1"/>
          <w:sz w:val="24"/>
          <w:szCs w:val="24"/>
        </w:rPr>
      </w:pPr>
      <w:r w:rsidRPr="00F032FC">
        <w:rPr>
          <w:rStyle w:val="normaltextrun"/>
          <w:rFonts w:ascii="Arial" w:eastAsia="Arial" w:hAnsi="Arial" w:cs="Arial"/>
          <w:color w:val="000000" w:themeColor="text1"/>
          <w:sz w:val="24"/>
          <w:szCs w:val="24"/>
        </w:rPr>
        <w:t xml:space="preserve">The IGC was previously the NSA for the whole of the Fixed Link, but since 1 January 2021, and following the UK’s withdrawal from the EU, the French railway regulator </w:t>
      </w:r>
      <w:proofErr w:type="spellStart"/>
      <w:r w:rsidRPr="00F032FC">
        <w:rPr>
          <w:rStyle w:val="normaltextrun"/>
          <w:rFonts w:ascii="Arial" w:eastAsia="Arial" w:hAnsi="Arial" w:cs="Arial"/>
          <w:color w:val="000000" w:themeColor="text1"/>
          <w:sz w:val="24"/>
          <w:szCs w:val="24"/>
        </w:rPr>
        <w:t>Établissement</w:t>
      </w:r>
      <w:proofErr w:type="spellEnd"/>
      <w:r w:rsidRPr="00F032FC">
        <w:rPr>
          <w:rStyle w:val="normaltextrun"/>
          <w:rFonts w:ascii="Arial" w:eastAsia="Arial" w:hAnsi="Arial" w:cs="Arial"/>
          <w:color w:val="000000" w:themeColor="text1"/>
          <w:sz w:val="24"/>
          <w:szCs w:val="24"/>
        </w:rPr>
        <w:t xml:space="preserve"> Public de </w:t>
      </w:r>
      <w:proofErr w:type="spellStart"/>
      <w:r w:rsidRPr="00F032FC">
        <w:rPr>
          <w:rStyle w:val="normaltextrun"/>
          <w:rFonts w:ascii="Arial" w:eastAsia="Arial" w:hAnsi="Arial" w:cs="Arial"/>
          <w:color w:val="000000" w:themeColor="text1"/>
          <w:sz w:val="24"/>
          <w:szCs w:val="24"/>
        </w:rPr>
        <w:t>Sécurité</w:t>
      </w:r>
      <w:proofErr w:type="spellEnd"/>
      <w:r w:rsidRPr="00F032FC">
        <w:rPr>
          <w:rStyle w:val="normaltextrun"/>
          <w:rFonts w:ascii="Arial" w:eastAsia="Arial" w:hAnsi="Arial" w:cs="Arial"/>
          <w:color w:val="000000" w:themeColor="text1"/>
          <w:sz w:val="24"/>
          <w:szCs w:val="24"/>
        </w:rPr>
        <w:t xml:space="preserve"> </w:t>
      </w:r>
      <w:proofErr w:type="spellStart"/>
      <w:r w:rsidRPr="00F032FC">
        <w:rPr>
          <w:rStyle w:val="normaltextrun"/>
          <w:rFonts w:ascii="Arial" w:eastAsia="Arial" w:hAnsi="Arial" w:cs="Arial"/>
          <w:color w:val="000000" w:themeColor="text1"/>
          <w:sz w:val="24"/>
          <w:szCs w:val="24"/>
        </w:rPr>
        <w:t>Ferroviaire</w:t>
      </w:r>
      <w:proofErr w:type="spellEnd"/>
      <w:r w:rsidRPr="00F032FC">
        <w:rPr>
          <w:rStyle w:val="normaltextrun"/>
          <w:rFonts w:ascii="Arial" w:eastAsia="Arial" w:hAnsi="Arial" w:cs="Arial"/>
          <w:color w:val="000000" w:themeColor="text1"/>
          <w:sz w:val="24"/>
          <w:szCs w:val="24"/>
        </w:rPr>
        <w:t xml:space="preserve"> (EPSF) has taken on the role of NSA for the French half of the Tunnel</w:t>
      </w:r>
      <w:r>
        <w:rPr>
          <w:rStyle w:val="normaltextrun"/>
          <w:rFonts w:ascii="Arial" w:eastAsia="Arial" w:hAnsi="Arial" w:cs="Arial"/>
          <w:color w:val="000000" w:themeColor="text1"/>
          <w:sz w:val="24"/>
          <w:szCs w:val="24"/>
        </w:rPr>
        <w:t>.</w:t>
      </w:r>
    </w:p>
    <w:p w14:paraId="367E2F87" w14:textId="3DC17881" w:rsidR="00F032FC" w:rsidRPr="008746A2" w:rsidRDefault="00F032FC" w:rsidP="005A3376">
      <w:pPr>
        <w:rPr>
          <w:rFonts w:eastAsia="Arial" w:cs="Arial"/>
          <w:color w:val="000000" w:themeColor="text1"/>
        </w:rPr>
      </w:pPr>
      <w:r w:rsidRPr="00F032FC">
        <w:rPr>
          <w:rStyle w:val="normaltextrun"/>
          <w:rFonts w:ascii="Arial" w:eastAsia="Arial" w:hAnsi="Arial" w:cs="Arial"/>
          <w:color w:val="000000" w:themeColor="text1"/>
          <w:sz w:val="24"/>
          <w:szCs w:val="24"/>
        </w:rPr>
        <w:t xml:space="preserve">The IGC’s NSA role for safety matters currently operate under Channel Tunnel (Safety) (Amendment) Order 2013 (known as the </w:t>
      </w:r>
      <w:r w:rsidRPr="00F032FC">
        <w:rPr>
          <w:rStyle w:val="normaltextrun"/>
          <w:rFonts w:ascii="Arial" w:eastAsia="Arial" w:hAnsi="Arial" w:cs="Arial"/>
          <w:i/>
          <w:iCs/>
          <w:color w:val="000000" w:themeColor="text1"/>
          <w:sz w:val="24"/>
          <w:szCs w:val="24"/>
        </w:rPr>
        <w:t>‘Binational Regulations’)</w:t>
      </w:r>
      <w:r w:rsidRPr="00F032FC">
        <w:rPr>
          <w:rStyle w:val="normaltextrun"/>
          <w:rFonts w:ascii="Arial" w:eastAsia="Arial" w:hAnsi="Arial" w:cs="Arial"/>
          <w:color w:val="000000" w:themeColor="text1"/>
          <w:sz w:val="24"/>
          <w:szCs w:val="24"/>
        </w:rPr>
        <w:t>. The IGC is supported by a</w:t>
      </w:r>
      <w:r w:rsidR="0052392D">
        <w:rPr>
          <w:rStyle w:val="normaltextrun"/>
          <w:rFonts w:ascii="Arial" w:eastAsia="Arial" w:hAnsi="Arial" w:cs="Arial"/>
          <w:color w:val="000000" w:themeColor="text1"/>
          <w:sz w:val="24"/>
          <w:szCs w:val="24"/>
        </w:rPr>
        <w:t>n</w:t>
      </w:r>
      <w:r w:rsidRPr="00F032FC">
        <w:rPr>
          <w:rStyle w:val="normaltextrun"/>
          <w:rFonts w:ascii="Arial" w:eastAsia="Arial" w:hAnsi="Arial" w:cs="Arial"/>
          <w:color w:val="000000" w:themeColor="text1"/>
          <w:sz w:val="24"/>
          <w:szCs w:val="24"/>
        </w:rPr>
        <w:t xml:space="preserve"> advisory body, the Channel Tunnel Safety Authority (CTSA).</w:t>
      </w:r>
    </w:p>
    <w:p w14:paraId="74705DF6" w14:textId="5C786AF2" w:rsidR="008746A2" w:rsidRPr="00F032FC" w:rsidRDefault="00F032FC" w:rsidP="005A3376">
      <w:r w:rsidRPr="005A3376">
        <w:t xml:space="preserve">The </w:t>
      </w:r>
      <w:r>
        <w:t xml:space="preserve">IGC, through the work and advice of the </w:t>
      </w:r>
      <w:r w:rsidRPr="005A3376">
        <w:t>CTSA</w:t>
      </w:r>
      <w:r>
        <w:t>, also</w:t>
      </w:r>
      <w:r w:rsidRPr="005A3376">
        <w:t xml:space="preserve"> has regulatory oversight of </w:t>
      </w:r>
      <w:r>
        <w:t xml:space="preserve">other </w:t>
      </w:r>
      <w:r w:rsidRPr="005A3376">
        <w:t>safety matters</w:t>
      </w:r>
      <w:r w:rsidR="0052392D">
        <w:t>, not necessarily related to railway operations,</w:t>
      </w:r>
      <w:r w:rsidRPr="005A3376" w:rsidDel="0052392D">
        <w:t xml:space="preserve"> </w:t>
      </w:r>
      <w:r w:rsidRPr="005A3376">
        <w:t xml:space="preserve">within the tunnel and on the French and </w:t>
      </w:r>
      <w:r w:rsidR="0052392D">
        <w:t>UK</w:t>
      </w:r>
      <w:r w:rsidRPr="005A3376">
        <w:t xml:space="preserve"> terminals, as well as for </w:t>
      </w:r>
      <w:r w:rsidR="0052392D">
        <w:t xml:space="preserve">the </w:t>
      </w:r>
      <w:proofErr w:type="spellStart"/>
      <w:r w:rsidRPr="005A3376">
        <w:t>ElecLink</w:t>
      </w:r>
      <w:proofErr w:type="spellEnd"/>
      <w:r w:rsidRPr="005A3376">
        <w:t xml:space="preserve"> </w:t>
      </w:r>
      <w:r w:rsidR="0052392D">
        <w:t>interconnector cable</w:t>
      </w:r>
      <w:r w:rsidRPr="005A3376">
        <w:t>. Following</w:t>
      </w:r>
      <w:r w:rsidRPr="005A3376" w:rsidDel="0052392D">
        <w:t xml:space="preserve"> </w:t>
      </w:r>
      <w:r w:rsidR="0052392D">
        <w:t xml:space="preserve">some recent </w:t>
      </w:r>
      <w:r w:rsidRPr="005A3376">
        <w:t xml:space="preserve">incidents and outages, the CTSA wish to carry out targeted inspection activity focussing on arrangements for the monitoring and inspection of the cable infrastructure. </w:t>
      </w:r>
    </w:p>
    <w:p w14:paraId="6BC6038D" w14:textId="56CF6F02" w:rsidR="008746A2" w:rsidRDefault="26742C2F" w:rsidP="005A3376">
      <w:pPr>
        <w:rPr>
          <w:rFonts w:eastAsia="Arial" w:cs="Arial"/>
          <w:color w:val="000000" w:themeColor="text1"/>
        </w:rPr>
      </w:pPr>
      <w:r w:rsidRPr="00F032FC">
        <w:rPr>
          <w:rStyle w:val="normaltextrun"/>
          <w:rFonts w:ascii="Arial" w:eastAsia="Arial" w:hAnsi="Arial" w:cs="Arial"/>
          <w:color w:val="000000" w:themeColor="text1"/>
          <w:sz w:val="24"/>
          <w:szCs w:val="24"/>
        </w:rPr>
        <w:t xml:space="preserve">ORR inspectors are appointed, alongside their French counterparts, to lead and deliver the CTSA inspection plans, which aim to assure that Eurotunnel’s and railway undertakings’ safety management systems </w:t>
      </w:r>
      <w:proofErr w:type="gramStart"/>
      <w:r w:rsidRPr="00F032FC">
        <w:rPr>
          <w:rStyle w:val="normaltextrun"/>
          <w:rFonts w:ascii="Arial" w:eastAsia="Arial" w:hAnsi="Arial" w:cs="Arial"/>
          <w:color w:val="000000" w:themeColor="text1"/>
          <w:sz w:val="24"/>
          <w:szCs w:val="24"/>
        </w:rPr>
        <w:t>are capable of managing</w:t>
      </w:r>
      <w:proofErr w:type="gramEnd"/>
      <w:r w:rsidRPr="00F032FC">
        <w:rPr>
          <w:rStyle w:val="normaltextrun"/>
          <w:rFonts w:ascii="Arial" w:eastAsia="Arial" w:hAnsi="Arial" w:cs="Arial"/>
          <w:color w:val="000000" w:themeColor="text1"/>
          <w:sz w:val="24"/>
          <w:szCs w:val="24"/>
        </w:rPr>
        <w:t xml:space="preserve"> the specific risks associated with Channel Tunnel operations. ORR also manages, monitors and closes out outstanding recommendations from the CTSA and NSA bi-national inspections and investigations. </w:t>
      </w:r>
    </w:p>
    <w:p w14:paraId="6EA14BBE" w14:textId="21545235" w:rsidR="48C2AEB2" w:rsidRDefault="26742C2F" w:rsidP="005A3376">
      <w:pPr>
        <w:rPr>
          <w:rFonts w:eastAsia="Arial" w:cs="Arial"/>
          <w:color w:val="000000" w:themeColor="text1"/>
        </w:rPr>
      </w:pPr>
      <w:r w:rsidRPr="00F032FC">
        <w:rPr>
          <w:rStyle w:val="normaltextrun"/>
          <w:rFonts w:ascii="Arial" w:eastAsia="Arial" w:hAnsi="Arial" w:cs="Arial"/>
          <w:color w:val="000000" w:themeColor="text1"/>
          <w:sz w:val="24"/>
          <w:szCs w:val="24"/>
        </w:rPr>
        <w:lastRenderedPageBreak/>
        <w:t xml:space="preserve">This project is being commissioned directly by the “ORR Channel Tunnel team” within the Railway Safety Directorate of ORR in their role as </w:t>
      </w:r>
      <w:r w:rsidR="00F032FC">
        <w:rPr>
          <w:rStyle w:val="normaltextrun"/>
          <w:rFonts w:ascii="Arial" w:eastAsia="Arial" w:hAnsi="Arial" w:cs="Arial"/>
          <w:color w:val="000000" w:themeColor="text1"/>
          <w:sz w:val="24"/>
          <w:szCs w:val="24"/>
        </w:rPr>
        <w:t xml:space="preserve">part of the </w:t>
      </w:r>
      <w:r w:rsidRPr="00F032FC">
        <w:rPr>
          <w:rStyle w:val="normaltextrun"/>
          <w:rFonts w:ascii="Arial" w:eastAsia="Arial" w:hAnsi="Arial" w:cs="Arial"/>
          <w:color w:val="000000" w:themeColor="text1"/>
          <w:sz w:val="24"/>
          <w:szCs w:val="24"/>
        </w:rPr>
        <w:t xml:space="preserve">UK Delegation </w:t>
      </w:r>
      <w:r w:rsidR="00F032FC" w:rsidRPr="49A0D604">
        <w:rPr>
          <w:rStyle w:val="normaltextrun"/>
          <w:rFonts w:ascii="Arial" w:eastAsia="Arial" w:hAnsi="Arial" w:cs="Arial"/>
          <w:color w:val="000000" w:themeColor="text1"/>
          <w:sz w:val="24"/>
          <w:szCs w:val="24"/>
        </w:rPr>
        <w:t>to</w:t>
      </w:r>
      <w:r w:rsidRPr="00F032FC">
        <w:rPr>
          <w:rStyle w:val="normaltextrun"/>
          <w:rFonts w:ascii="Arial" w:eastAsia="Arial" w:hAnsi="Arial" w:cs="Arial"/>
          <w:color w:val="000000" w:themeColor="text1"/>
          <w:sz w:val="24"/>
          <w:szCs w:val="24"/>
        </w:rPr>
        <w:t xml:space="preserve"> the CTSA</w:t>
      </w:r>
      <w:r w:rsidR="008746A2">
        <w:rPr>
          <w:rStyle w:val="normaltextrun"/>
          <w:rFonts w:ascii="Arial" w:eastAsia="Arial" w:hAnsi="Arial" w:cs="Arial"/>
          <w:color w:val="000000" w:themeColor="text1"/>
          <w:sz w:val="24"/>
          <w:szCs w:val="24"/>
        </w:rPr>
        <w:t xml:space="preserve"> as </w:t>
      </w:r>
      <w:r w:rsidR="00BA4C75">
        <w:rPr>
          <w:rStyle w:val="normaltextrun"/>
          <w:rFonts w:ascii="Arial" w:eastAsia="Arial" w:hAnsi="Arial" w:cs="Arial"/>
          <w:color w:val="000000" w:themeColor="text1"/>
          <w:sz w:val="24"/>
          <w:szCs w:val="24"/>
        </w:rPr>
        <w:t xml:space="preserve">neither </w:t>
      </w:r>
      <w:r w:rsidR="008746A2">
        <w:rPr>
          <w:rStyle w:val="normaltextrun"/>
          <w:rFonts w:ascii="Arial" w:eastAsia="Arial" w:hAnsi="Arial" w:cs="Arial"/>
          <w:color w:val="000000" w:themeColor="text1"/>
          <w:sz w:val="24"/>
          <w:szCs w:val="24"/>
        </w:rPr>
        <w:t>t</w:t>
      </w:r>
      <w:r w:rsidR="008746A2">
        <w:t xml:space="preserve">he ORR </w:t>
      </w:r>
      <w:proofErr w:type="gramStart"/>
      <w:r w:rsidR="00BA4C75">
        <w:t>or</w:t>
      </w:r>
      <w:proofErr w:type="gramEnd"/>
      <w:r w:rsidR="008746A2">
        <w:t xml:space="preserve"> CTSA </w:t>
      </w:r>
      <w:r w:rsidR="00BA4C75">
        <w:t xml:space="preserve">has </w:t>
      </w:r>
      <w:r w:rsidR="008746A2">
        <w:t>the relevant expertise of HVDC interconnectors in-house</w:t>
      </w:r>
      <w:r w:rsidRPr="00F032FC">
        <w:rPr>
          <w:rStyle w:val="normaltextrun"/>
          <w:rFonts w:ascii="Arial" w:eastAsia="Arial" w:hAnsi="Arial" w:cs="Arial"/>
          <w:color w:val="000000" w:themeColor="text1"/>
          <w:sz w:val="24"/>
          <w:szCs w:val="24"/>
        </w:rPr>
        <w:t xml:space="preserve">. </w:t>
      </w:r>
    </w:p>
    <w:p w14:paraId="29157C88" w14:textId="723C8DC0" w:rsidR="00F032FC" w:rsidRDefault="26742C2F" w:rsidP="005A3376">
      <w:pPr>
        <w:rPr>
          <w:rFonts w:eastAsia="Arial" w:cs="Arial"/>
          <w:color w:val="000000" w:themeColor="text1"/>
        </w:rPr>
      </w:pPr>
      <w:r w:rsidRPr="00F032FC">
        <w:rPr>
          <w:rStyle w:val="normaltextrun"/>
          <w:rFonts w:ascii="Arial" w:eastAsia="Arial" w:hAnsi="Arial" w:cs="Arial"/>
          <w:color w:val="000000" w:themeColor="text1"/>
          <w:sz w:val="24"/>
          <w:szCs w:val="24"/>
        </w:rPr>
        <w:t xml:space="preserve">Further information on the role of ORR, CTSA and the IGC can be found on the ORR website: </w:t>
      </w:r>
      <w:hyperlink r:id="rId28">
        <w:r w:rsidRPr="00F032FC">
          <w:rPr>
            <w:rStyle w:val="Hyperlink"/>
            <w:rFonts w:eastAsia="Arial" w:cs="Arial"/>
          </w:rPr>
          <w:t>Channel Tunnel Intergovernmental Commission (IGC) and Safety Authority (CTSA)</w:t>
        </w:r>
      </w:hyperlink>
      <w:r w:rsidRPr="005A3376">
        <w:rPr>
          <w:rFonts w:eastAsia="Arial" w:cs="Arial"/>
          <w:color w:val="000000" w:themeColor="text1"/>
        </w:rPr>
        <w:t>.</w:t>
      </w:r>
    </w:p>
    <w:p w14:paraId="44DB8664" w14:textId="0A917400" w:rsidR="00F032FC" w:rsidRPr="005A3376" w:rsidRDefault="008746A2" w:rsidP="005A3376">
      <w:pPr>
        <w:spacing w:after="0" w:line="240" w:lineRule="auto"/>
        <w:rPr>
          <w:rFonts w:eastAsia="Arial" w:cs="Arial"/>
          <w:color w:val="000000" w:themeColor="text1"/>
        </w:rPr>
      </w:pPr>
      <w:r>
        <w:rPr>
          <w:rFonts w:eastAsia="Arial" w:cs="Arial"/>
          <w:color w:val="000000" w:themeColor="text1"/>
        </w:rPr>
        <w:t xml:space="preserve">Further information on </w:t>
      </w:r>
      <w:proofErr w:type="spellStart"/>
      <w:r>
        <w:rPr>
          <w:rFonts w:eastAsia="Arial" w:cs="Arial"/>
          <w:color w:val="000000" w:themeColor="text1"/>
        </w:rPr>
        <w:t>ElecLink</w:t>
      </w:r>
      <w:proofErr w:type="spellEnd"/>
      <w:r>
        <w:rPr>
          <w:rFonts w:eastAsia="Arial" w:cs="Arial"/>
          <w:color w:val="000000" w:themeColor="text1"/>
        </w:rPr>
        <w:t xml:space="preserve"> can be found at the </w:t>
      </w:r>
      <w:proofErr w:type="spellStart"/>
      <w:r>
        <w:rPr>
          <w:rFonts w:eastAsia="Arial" w:cs="Arial"/>
          <w:color w:val="000000" w:themeColor="text1"/>
        </w:rPr>
        <w:t>ElecLink</w:t>
      </w:r>
      <w:proofErr w:type="spellEnd"/>
      <w:r>
        <w:rPr>
          <w:rFonts w:eastAsia="Arial" w:cs="Arial"/>
          <w:color w:val="000000" w:themeColor="text1"/>
        </w:rPr>
        <w:t xml:space="preserve"> website: </w:t>
      </w:r>
      <w:hyperlink r:id="rId29" w:history="1">
        <w:proofErr w:type="spellStart"/>
        <w:r w:rsidRPr="008746A2">
          <w:rPr>
            <w:rStyle w:val="Hyperlink"/>
            <w:rFonts w:eastAsia="Arial" w:cs="Arial"/>
          </w:rPr>
          <w:t>Eleclink</w:t>
        </w:r>
        <w:proofErr w:type="spellEnd"/>
      </w:hyperlink>
    </w:p>
    <w:p w14:paraId="74919ACA" w14:textId="133DB5B9" w:rsidR="00F20E70" w:rsidRDefault="00F20E70" w:rsidP="0057699B">
      <w:pPr>
        <w:pStyle w:val="Heading3"/>
      </w:pPr>
      <w:bookmarkStart w:id="15" w:name="_Toc111551920"/>
      <w:r>
        <w:t>2.2 Project Objectives and Scope</w:t>
      </w:r>
      <w:bookmarkEnd w:id="15"/>
    </w:p>
    <w:p w14:paraId="179294FE" w14:textId="0541801D" w:rsidR="00A33C75" w:rsidRPr="009C6CC6" w:rsidRDefault="2D15CC59" w:rsidP="49A0D604">
      <w:pPr>
        <w:pStyle w:val="NormalBulletround"/>
      </w:pPr>
      <w:r>
        <w:t xml:space="preserve">This tender seeks to secure </w:t>
      </w:r>
      <w:r w:rsidR="7646F4BB">
        <w:t>expert, independent</w:t>
      </w:r>
      <w:r w:rsidR="19A2D749">
        <w:t xml:space="preserve"> technical</w:t>
      </w:r>
      <w:r w:rsidR="7646F4BB">
        <w:t xml:space="preserve"> </w:t>
      </w:r>
      <w:r w:rsidR="576E8D6E">
        <w:t>advice</w:t>
      </w:r>
      <w:r w:rsidR="009C6CC6">
        <w:t xml:space="preserve"> </w:t>
      </w:r>
      <w:r w:rsidR="18269F88">
        <w:t>t</w:t>
      </w:r>
      <w:r w:rsidR="00A33C75">
        <w:t xml:space="preserve">o </w:t>
      </w:r>
      <w:r w:rsidR="0C823371">
        <w:t>support UK CTSA inspectors in</w:t>
      </w:r>
      <w:r w:rsidR="18279846">
        <w:t xml:space="preserve"> the safety regulation of the</w:t>
      </w:r>
      <w:r w:rsidR="0C823371">
        <w:t xml:space="preserve"> </w:t>
      </w:r>
      <w:proofErr w:type="spellStart"/>
      <w:r w:rsidR="00A33C75">
        <w:t>ElecLink</w:t>
      </w:r>
      <w:proofErr w:type="spellEnd"/>
      <w:r w:rsidR="00A33C75">
        <w:t xml:space="preserve"> </w:t>
      </w:r>
      <w:r w:rsidR="009C6CC6">
        <w:t xml:space="preserve">HVDC </w:t>
      </w:r>
      <w:r w:rsidR="00A33C75">
        <w:t>interconnector.</w:t>
      </w:r>
    </w:p>
    <w:p w14:paraId="13F0839A" w14:textId="74B5C8D9" w:rsidR="007C43C1" w:rsidRDefault="009C6CC6" w:rsidP="009C6CC6">
      <w:pPr>
        <w:pStyle w:val="NormalBulletround"/>
      </w:pPr>
      <w:r>
        <w:t>K</w:t>
      </w:r>
      <w:r w:rsidR="007C43C1">
        <w:t>ey tasks</w:t>
      </w:r>
      <w:r>
        <w:t>:</w:t>
      </w:r>
    </w:p>
    <w:p w14:paraId="29084BAB" w14:textId="2A55511E" w:rsidR="7B81396F" w:rsidRPr="005A3376" w:rsidRDefault="0AA2FFC7" w:rsidP="005A3376">
      <w:pPr>
        <w:pStyle w:val="NormalBulletround"/>
        <w:numPr>
          <w:ilvl w:val="0"/>
          <w:numId w:val="2"/>
        </w:numPr>
      </w:pPr>
      <w:r w:rsidRPr="005A3376">
        <w:t xml:space="preserve">To support </w:t>
      </w:r>
      <w:r w:rsidR="33A48AB6" w:rsidRPr="005A3376">
        <w:t xml:space="preserve">the development of an inspection protocol for CTSA inspectors that </w:t>
      </w:r>
      <w:r w:rsidR="2D6D5E17" w:rsidRPr="005A3376">
        <w:t xml:space="preserve">covers both </w:t>
      </w:r>
      <w:r w:rsidR="274DB0D1" w:rsidRPr="005A3376">
        <w:t xml:space="preserve">statutory requirements </w:t>
      </w:r>
      <w:r w:rsidR="35CF22E8" w:rsidRPr="005A3376">
        <w:t xml:space="preserve">and best practice in the maintenance and inspection of high </w:t>
      </w:r>
      <w:r w:rsidR="30211CBC" w:rsidRPr="005A3376">
        <w:t>voltage</w:t>
      </w:r>
      <w:r w:rsidR="094BE002" w:rsidRPr="005A3376">
        <w:t xml:space="preserve"> DC interconnectors</w:t>
      </w:r>
      <w:r w:rsidR="009C6CC6" w:rsidRPr="005A3376">
        <w:t>.</w:t>
      </w:r>
    </w:p>
    <w:p w14:paraId="1B8003F7" w14:textId="4AF56994" w:rsidR="64950AC5" w:rsidRPr="005A3376" w:rsidRDefault="64950AC5" w:rsidP="005A3376">
      <w:pPr>
        <w:pStyle w:val="NormalBulletround"/>
        <w:numPr>
          <w:ilvl w:val="0"/>
          <w:numId w:val="2"/>
        </w:numPr>
      </w:pPr>
      <w:r w:rsidRPr="005A3376">
        <w:t>Develop relevant</w:t>
      </w:r>
      <w:r w:rsidR="73748216" w:rsidRPr="005A3376">
        <w:t xml:space="preserve"> training materials</w:t>
      </w:r>
      <w:r w:rsidR="0CBA2074" w:rsidRPr="005A3376">
        <w:t>, as well as a briefing on the inspection</w:t>
      </w:r>
      <w:r w:rsidR="73748216" w:rsidRPr="005A3376">
        <w:t xml:space="preserve"> </w:t>
      </w:r>
      <w:r w:rsidR="3C12A3D0" w:rsidRPr="005A3376">
        <w:t xml:space="preserve">to </w:t>
      </w:r>
      <w:r w:rsidR="20770200" w:rsidRPr="005A3376">
        <w:t xml:space="preserve">CTSA </w:t>
      </w:r>
      <w:r w:rsidR="3C12A3D0" w:rsidRPr="005A3376">
        <w:t xml:space="preserve">inspectors </w:t>
      </w:r>
      <w:r w:rsidR="56D89160" w:rsidRPr="005A3376">
        <w:t>prior to the inspection</w:t>
      </w:r>
      <w:r w:rsidR="009C6CC6" w:rsidRPr="005A3376">
        <w:t>.</w:t>
      </w:r>
    </w:p>
    <w:p w14:paraId="66ACB54C" w14:textId="7E85E259" w:rsidR="04890CA5" w:rsidRPr="005A3376" w:rsidRDefault="04890CA5" w:rsidP="005A3376">
      <w:pPr>
        <w:pStyle w:val="NormalBulletround"/>
        <w:numPr>
          <w:ilvl w:val="0"/>
          <w:numId w:val="2"/>
        </w:numPr>
      </w:pPr>
      <w:r w:rsidRPr="005A3376">
        <w:t xml:space="preserve">Support inspectors in reviewing </w:t>
      </w:r>
      <w:r w:rsidR="0F777AB9" w:rsidRPr="005A3376">
        <w:t>technical</w:t>
      </w:r>
      <w:r w:rsidRPr="005A3376">
        <w:t xml:space="preserve"> information gathered during the inspection and in the drafting of </w:t>
      </w:r>
      <w:r w:rsidR="653F1730" w:rsidRPr="005A3376">
        <w:t>an inspection</w:t>
      </w:r>
      <w:r w:rsidR="7492C94D" w:rsidRPr="005A3376">
        <w:t xml:space="preserve"> report. </w:t>
      </w:r>
    </w:p>
    <w:p w14:paraId="7A47FDC3" w14:textId="77777777" w:rsidR="009C6CC6" w:rsidRPr="005A3376" w:rsidRDefault="7492C94D" w:rsidP="0FF4C8F5">
      <w:pPr>
        <w:pStyle w:val="NormalBulletround"/>
        <w:numPr>
          <w:ilvl w:val="0"/>
          <w:numId w:val="2"/>
        </w:numPr>
      </w:pPr>
      <w:r w:rsidRPr="005A3376">
        <w:t xml:space="preserve">Respond to queries of a technical nature relating to high voltage DC interconnectors throughout the duration of the contract. </w:t>
      </w:r>
    </w:p>
    <w:p w14:paraId="0CF56C49" w14:textId="5061CB83" w:rsidR="007C43C1" w:rsidRDefault="009C6CC6" w:rsidP="005A3376">
      <w:pPr>
        <w:pStyle w:val="NormalBulletround"/>
        <w:rPr>
          <w:i/>
        </w:rPr>
      </w:pPr>
      <w:r>
        <w:t>Project Scope:</w:t>
      </w:r>
    </w:p>
    <w:p w14:paraId="12D4D354" w14:textId="1653227D" w:rsidR="00BE7798" w:rsidRPr="005A3376" w:rsidRDefault="009C6CC6" w:rsidP="005A3376">
      <w:pPr>
        <w:pStyle w:val="NormalBulletnumber"/>
        <w:numPr>
          <w:ilvl w:val="0"/>
          <w:numId w:val="38"/>
        </w:numPr>
      </w:pPr>
      <w:r>
        <w:t>Evaluation of</w:t>
      </w:r>
      <w:r w:rsidR="002540F8">
        <w:t xml:space="preserve"> whether </w:t>
      </w:r>
      <w:proofErr w:type="spellStart"/>
      <w:r w:rsidR="002540F8">
        <w:t>Eleclink</w:t>
      </w:r>
      <w:proofErr w:type="spellEnd"/>
      <w:r w:rsidR="002540F8">
        <w:t xml:space="preserve"> maintenance and monitoring arrangements adequately address the risk posed by the interconnector on the UK half of the fixed link.</w:t>
      </w:r>
      <w:r w:rsidR="00486908">
        <w:t xml:space="preserve"> </w:t>
      </w:r>
    </w:p>
    <w:p w14:paraId="68A7F171" w14:textId="546F84B6" w:rsidR="007C43C1" w:rsidRDefault="009C6CC6" w:rsidP="007C43C1">
      <w:pPr>
        <w:pStyle w:val="NormalBulletround"/>
      </w:pPr>
      <w:r>
        <w:t>Project Outcome:</w:t>
      </w:r>
    </w:p>
    <w:p w14:paraId="3492B882" w14:textId="19441426" w:rsidR="002540F8" w:rsidRPr="009C6CC6" w:rsidRDefault="00E30C8F" w:rsidP="00E30C8F">
      <w:pPr>
        <w:pStyle w:val="NormalBulletround"/>
        <w:tabs>
          <w:tab w:val="clear" w:pos="1134"/>
        </w:tabs>
        <w:ind w:left="0" w:firstLine="0"/>
      </w:pPr>
      <w:r w:rsidRPr="005A3376">
        <w:t xml:space="preserve">An inspection report </w:t>
      </w:r>
      <w:r w:rsidR="009C6CC6" w:rsidRPr="005A3376">
        <w:t xml:space="preserve">which </w:t>
      </w:r>
      <w:r w:rsidRPr="005A3376">
        <w:t>considers</w:t>
      </w:r>
      <w:r w:rsidRPr="009C6CC6">
        <w:t xml:space="preserve"> </w:t>
      </w:r>
      <w:r w:rsidR="009C6CC6" w:rsidRPr="009C6CC6">
        <w:t xml:space="preserve">and evaluates the </w:t>
      </w:r>
      <w:proofErr w:type="spellStart"/>
      <w:r>
        <w:t>Eleclink</w:t>
      </w:r>
      <w:proofErr w:type="spellEnd"/>
      <w:r>
        <w:t xml:space="preserve"> maintenance and monitoring arrangements</w:t>
      </w:r>
      <w:r w:rsidR="009C6CC6">
        <w:t>,</w:t>
      </w:r>
      <w:r>
        <w:t xml:space="preserve"> </w:t>
      </w:r>
      <w:r w:rsidR="009C6CC6">
        <w:t>w</w:t>
      </w:r>
      <w:r>
        <w:t xml:space="preserve">ith a supported action plan should any issues for further action be identified. </w:t>
      </w:r>
    </w:p>
    <w:p w14:paraId="0DE6693A" w14:textId="44D20C59" w:rsidR="007C43C1" w:rsidRPr="009C6CC6" w:rsidRDefault="00714A43" w:rsidP="007C43C1">
      <w:pPr>
        <w:pStyle w:val="NormalBulletround"/>
      </w:pPr>
      <w:r>
        <w:t xml:space="preserve">Timescale: </w:t>
      </w:r>
    </w:p>
    <w:p w14:paraId="6BCB06C1" w14:textId="02204C2D" w:rsidR="00E30C8F" w:rsidRPr="005A3376" w:rsidRDefault="67E203E2" w:rsidP="005A3376">
      <w:pPr>
        <w:pStyle w:val="NormalBulletround"/>
        <w:tabs>
          <w:tab w:val="clear" w:pos="1134"/>
        </w:tabs>
        <w:ind w:left="0" w:firstLine="0"/>
      </w:pPr>
      <w:r>
        <w:lastRenderedPageBreak/>
        <w:t>The project should be completed by 31/03/2026</w:t>
      </w:r>
      <w:r w:rsidR="00714A43">
        <w:t>.</w:t>
      </w:r>
    </w:p>
    <w:p w14:paraId="5B5F7C22" w14:textId="3A954BE4" w:rsidR="007C43C1" w:rsidRDefault="00714A43" w:rsidP="005A3376">
      <w:pPr>
        <w:pStyle w:val="NormalBulletround"/>
        <w:ind w:left="567" w:firstLine="0"/>
      </w:pPr>
      <w:r>
        <w:t xml:space="preserve">Constraints: </w:t>
      </w:r>
    </w:p>
    <w:p w14:paraId="2EB83C71" w14:textId="3A202AF3" w:rsidR="00E30C8F" w:rsidRPr="005A3376" w:rsidRDefault="00714A43" w:rsidP="00E30C8F">
      <w:pPr>
        <w:pStyle w:val="NormalBulletnumber"/>
        <w:tabs>
          <w:tab w:val="clear" w:pos="2268"/>
        </w:tabs>
        <w:ind w:left="0" w:firstLine="0"/>
      </w:pPr>
      <w:r>
        <w:t>Limited r</w:t>
      </w:r>
      <w:r w:rsidR="00E30C8F">
        <w:t xml:space="preserve">egulatory </w:t>
      </w:r>
      <w:r w:rsidR="004B1D35">
        <w:t>inspector</w:t>
      </w:r>
      <w:r w:rsidR="00E30C8F">
        <w:t xml:space="preserve"> </w:t>
      </w:r>
      <w:proofErr w:type="gramStart"/>
      <w:r w:rsidR="00E30C8F">
        <w:t>support</w:t>
      </w:r>
      <w:proofErr w:type="gramEnd"/>
      <w:r w:rsidR="00E30C8F">
        <w:t xml:space="preserve"> due to competing workload priorities within the Channel Tunnel Inspection team. </w:t>
      </w:r>
    </w:p>
    <w:p w14:paraId="72AF272F" w14:textId="1DCEB6E6" w:rsidR="007C43C1" w:rsidRDefault="00714A43" w:rsidP="007C43C1">
      <w:pPr>
        <w:pStyle w:val="NormalBulletround"/>
      </w:pPr>
      <w:r>
        <w:t>S</w:t>
      </w:r>
      <w:r w:rsidR="556C0C23">
        <w:t>ecurity requirements</w:t>
      </w:r>
      <w:r>
        <w:t>:</w:t>
      </w:r>
    </w:p>
    <w:p w14:paraId="69A75C90" w14:textId="4E7D31A8" w:rsidR="003F3CB0" w:rsidRDefault="003F3CB0" w:rsidP="003F3CB0">
      <w:pPr>
        <w:pStyle w:val="Heading3"/>
      </w:pPr>
      <w:bookmarkStart w:id="16" w:name="_Toc111551921"/>
      <w:r w:rsidRPr="003F3CB0">
        <w:t>2.3 Project Outputs, Deliverables and Contract Management</w:t>
      </w:r>
      <w:bookmarkEnd w:id="16"/>
    </w:p>
    <w:p w14:paraId="480D8983" w14:textId="77777777" w:rsidR="00DB02EF" w:rsidRDefault="00DB02EF" w:rsidP="00DB02EF">
      <w:pPr>
        <w:pStyle w:val="Heading4"/>
      </w:pPr>
      <w:r>
        <w:t>Outputs and Deliverables</w:t>
      </w:r>
    </w:p>
    <w:p w14:paraId="39ADBD61" w14:textId="09589563" w:rsidR="5787C77B" w:rsidRDefault="5787C77B" w:rsidP="49A0D604">
      <w:pPr>
        <w:pStyle w:val="NormalBulletround"/>
        <w:numPr>
          <w:ilvl w:val="0"/>
          <w:numId w:val="38"/>
        </w:numPr>
      </w:pPr>
      <w:r>
        <w:t>An inspection protocol and relevant supporting material, including briefing for inspectors.</w:t>
      </w:r>
    </w:p>
    <w:p w14:paraId="118F7B03" w14:textId="2FE6D3FA" w:rsidR="00DB02EF" w:rsidRDefault="00DB02EF" w:rsidP="000F1DEE">
      <w:pPr>
        <w:pStyle w:val="NormalBulletround"/>
        <w:numPr>
          <w:ilvl w:val="0"/>
          <w:numId w:val="38"/>
        </w:numPr>
      </w:pPr>
      <w:r>
        <w:t xml:space="preserve">Interim presentation </w:t>
      </w:r>
      <w:r w:rsidR="004B05DD">
        <w:t>of emerging findings</w:t>
      </w:r>
      <w:r w:rsidR="00137BCE">
        <w:t>.</w:t>
      </w:r>
    </w:p>
    <w:p w14:paraId="7D2709C5" w14:textId="6D4D9351" w:rsidR="000F3FAF" w:rsidRDefault="4D4DEEBC" w:rsidP="000F3FAF">
      <w:pPr>
        <w:pStyle w:val="NormalBulletround"/>
        <w:numPr>
          <w:ilvl w:val="0"/>
          <w:numId w:val="38"/>
        </w:numPr>
      </w:pPr>
      <w:r>
        <w:t xml:space="preserve">Review </w:t>
      </w:r>
      <w:r w:rsidR="48404785">
        <w:t>ORRs d</w:t>
      </w:r>
      <w:r w:rsidR="00137BCE">
        <w:t xml:space="preserve">raft report to ensure </w:t>
      </w:r>
      <w:r w:rsidR="66630929">
        <w:t>this is technically correct</w:t>
      </w:r>
      <w:r w:rsidR="00137BCE">
        <w:t xml:space="preserve"> before the report is finalised.</w:t>
      </w:r>
    </w:p>
    <w:p w14:paraId="269D11B7" w14:textId="7240103A" w:rsidR="000F3FAF" w:rsidRDefault="003D1DDC">
      <w:pPr>
        <w:pStyle w:val="NormalBulletround"/>
        <w:numPr>
          <w:ilvl w:val="0"/>
          <w:numId w:val="38"/>
        </w:numPr>
      </w:pPr>
      <w:r>
        <w:t>A final presentation of the findings and any recommendations.</w:t>
      </w:r>
    </w:p>
    <w:p w14:paraId="336BCA35" w14:textId="1B0D5B87" w:rsidR="00DA3D26" w:rsidRDefault="00DA3D26" w:rsidP="49A0D604">
      <w:pPr>
        <w:pStyle w:val="NormalBulletround"/>
        <w:numPr>
          <w:ilvl w:val="0"/>
          <w:numId w:val="38"/>
        </w:numPr>
      </w:pPr>
      <w:r w:rsidRPr="00DA3D26">
        <w:t xml:space="preserve">The supplier should prepare a project plan and present it with the proposal. If a contract is awarded to the supplier, the plan should be kept </w:t>
      </w:r>
      <w:proofErr w:type="gramStart"/>
      <w:r w:rsidRPr="00DA3D26">
        <w:t>up-to-date</w:t>
      </w:r>
      <w:proofErr w:type="gramEnd"/>
      <w:r w:rsidRPr="00DA3D26">
        <w:t>.</w:t>
      </w:r>
    </w:p>
    <w:p w14:paraId="4AA15997" w14:textId="71DE4524" w:rsidR="008F1557" w:rsidRPr="00DA3D26" w:rsidRDefault="008F1557" w:rsidP="005A3376">
      <w:pPr>
        <w:numPr>
          <w:ilvl w:val="0"/>
          <w:numId w:val="39"/>
        </w:numPr>
        <w:rPr>
          <w:szCs w:val="24"/>
        </w:rPr>
      </w:pPr>
      <w:r>
        <w:t>An outline of the work to be undertaken</w:t>
      </w:r>
      <w:r w:rsidR="00DA3D26">
        <w:t>.</w:t>
      </w:r>
      <w:r>
        <w:t xml:space="preserve"> </w:t>
      </w:r>
    </w:p>
    <w:p w14:paraId="1A4473F2" w14:textId="6836AD49" w:rsidR="00E66537" w:rsidRDefault="00C11577" w:rsidP="005A3376">
      <w:pPr>
        <w:pStyle w:val="Heading4"/>
      </w:pPr>
      <w:commentRangeStart w:id="17"/>
      <w:commentRangeStart w:id="18"/>
      <w:commentRangeEnd w:id="17"/>
      <w:r>
        <w:rPr>
          <w:rStyle w:val="CommentReference"/>
        </w:rPr>
        <w:commentReference w:id="17"/>
      </w:r>
      <w:commentRangeEnd w:id="18"/>
      <w:r w:rsidR="003B1A86">
        <w:rPr>
          <w:rStyle w:val="CommentReference"/>
        </w:rPr>
        <w:commentReference w:id="18"/>
      </w:r>
      <w:r w:rsidR="7B13DBBF">
        <w:t>Contract Management Requirements</w:t>
      </w:r>
    </w:p>
    <w:p w14:paraId="19724BB7" w14:textId="1DA04DA8" w:rsidR="0ED929F0" w:rsidRDefault="0ED929F0" w:rsidP="005A3376">
      <w:pPr>
        <w:pStyle w:val="ListParagraph"/>
        <w:numPr>
          <w:ilvl w:val="0"/>
          <w:numId w:val="44"/>
        </w:numPr>
        <w:ind w:hanging="425"/>
      </w:pPr>
      <w:r>
        <w:t xml:space="preserve">Managed by </w:t>
      </w:r>
      <w:r w:rsidR="002C2F41">
        <w:t>ORR</w:t>
      </w:r>
      <w:r w:rsidR="62B54AC9">
        <w:t>s</w:t>
      </w:r>
      <w:r w:rsidR="002C2F41">
        <w:t xml:space="preserve"> </w:t>
      </w:r>
      <w:r>
        <w:t>Principal Inspector</w:t>
      </w:r>
      <w:r w:rsidR="04B5DDEE">
        <w:t>-Channel Tunnel</w:t>
      </w:r>
      <w:r w:rsidR="002C2F41">
        <w:t>.</w:t>
      </w:r>
    </w:p>
    <w:p w14:paraId="0851A410" w14:textId="15B713A5" w:rsidR="00E66537" w:rsidRDefault="006500BC" w:rsidP="005A3376">
      <w:pPr>
        <w:pStyle w:val="ListParagraph"/>
        <w:numPr>
          <w:ilvl w:val="0"/>
          <w:numId w:val="44"/>
        </w:numPr>
        <w:ind w:hanging="425"/>
      </w:pPr>
      <w:r>
        <w:t>We</w:t>
      </w:r>
      <w:r w:rsidR="00E66537">
        <w:t xml:space="preserve"> will contact the successful bidder to set out the specific activity that support is required for and the details of engagement (dates for inspection, issues to be investigated, deadline for providing advice, etc.).</w:t>
      </w:r>
    </w:p>
    <w:p w14:paraId="3F0FAE6A" w14:textId="58DB7ECC" w:rsidR="00E66537" w:rsidRDefault="00E66537" w:rsidP="005A3376">
      <w:pPr>
        <w:pStyle w:val="ListParagraph"/>
        <w:numPr>
          <w:ilvl w:val="0"/>
          <w:numId w:val="44"/>
        </w:numPr>
        <w:ind w:hanging="425"/>
      </w:pPr>
      <w:r>
        <w:t xml:space="preserve">We will then hold a kick-off meeting to fully explain the issues and provide and relevant information and documentation to assist with the activity. </w:t>
      </w:r>
    </w:p>
    <w:p w14:paraId="2E133FE7" w14:textId="538812A0" w:rsidR="002C2F41" w:rsidRDefault="00E66537" w:rsidP="005A3376">
      <w:pPr>
        <w:pStyle w:val="ListParagraph"/>
        <w:numPr>
          <w:ilvl w:val="0"/>
          <w:numId w:val="44"/>
        </w:numPr>
        <w:ind w:hanging="425"/>
      </w:pPr>
      <w:r>
        <w:t xml:space="preserve">The activity would then be managed by regular weekly or two weekly meetings between the bidder and the ORR / CTSA project team, either face-to-face or remotely.    </w:t>
      </w:r>
    </w:p>
    <w:p w14:paraId="75F8969E" w14:textId="18013AB0" w:rsidR="00D6160E" w:rsidRDefault="00AF7AF9" w:rsidP="00AF7AF9">
      <w:pPr>
        <w:pStyle w:val="Heading3"/>
      </w:pPr>
      <w:bookmarkStart w:id="19" w:name="_Toc111551922"/>
      <w:r>
        <w:lastRenderedPageBreak/>
        <w:t>2.4 Project Timescales</w:t>
      </w:r>
      <w:bookmarkEnd w:id="19"/>
    </w:p>
    <w:p w14:paraId="1D25DBF7" w14:textId="77777777" w:rsidR="00917DCC" w:rsidRPr="002314AC" w:rsidRDefault="00917DCC" w:rsidP="005A3376">
      <w:pPr>
        <w:pStyle w:val="NormalBulletround"/>
        <w:numPr>
          <w:ilvl w:val="0"/>
          <w:numId w:val="45"/>
        </w:numPr>
        <w:ind w:hanging="425"/>
      </w:pPr>
      <w:r w:rsidRPr="002314AC">
        <w:t>The project should be completed by 31/03/2026</w:t>
      </w:r>
      <w:r>
        <w:t>.</w:t>
      </w:r>
    </w:p>
    <w:p w14:paraId="236C4FC7" w14:textId="5A279BC4" w:rsidR="00917DCC" w:rsidRPr="00917DCC" w:rsidRDefault="00917DCC" w:rsidP="005A3376">
      <w:pPr>
        <w:pStyle w:val="ListParagraph"/>
        <w:numPr>
          <w:ilvl w:val="0"/>
          <w:numId w:val="45"/>
        </w:numPr>
        <w:ind w:hanging="425"/>
      </w:pPr>
      <w:r w:rsidRPr="00917DCC">
        <w:t>The specific timescales for each activity will be identified and agreed at their inception.</w:t>
      </w:r>
    </w:p>
    <w:p w14:paraId="76E3EE61" w14:textId="0915D350" w:rsidR="00AF7AF9" w:rsidRDefault="00AF7AF9" w:rsidP="0057699B">
      <w:pPr>
        <w:pStyle w:val="Heading3"/>
        <w:rPr>
          <w:b w:val="0"/>
          <w:color w:val="B1173B" w:themeColor="accent1"/>
        </w:rPr>
      </w:pPr>
      <w:bookmarkStart w:id="20" w:name="_Toc111551923"/>
      <w:r w:rsidRPr="00AF7AF9">
        <w:t>2.5 Budget and Payment Schedule</w:t>
      </w:r>
      <w:bookmarkEnd w:id="20"/>
    </w:p>
    <w:p w14:paraId="45B2F5A5" w14:textId="77777777" w:rsidR="00D401C8" w:rsidRPr="00D401C8" w:rsidRDefault="00D401C8" w:rsidP="00D401C8">
      <w:pPr>
        <w:rPr>
          <w:b/>
          <w:bCs/>
        </w:rPr>
      </w:pPr>
      <w:r w:rsidRPr="00D401C8">
        <w:rPr>
          <w:b/>
          <w:bCs/>
        </w:rPr>
        <w:t>Disclosure of budget at tendering stage is not always advisable – speak to Procurement team for advice</w:t>
      </w:r>
    </w:p>
    <w:p w14:paraId="7D86A410" w14:textId="027F90C5" w:rsidR="00D401C8" w:rsidRDefault="00D401C8" w:rsidP="00D401C8">
      <w:r>
        <w:t>The maximum budget for this piece of work is £</w:t>
      </w:r>
      <w:commentRangeStart w:id="21"/>
      <w:commentRangeStart w:id="22"/>
      <w:r w:rsidR="004E1169">
        <w:t>50</w:t>
      </w:r>
      <w:r>
        <w:t>,</w:t>
      </w:r>
      <w:r w:rsidR="004E1169">
        <w:t>000</w:t>
      </w:r>
      <w:r>
        <w:t xml:space="preserve"> </w:t>
      </w:r>
      <w:commentRangeEnd w:id="21"/>
      <w:r w:rsidR="00A25FE9">
        <w:rPr>
          <w:rStyle w:val="CommentReference"/>
        </w:rPr>
        <w:commentReference w:id="21"/>
      </w:r>
      <w:commentRangeEnd w:id="22"/>
      <w:r>
        <w:rPr>
          <w:rStyle w:val="CommentReference"/>
        </w:rPr>
        <w:commentReference w:id="22"/>
      </w:r>
      <w:r>
        <w:t>(inc. of expenses, exc. of VAT).</w:t>
      </w:r>
    </w:p>
    <w:p w14:paraId="09AB67C1" w14:textId="54A8A190" w:rsidR="00D401C8" w:rsidRPr="00574B16" w:rsidRDefault="00D401C8" w:rsidP="49A0D604">
      <w:pPr>
        <w:pStyle w:val="Heading4"/>
        <w:rPr>
          <w:color w:val="B1173B" w:themeColor="accent1"/>
        </w:rPr>
      </w:pPr>
      <w:r w:rsidRPr="49A0D604">
        <w:rPr>
          <w:color w:val="B1173B" w:themeColor="accent1"/>
        </w:rPr>
        <w:t>Payment Options</w:t>
      </w:r>
    </w:p>
    <w:p w14:paraId="0FB80C9E" w14:textId="77777777" w:rsidR="00D401C8" w:rsidRDefault="00D401C8" w:rsidP="00D401C8">
      <w:r>
        <w:t>Payment of the total fee will be on the delivery and acceptance by ORR of all required outputs and/or deliverables.</w:t>
      </w:r>
    </w:p>
    <w:p w14:paraId="3BB5AE4A" w14:textId="441BAB22" w:rsidR="00AF7AF9" w:rsidRDefault="00AF7AF9" w:rsidP="0057699B">
      <w:pPr>
        <w:pStyle w:val="Heading3"/>
        <w:rPr>
          <w:color w:val="B1173B" w:themeColor="accent1"/>
        </w:rPr>
      </w:pPr>
      <w:bookmarkStart w:id="23" w:name="_Toc111551924"/>
      <w:r w:rsidRPr="00AF7AF9">
        <w:t>2.6 Further project related information for bidders</w:t>
      </w:r>
      <w:bookmarkEnd w:id="23"/>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1AACCFD5" w14:textId="7368F686" w:rsidR="00C26E3E" w:rsidRPr="00B73C52" w:rsidRDefault="00C26E3E" w:rsidP="00C26E3E">
      <w:pPr>
        <w:rPr>
          <w:b/>
          <w:bCs/>
          <w:color w:val="B1173B"/>
        </w:rPr>
      </w:pPr>
      <w:r w:rsidRPr="00B73C52">
        <w:rPr>
          <w:b/>
          <w:bCs/>
          <w:color w:val="B1173B"/>
        </w:rPr>
        <w:t xml:space="preserve">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4" w:name="_Toc111551925"/>
      <w:r>
        <w:lastRenderedPageBreak/>
        <w:t>Tender Response and Evaluation Criteria</w:t>
      </w:r>
      <w:bookmarkEnd w:id="24"/>
    </w:p>
    <w:p w14:paraId="6C9F4B20" w14:textId="5CFF035D" w:rsidR="001768F1" w:rsidRDefault="001768F1" w:rsidP="001768F1">
      <w:pPr>
        <w:pStyle w:val="Heading3"/>
      </w:pPr>
      <w:bookmarkStart w:id="25" w:name="_Toc111551926"/>
      <w:r>
        <w:t>3.1 The Tender Response</w:t>
      </w:r>
      <w:bookmarkEnd w:id="25"/>
    </w:p>
    <w:p w14:paraId="33A2C61B" w14:textId="24C9F13E" w:rsidR="001768F1" w:rsidRDefault="001768F1" w:rsidP="001768F1">
      <w:r>
        <w:t>The proposals for this project should include an outline of how bidders will meet the requirement outlined in section (ii) “Statement of Requirement”. The following information should be included</w:t>
      </w:r>
      <w:r w:rsidRPr="49A0D604">
        <w:rPr>
          <w:color w:val="B1173B" w:themeColor="accent1"/>
        </w:rPr>
        <w:t>:</w:t>
      </w:r>
    </w:p>
    <w:p w14:paraId="2456CFFA" w14:textId="11850D69" w:rsidR="009029CD" w:rsidRPr="001E7C87" w:rsidRDefault="001768F1" w:rsidP="00D07E76">
      <w:pPr>
        <w:pStyle w:val="NormalBulletalpha"/>
        <w:numPr>
          <w:ilvl w:val="1"/>
          <w:numId w:val="31"/>
        </w:numPr>
        <w:rPr>
          <w:b/>
          <w:bCs/>
        </w:rPr>
      </w:pPr>
      <w:r w:rsidRPr="001E7C87">
        <w:rPr>
          <w:b/>
          <w:bCs/>
        </w:rPr>
        <w:t>Understanding of customer's requirements</w:t>
      </w:r>
      <w:r w:rsidR="003F660D">
        <w:rPr>
          <w:b/>
          <w:bCs/>
        </w:rPr>
        <w:t>:</w:t>
      </w:r>
    </w:p>
    <w:p w14:paraId="5E0E16BE" w14:textId="76D2F5D1" w:rsidR="003F660D" w:rsidRDefault="001768F1" w:rsidP="005A3376">
      <w:pPr>
        <w:pStyle w:val="NormalBulletalpha"/>
        <w:numPr>
          <w:ilvl w:val="1"/>
          <w:numId w:val="31"/>
        </w:numPr>
      </w:pPr>
      <w:r>
        <w:t>Demonstrate an understanding of the requirement and overall aims of the project.</w:t>
      </w:r>
    </w:p>
    <w:p w14:paraId="6EEAE953" w14:textId="6C13A140" w:rsidR="003F660D" w:rsidRPr="003F660D" w:rsidRDefault="001768F1" w:rsidP="005A3376">
      <w:pPr>
        <w:pStyle w:val="NormalBulletalpha"/>
        <w:numPr>
          <w:ilvl w:val="1"/>
          <w:numId w:val="31"/>
        </w:numPr>
        <w:rPr>
          <w:b/>
          <w:bCs/>
        </w:rPr>
      </w:pPr>
      <w:r w:rsidRPr="003F660D">
        <w:rPr>
          <w:b/>
          <w:bCs/>
        </w:rPr>
        <w:t>Approach to customer's requirements</w:t>
      </w:r>
      <w:r w:rsidR="003F660D">
        <w:rPr>
          <w:b/>
          <w:bCs/>
        </w:rPr>
        <w:t>:</w:t>
      </w:r>
    </w:p>
    <w:p w14:paraId="4A4A0016" w14:textId="68CA57BF" w:rsidR="003F660D" w:rsidRDefault="001768F1" w:rsidP="005A3376">
      <w:pPr>
        <w:pStyle w:val="NormalBulletalpha"/>
        <w:numPr>
          <w:ilvl w:val="1"/>
          <w:numId w:val="31"/>
        </w:numPr>
      </w:pPr>
      <w:r>
        <w:t xml:space="preserve">Provide an explanation of the proposed approach and any methodologies bidders will work </w:t>
      </w:r>
      <w:proofErr w:type="gramStart"/>
      <w:r>
        <w:t>to;</w:t>
      </w:r>
      <w:proofErr w:type="gramEnd"/>
    </w:p>
    <w:p w14:paraId="2B48F76C" w14:textId="050E9B16" w:rsidR="003F660D" w:rsidRDefault="001768F1" w:rsidP="005A3376">
      <w:pPr>
        <w:pStyle w:val="NormalBulletalpha"/>
        <w:numPr>
          <w:ilvl w:val="1"/>
          <w:numId w:val="31"/>
        </w:numPr>
      </w:pPr>
      <w:r>
        <w:t xml:space="preserve">Details of your assumptions and/or constraints/dependencies made in relation to the project </w:t>
      </w:r>
    </w:p>
    <w:p w14:paraId="497C7B33" w14:textId="53A51155" w:rsidR="003F660D" w:rsidRDefault="001768F1" w:rsidP="005A3376">
      <w:pPr>
        <w:pStyle w:val="NormalBulletalpha"/>
        <w:numPr>
          <w:ilvl w:val="1"/>
          <w:numId w:val="31"/>
        </w:numPr>
      </w:pPr>
      <w:r>
        <w:t xml:space="preserve">A project plan to show how outputs and deliverables will be produced within the required timescales, detailing the resources that will be </w:t>
      </w:r>
      <w:proofErr w:type="gramStart"/>
      <w:r>
        <w:t>allocated;</w:t>
      </w:r>
      <w:proofErr w:type="gramEnd"/>
    </w:p>
    <w:p w14:paraId="4A84E445" w14:textId="7132BCA1" w:rsidR="003F660D" w:rsidRDefault="001768F1" w:rsidP="005A3376">
      <w:pPr>
        <w:pStyle w:val="NormalBulletalpha"/>
        <w:numPr>
          <w:ilvl w:val="1"/>
          <w:numId w:val="31"/>
        </w:numPr>
      </w:pPr>
      <w:r>
        <w:t>An understanding of the risks, and explain how they would be mitigated to ensure delivery</w:t>
      </w:r>
    </w:p>
    <w:p w14:paraId="6F72F223" w14:textId="3DA1E9D4" w:rsidR="003F660D" w:rsidRPr="008E5039" w:rsidRDefault="00621979" w:rsidP="005A3376">
      <w:pPr>
        <w:pStyle w:val="NormalBulletalpha"/>
        <w:numPr>
          <w:ilvl w:val="1"/>
          <w:numId w:val="31"/>
        </w:num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5A3376">
      <w:pPr>
        <w:pStyle w:val="NormalBulletalpha"/>
        <w:numPr>
          <w:ilvl w:val="1"/>
          <w:numId w:val="31"/>
        </w:numPr>
      </w:pPr>
      <w:r>
        <w:t xml:space="preserve">What support bidders will require from </w:t>
      </w:r>
      <w:proofErr w:type="gramStart"/>
      <w:r>
        <w:t>ORR;</w:t>
      </w:r>
      <w:proofErr w:type="gramEnd"/>
      <w:r>
        <w:t xml:space="preserve"> </w:t>
      </w:r>
    </w:p>
    <w:p w14:paraId="18A6134B" w14:textId="0F2E236B" w:rsidR="003D0A83" w:rsidRDefault="001768F1" w:rsidP="005A3376">
      <w:pPr>
        <w:pStyle w:val="ListParagraph"/>
        <w:numPr>
          <w:ilvl w:val="0"/>
          <w:numId w:val="31"/>
        </w:numPr>
      </w:pPr>
      <w:r w:rsidRPr="005A3376">
        <w:rPr>
          <w:b/>
          <w:bCs/>
        </w:rPr>
        <w:t>Proposed delivery team</w:t>
      </w:r>
      <w:r w:rsidR="008B399D" w:rsidRPr="005A3376">
        <w:rPr>
          <w:b/>
          <w:bCs/>
        </w:rPr>
        <w:t>:</w:t>
      </w:r>
    </w:p>
    <w:p w14:paraId="00B69C9D" w14:textId="1DF9B395" w:rsidR="003D0A83" w:rsidRDefault="003D0A83" w:rsidP="005A3376">
      <w:pPr>
        <w:rPr>
          <w:szCs w:val="24"/>
        </w:rPr>
      </w:pPr>
      <w:r>
        <w:t>Key personnel including details of how their key skills, experience and qualifications align to the delivery of the project, including:</w:t>
      </w:r>
    </w:p>
    <w:p w14:paraId="7608B103" w14:textId="7B06FF62" w:rsidR="003D0A83" w:rsidRDefault="003D0A83" w:rsidP="005A3376">
      <w:pPr>
        <w:pStyle w:val="ListParagraph"/>
        <w:numPr>
          <w:ilvl w:val="1"/>
          <w:numId w:val="47"/>
        </w:numPr>
      </w:pPr>
      <w:r>
        <w:t xml:space="preserve">Ability to review </w:t>
      </w:r>
      <w:r w:rsidR="00204D4D">
        <w:t>monitoring and maintenance procedures</w:t>
      </w:r>
      <w:r>
        <w:t xml:space="preserve"> against compliance with relevant standards and legislation associated with the transmission and distribution of high voltage electricity.</w:t>
      </w:r>
    </w:p>
    <w:p w14:paraId="13131E30" w14:textId="5779C85E" w:rsidR="002E285B" w:rsidRDefault="003D0A83" w:rsidP="005A3376">
      <w:pPr>
        <w:pStyle w:val="ListParagraph"/>
        <w:numPr>
          <w:ilvl w:val="1"/>
          <w:numId w:val="47"/>
        </w:numPr>
      </w:pPr>
      <w:r>
        <w:t>Ability to analyse the control systems associated with the operation of a HVDC interconnector.</w:t>
      </w:r>
    </w:p>
    <w:p w14:paraId="4A1AE480" w14:textId="77777777" w:rsidR="008B399D" w:rsidRDefault="008B399D" w:rsidP="005A3376"/>
    <w:p w14:paraId="3E9E2235" w14:textId="56A583B4" w:rsidR="001768F1" w:rsidRDefault="001768F1" w:rsidP="005A3376">
      <w:pPr>
        <w:pStyle w:val="ListParagraph"/>
        <w:numPr>
          <w:ilvl w:val="0"/>
          <w:numId w:val="48"/>
        </w:numPr>
      </w:pPr>
      <w:r>
        <w:t xml:space="preserve">Project roles and responsibilities </w:t>
      </w:r>
    </w:p>
    <w:p w14:paraId="4BD28B95" w14:textId="26BA7685" w:rsidR="001768F1" w:rsidRDefault="001768F1" w:rsidP="005A3376">
      <w:pPr>
        <w:pStyle w:val="ListParagraph"/>
        <w:numPr>
          <w:ilvl w:val="0"/>
          <w:numId w:val="48"/>
        </w:numPr>
      </w:pPr>
      <w:r>
        <w:t>Confirmation that you have carried out the necessary employment checks (e.g. right to work in the UK)</w:t>
      </w:r>
    </w:p>
    <w:p w14:paraId="5F3C04C1" w14:textId="7CFD2339" w:rsidR="001768F1" w:rsidRDefault="001768F1" w:rsidP="005A3376">
      <w:pPr>
        <w:pStyle w:val="ListParagraph"/>
        <w:numPr>
          <w:ilvl w:val="0"/>
          <w:numId w:val="48"/>
        </w:numPr>
      </w:pPr>
      <w:r>
        <w:t>Some relevant examples of previous work that bidders have carried out (</w:t>
      </w:r>
      <w:proofErr w:type="spellStart"/>
      <w:r>
        <w:t>eg.</w:t>
      </w:r>
      <w:proofErr w:type="spellEnd"/>
      <w:r>
        <w:t xml:space="preserve"> case studies)</w:t>
      </w:r>
      <w:r w:rsidRPr="49A0D604">
        <w:rPr>
          <w:color w:val="B1173B" w:themeColor="accent1"/>
        </w:rPr>
        <w:t xml:space="preserve"> </w:t>
      </w:r>
      <w:r w:rsidR="009A34C0" w:rsidRPr="49A0D604">
        <w:rPr>
          <w:b/>
          <w:bCs/>
          <w:color w:val="B1173B" w:themeColor="accent1"/>
        </w:rPr>
        <w:t>and</w:t>
      </w:r>
      <w:r w:rsidR="009A34C0" w:rsidRPr="49A0D604">
        <w:rPr>
          <w:b/>
          <w:color w:val="B1173B" w:themeColor="accent1"/>
        </w:rPr>
        <w:t xml:space="preserve"> details</w:t>
      </w:r>
      <w:r>
        <w:t xml:space="preserve">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6" w:name="_Toc111551927"/>
      <w:r>
        <w:t>3.2 Evaluation Criteria</w:t>
      </w:r>
      <w:bookmarkEnd w:id="26"/>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A3376">
      <w:pPr>
        <w:pStyle w:val="ListParagraph"/>
        <w:numPr>
          <w:ilvl w:val="0"/>
          <w:numId w:val="50"/>
        </w:numPr>
      </w:pPr>
      <w:r>
        <w:t>Completeness of the tender information</w:t>
      </w:r>
    </w:p>
    <w:p w14:paraId="11689649" w14:textId="50622408" w:rsidR="005C29ED" w:rsidRDefault="005C29ED" w:rsidP="005A3376">
      <w:pPr>
        <w:pStyle w:val="ListParagraph"/>
        <w:numPr>
          <w:ilvl w:val="0"/>
          <w:numId w:val="50"/>
        </w:numPr>
      </w:pPr>
      <w:r>
        <w:t>Completed Declaration Form of Tender and Disclaimer</w:t>
      </w:r>
    </w:p>
    <w:p w14:paraId="745A254A" w14:textId="600D3905" w:rsidR="005C29ED" w:rsidRDefault="005C29ED" w:rsidP="005A3376">
      <w:pPr>
        <w:pStyle w:val="ListParagraph"/>
        <w:numPr>
          <w:ilvl w:val="0"/>
          <w:numId w:val="50"/>
        </w:numPr>
      </w:pPr>
      <w:r>
        <w:t>Tender submitted in accordance with the conditions and instructions for tendering</w:t>
      </w:r>
    </w:p>
    <w:p w14:paraId="41557F9E" w14:textId="76516727" w:rsidR="005C29ED" w:rsidRDefault="005C29ED" w:rsidP="005A3376">
      <w:pPr>
        <w:pStyle w:val="ListParagraph"/>
        <w:numPr>
          <w:ilvl w:val="0"/>
          <w:numId w:val="50"/>
        </w:numPr>
      </w:pPr>
      <w:r>
        <w:t>Tender submitted by the closing date and time</w:t>
      </w:r>
    </w:p>
    <w:p w14:paraId="080DB46E" w14:textId="1F325002" w:rsidR="005C29ED" w:rsidRPr="005B7321" w:rsidRDefault="005C29ED" w:rsidP="005A3376">
      <w:pPr>
        <w:pStyle w:val="ListParagraph"/>
        <w:numPr>
          <w:ilvl w:val="0"/>
          <w:numId w:val="50"/>
        </w:numPr>
      </w:pPr>
      <w:r w:rsidRPr="005B7321">
        <w:t>Compliance with contractual arrangements</w:t>
      </w:r>
    </w:p>
    <w:p w14:paraId="7BE3F130" w14:textId="78117E5C" w:rsidR="001F4F0C" w:rsidRPr="005A3376" w:rsidRDefault="00621979" w:rsidP="005A3376">
      <w:pPr>
        <w:pStyle w:val="ListParagraph"/>
        <w:numPr>
          <w:ilvl w:val="0"/>
          <w:numId w:val="50"/>
        </w:numPr>
        <w:rPr>
          <w:b/>
          <w:bCs/>
        </w:rPr>
      </w:pPr>
      <w:bookmarkStart w:id="27" w:name="_Hlk174010684"/>
      <w:r w:rsidRPr="005B7321">
        <w:t>Submission</w:t>
      </w:r>
      <w:r w:rsidR="001F4F0C" w:rsidRPr="005B7321">
        <w:t xml:space="preserve"> </w:t>
      </w:r>
      <w:r w:rsidRPr="005B7321">
        <w:t xml:space="preserve">of </w:t>
      </w:r>
      <w:r w:rsidR="001F4F0C" w:rsidRPr="005B7321">
        <w:t>Cyber Essentials certification (or equivalent).</w:t>
      </w:r>
    </w:p>
    <w:bookmarkEnd w:id="27"/>
    <w:p w14:paraId="092980E7" w14:textId="77CC83A9" w:rsidR="005C29ED" w:rsidRDefault="005C29ED" w:rsidP="005A3376">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454A03A9" w:rsidR="005C29ED" w:rsidRDefault="005C29ED" w:rsidP="00D61976">
      <w:pPr>
        <w:pStyle w:val="Heading4"/>
      </w:pPr>
      <w:r>
        <w:lastRenderedPageBreak/>
        <w:t xml:space="preserve">Methodology </w:t>
      </w:r>
      <w:r w:rsidRPr="49A0D604">
        <w:rPr>
          <w:color w:val="B1173B" w:themeColor="accent1"/>
        </w:rPr>
        <w:t>(</w:t>
      </w:r>
      <w:r w:rsidR="003B4207" w:rsidRPr="49A0D604">
        <w:rPr>
          <w:color w:val="B1173B" w:themeColor="accent1"/>
        </w:rPr>
        <w:t>10</w:t>
      </w:r>
      <w:r w:rsidRPr="49A0D604">
        <w:rPr>
          <w:color w:val="B1173B" w:themeColor="accent1"/>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2"/>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2"/>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2"/>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2"/>
        </w:numPr>
      </w:pPr>
      <w:r>
        <w:t>Outline how the proposed approach utilises innovative consultation methodologies to develop a diverse and comprehensive evidence-base</w:t>
      </w:r>
    </w:p>
    <w:p w14:paraId="09DB644F" w14:textId="4E28A048" w:rsidR="005C29ED" w:rsidRDefault="005C29ED" w:rsidP="00350594">
      <w:pPr>
        <w:pStyle w:val="Heading4"/>
      </w:pPr>
      <w:r>
        <w:t xml:space="preserve">Delivery </w:t>
      </w:r>
      <w:r w:rsidRPr="49A0D604">
        <w:rPr>
          <w:color w:val="B1173B" w:themeColor="accent1"/>
        </w:rPr>
        <w:t>(</w:t>
      </w:r>
      <w:r w:rsidR="003B4207" w:rsidRPr="49A0D604">
        <w:rPr>
          <w:color w:val="B1173B" w:themeColor="accent1"/>
        </w:rPr>
        <w:t>20</w:t>
      </w:r>
      <w:r w:rsidRPr="49A0D604">
        <w:rPr>
          <w:color w:val="B1173B" w:themeColor="accent1"/>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5A3376">
      <w:pPr>
        <w:pStyle w:val="ListParagraph"/>
        <w:numPr>
          <w:ilvl w:val="0"/>
          <w:numId w:val="5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5A3376">
      <w:pPr>
        <w:pStyle w:val="ListParagraph"/>
        <w:numPr>
          <w:ilvl w:val="0"/>
          <w:numId w:val="51"/>
        </w:numPr>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5A3376">
      <w:pPr>
        <w:pStyle w:val="ListParagraph"/>
        <w:numPr>
          <w:ilvl w:val="0"/>
          <w:numId w:val="51"/>
        </w:numPr>
      </w:pPr>
      <w:r>
        <w:t>Explain the resources that will be allocated to delivering the required outcomes/output, and what other resources can be called upon if required.</w:t>
      </w:r>
    </w:p>
    <w:p w14:paraId="6A66D9E9" w14:textId="6013B964" w:rsidR="005C29ED" w:rsidRPr="00374BAE" w:rsidRDefault="005C29ED" w:rsidP="00350594">
      <w:pPr>
        <w:pStyle w:val="Heading4"/>
        <w:rPr>
          <w:color w:val="B1173B"/>
        </w:rPr>
      </w:pPr>
      <w:r>
        <w:t xml:space="preserve">Experience </w:t>
      </w:r>
      <w:r w:rsidRPr="49A0D604">
        <w:rPr>
          <w:color w:val="B1173B" w:themeColor="accent1"/>
        </w:rPr>
        <w:t>(</w:t>
      </w:r>
      <w:r w:rsidR="008A3743" w:rsidRPr="49A0D604">
        <w:rPr>
          <w:color w:val="B1173B" w:themeColor="accent1"/>
        </w:rPr>
        <w:t>50</w:t>
      </w:r>
      <w:r w:rsidRPr="49A0D604">
        <w:rPr>
          <w:color w:val="B1173B" w:themeColor="accent1"/>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4"/>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4"/>
        </w:numPr>
      </w:pPr>
      <w:r>
        <w:t>Highlight the organisation’s relevant experience for this project, submitting examples of similar projects.</w:t>
      </w:r>
    </w:p>
    <w:p w14:paraId="370476F8" w14:textId="32D0FB53" w:rsidR="005C29ED" w:rsidRDefault="005C29ED" w:rsidP="00350594">
      <w:pPr>
        <w:pStyle w:val="Heading4"/>
      </w:pPr>
      <w:r>
        <w:t xml:space="preserve">Cost / Value for money </w:t>
      </w:r>
      <w:r w:rsidRPr="49A0D604">
        <w:rPr>
          <w:color w:val="B1173B" w:themeColor="accent1"/>
        </w:rPr>
        <w:t>(</w:t>
      </w:r>
      <w:r w:rsidR="008A3743" w:rsidRPr="49A0D604">
        <w:rPr>
          <w:color w:val="B1173B" w:themeColor="accent1"/>
        </w:rPr>
        <w:t>20</w:t>
      </w:r>
      <w:r w:rsidRPr="49A0D604">
        <w:rPr>
          <w:color w:val="B1173B" w:themeColor="accent1"/>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8" w:name="_Toc111551928"/>
      <w:r w:rsidRPr="002D3643">
        <w:lastRenderedPageBreak/>
        <w:t xml:space="preserve">Procurement </w:t>
      </w:r>
      <w:r>
        <w:t>P</w:t>
      </w:r>
      <w:r w:rsidRPr="002D3643">
        <w:t>rocedures</w:t>
      </w:r>
      <w:bookmarkEnd w:id="28"/>
      <w:r w:rsidRPr="002D3643">
        <w:t xml:space="preserve"> </w:t>
      </w:r>
    </w:p>
    <w:p w14:paraId="038D890E" w14:textId="77777777" w:rsidR="00400432" w:rsidRDefault="00400432" w:rsidP="00400432">
      <w:pPr>
        <w:pStyle w:val="Heading3"/>
      </w:pPr>
      <w:bookmarkStart w:id="29" w:name="_Toc111551929"/>
      <w:r>
        <w:t>Tendering Timetable</w:t>
      </w:r>
      <w:bookmarkEnd w:id="29"/>
    </w:p>
    <w:p w14:paraId="04007131" w14:textId="213E10EB" w:rsidR="00C26E3E" w:rsidRDefault="00400432" w:rsidP="00400432">
      <w:r>
        <w:t>The t</w:t>
      </w:r>
      <w:commentRangeStart w:id="30"/>
      <w:commentRangeStart w:id="31"/>
      <w:r>
        <w:t>imescales</w:t>
      </w:r>
      <w:commentRangeEnd w:id="30"/>
      <w:r w:rsidR="00736E09">
        <w:rPr>
          <w:rStyle w:val="CommentReference"/>
        </w:rPr>
        <w:commentReference w:id="30"/>
      </w:r>
      <w:commentRangeEnd w:id="31"/>
      <w:r>
        <w:rPr>
          <w:rStyle w:val="CommentReference"/>
        </w:rPr>
        <w:commentReference w:id="31"/>
      </w:r>
      <w:r>
        <w:t xml:space="preserve">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2E1BC2FA" w:rsidR="00400432" w:rsidRPr="00400432" w:rsidRDefault="4A22B448" w:rsidP="00400432">
            <w:pPr>
              <w:pStyle w:val="TblText"/>
            </w:pPr>
            <w:r>
              <w:t>2</w:t>
            </w:r>
            <w:r w:rsidR="00946584">
              <w:t>4</w:t>
            </w:r>
            <w:r w:rsidR="00946584">
              <w:rPr>
                <w:vertAlign w:val="superscript"/>
              </w:rPr>
              <w:t>th</w:t>
            </w:r>
            <w:r>
              <w:t xml:space="preserve"> </w:t>
            </w:r>
            <w:r w:rsidR="0048048D">
              <w:t>September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5A491BD8" w:rsidR="00400432" w:rsidRPr="00400432" w:rsidRDefault="00400432" w:rsidP="0057699B">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26DB5133" w:rsidR="00400432" w:rsidRPr="00400432" w:rsidRDefault="00946584" w:rsidP="00946584">
            <w:pPr>
              <w:pStyle w:val="TblText"/>
              <w:ind w:left="0"/>
            </w:pPr>
            <w:r>
              <w:t xml:space="preserve"> 1</w:t>
            </w:r>
            <w:r>
              <w:rPr>
                <w:vertAlign w:val="superscript"/>
              </w:rPr>
              <w:t>st</w:t>
            </w:r>
            <w:r w:rsidR="3C393D00">
              <w:t xml:space="preserve"> </w:t>
            </w:r>
            <w:r>
              <w:t>October</w:t>
            </w:r>
            <w:r w:rsidR="0048048D">
              <w:t xml:space="preserve"> 2025</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46C6C9CC" w:rsidR="00400432" w:rsidRPr="00400432" w:rsidRDefault="00946584" w:rsidP="00946584">
            <w:pPr>
              <w:pStyle w:val="TblText"/>
              <w:ind w:left="0"/>
            </w:pPr>
            <w:r>
              <w:t xml:space="preserve">  8</w:t>
            </w:r>
            <w:r w:rsidR="24B5BB15" w:rsidRPr="363875BD">
              <w:rPr>
                <w:vertAlign w:val="superscript"/>
              </w:rPr>
              <w:t>th</w:t>
            </w:r>
            <w:r w:rsidR="24B5BB15">
              <w:t xml:space="preserve"> </w:t>
            </w:r>
            <w:r w:rsidR="74EC31ED">
              <w:t>October 2025</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33E57618" w:rsidR="00400432" w:rsidRPr="00400432" w:rsidRDefault="3488552F" w:rsidP="00400432">
            <w:pPr>
              <w:pStyle w:val="TblText"/>
            </w:pPr>
            <w:r>
              <w:t>24</w:t>
            </w:r>
            <w:r w:rsidRPr="363875BD">
              <w:rPr>
                <w:vertAlign w:val="superscript"/>
              </w:rPr>
              <w:t>th</w:t>
            </w:r>
            <w:r>
              <w:t xml:space="preserve"> </w:t>
            </w:r>
            <w:r w:rsidR="0048048D">
              <w:t>October 2025</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4DAF0074" w:rsidR="00400432" w:rsidRPr="00400432" w:rsidRDefault="3E121091" w:rsidP="00400432">
            <w:pPr>
              <w:pStyle w:val="TblText"/>
            </w:pPr>
            <w:r>
              <w:t>27</w:t>
            </w:r>
            <w:r w:rsidRPr="363875BD">
              <w:rPr>
                <w:vertAlign w:val="superscript"/>
              </w:rPr>
              <w:t>th</w:t>
            </w:r>
            <w:r>
              <w:t xml:space="preserve"> </w:t>
            </w:r>
            <w:r w:rsidR="00EE6D6E">
              <w:t>October 2025</w:t>
            </w:r>
          </w:p>
        </w:tc>
      </w:tr>
    </w:tbl>
    <w:p w14:paraId="3DFADB3D" w14:textId="77777777" w:rsidR="00433557" w:rsidRDefault="00433557" w:rsidP="000A0438">
      <w:pPr>
        <w:pStyle w:val="Heading3"/>
      </w:pPr>
      <w:bookmarkStart w:id="32" w:name="_Toc111551930"/>
      <w:r>
        <w:t>Tendering Instructions and Guidance</w:t>
      </w:r>
      <w:bookmarkEnd w:id="3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33" w:name="_Hlk187308838"/>
      <w:r>
        <w:t>Submission Process</w:t>
      </w:r>
    </w:p>
    <w:bookmarkEnd w:id="3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3"/>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3"/>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31"/>
          <w:headerReference w:type="default" r:id="rId3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533880C2">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4"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35">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6" w:history="1">
        <w:r w:rsidR="008F0B87" w:rsidRPr="00C9621C">
          <w:rPr>
            <w:rStyle w:val="Hyperlink"/>
          </w:rPr>
          <w:t>procurementteam@orr.gov.uk</w:t>
        </w:r>
      </w:hyperlink>
      <w:r w:rsidR="008F0B87">
        <w:t xml:space="preserve"> </w:t>
      </w:r>
    </w:p>
    <w:sectPr w:rsidR="00D25F7E" w:rsidRPr="00D25F7E" w:rsidSect="00D25F7E">
      <w:headerReference w:type="even" r:id="rId37"/>
      <w:headerReference w:type="default" r:id="rId38"/>
      <w:footerReference w:type="even" r:id="rId39"/>
      <w:footerReference w:type="default" r:id="rId40"/>
      <w:headerReference w:type="first" r:id="rId41"/>
      <w:footerReference w:type="first" r:id="rId42"/>
      <w:pgSz w:w="11906" w:h="16838" w:code="9"/>
      <w:pgMar w:top="1418" w:right="1134" w:bottom="1134" w:left="1134" w:header="709" w:footer="709" w:gutter="0"/>
      <w:cols w:space="708"/>
      <w:vAlign w:val="bottom"/>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albot, Patrick" w:date="2025-07-17T07:29:00Z" w:initials="TP">
    <w:p w14:paraId="7FC34661" w14:textId="1E03469F" w:rsidR="00F42EB4" w:rsidRDefault="00F42EB4">
      <w:pPr>
        <w:pStyle w:val="CommentText"/>
      </w:pPr>
      <w:r>
        <w:rPr>
          <w:rStyle w:val="CommentReference"/>
        </w:rPr>
        <w:annotationRef/>
      </w:r>
      <w:r w:rsidRPr="6A0FEB37">
        <w:t xml:space="preserve">I'm not sure how to change the title of the tender on the cover page. </w:t>
      </w:r>
    </w:p>
  </w:comment>
  <w:comment w:id="6" w:author="Byrne, Richard" w:date="2025-07-17T10:38:00Z" w:initials="RB">
    <w:p w14:paraId="2C46426C" w14:textId="77777777" w:rsidR="000216F1" w:rsidRDefault="000216F1" w:rsidP="000216F1">
      <w:pPr>
        <w:pStyle w:val="CommentText"/>
      </w:pPr>
      <w:r>
        <w:rPr>
          <w:rStyle w:val="CommentReference"/>
        </w:rPr>
        <w:annotationRef/>
      </w:r>
      <w:r>
        <w:t>I think I have changed this now to you suggested title</w:t>
      </w:r>
    </w:p>
  </w:comment>
  <w:comment w:id="11" w:author="David Gunn" w:date="2025-07-23T15:37:00Z" w:initials="DG">
    <w:p w14:paraId="6958173E" w14:textId="77777777" w:rsidR="00FE3892" w:rsidRDefault="00FE3892" w:rsidP="00FE3892">
      <w:pPr>
        <w:pStyle w:val="CommentText"/>
      </w:pPr>
      <w:r>
        <w:rPr>
          <w:rStyle w:val="CommentReference"/>
        </w:rPr>
        <w:annotationRef/>
      </w:r>
      <w:r>
        <w:t>Do we need this? SMEs acceptable?</w:t>
      </w:r>
    </w:p>
  </w:comment>
  <w:comment w:id="12" w:author="Byrne, Richard" w:date="2025-07-24T09:12:00Z" w:initials="BR">
    <w:p w14:paraId="42807A9A" w14:textId="4D697667" w:rsidR="00BA4C75" w:rsidRDefault="00BA4C75">
      <w:pPr>
        <w:pStyle w:val="CommentText"/>
      </w:pPr>
      <w:r>
        <w:rPr>
          <w:rStyle w:val="CommentReference"/>
        </w:rPr>
        <w:annotationRef/>
      </w:r>
      <w:r w:rsidRPr="3BBE5DCF">
        <w:t>I think that is part of the template?</w:t>
      </w:r>
    </w:p>
  </w:comment>
  <w:comment w:id="17" w:author="David Gunn" w:date="2025-07-23T15:36:00Z" w:initials="DG">
    <w:p w14:paraId="2CE18804" w14:textId="77777777" w:rsidR="00C11577" w:rsidRDefault="00C11577" w:rsidP="00C11577">
      <w:pPr>
        <w:pStyle w:val="CommentText"/>
      </w:pPr>
      <w:r>
        <w:rPr>
          <w:rStyle w:val="CommentReference"/>
        </w:rPr>
        <w:annotationRef/>
      </w:r>
      <w:r>
        <w:t>Do we need this? Any analysis expected?</w:t>
      </w:r>
    </w:p>
  </w:comment>
  <w:comment w:id="18" w:author="Byrne, Richard" w:date="2025-07-24T09:28:00Z" w:initials="BR">
    <w:p w14:paraId="56EC4213" w14:textId="6B87575E" w:rsidR="00BA4C75" w:rsidRDefault="00BA4C75">
      <w:pPr>
        <w:pStyle w:val="CommentText"/>
      </w:pPr>
      <w:r>
        <w:rPr>
          <w:rStyle w:val="CommentReference"/>
        </w:rPr>
        <w:annotationRef/>
      </w:r>
      <w:r w:rsidRPr="4168C337">
        <w:t>Agreed, I have amended the previous section at the bottom of page 11 to reflect this</w:t>
      </w:r>
    </w:p>
  </w:comment>
  <w:comment w:id="21" w:author="David Gunn" w:date="2025-07-23T15:45:00Z" w:initials="DG">
    <w:p w14:paraId="3FCFC551" w14:textId="77777777" w:rsidR="00A25FE9" w:rsidRDefault="00A25FE9" w:rsidP="00A25FE9">
      <w:pPr>
        <w:pStyle w:val="CommentText"/>
      </w:pPr>
      <w:r>
        <w:rPr>
          <w:rStyle w:val="CommentReference"/>
        </w:rPr>
        <w:annotationRef/>
      </w:r>
      <w:r>
        <w:t xml:space="preserve">£50,000 ? </w:t>
      </w:r>
    </w:p>
  </w:comment>
  <w:comment w:id="22" w:author="Byrne, Richard" w:date="2025-07-24T09:32:00Z" w:initials="BR">
    <w:p w14:paraId="4DFAD629" w14:textId="3796892F" w:rsidR="00BA4C75" w:rsidRDefault="00BA4C75">
      <w:pPr>
        <w:pStyle w:val="CommentText"/>
      </w:pPr>
      <w:r>
        <w:rPr>
          <w:rStyle w:val="CommentReference"/>
        </w:rPr>
        <w:annotationRef/>
      </w:r>
      <w:r w:rsidRPr="6D585B5B">
        <w:t>Yes, I agree with your comment as this is the upper limit. Not sure if we specify this as this is an internal document?</w:t>
      </w:r>
    </w:p>
  </w:comment>
  <w:comment w:id="30" w:author="David Gunn" w:date="2025-07-23T16:04:00Z" w:initials="DG">
    <w:p w14:paraId="6D867BF5" w14:textId="6833290F" w:rsidR="00736E09" w:rsidRDefault="00736E09" w:rsidP="00736E09">
      <w:pPr>
        <w:pStyle w:val="CommentText"/>
      </w:pPr>
      <w:r>
        <w:rPr>
          <w:rStyle w:val="CommentReference"/>
        </w:rPr>
        <w:annotationRef/>
      </w:r>
      <w:r>
        <w:t>Tbc?</w:t>
      </w:r>
    </w:p>
  </w:comment>
  <w:comment w:id="31" w:author="Byrne, Richard" w:date="2025-07-24T09:37:00Z" w:initials="BR">
    <w:p w14:paraId="336CAD4F" w14:textId="4FDE1254" w:rsidR="00BA4C75" w:rsidRDefault="00BA4C75">
      <w:pPr>
        <w:pStyle w:val="CommentText"/>
      </w:pPr>
      <w:r>
        <w:rPr>
          <w:rStyle w:val="CommentReference"/>
        </w:rPr>
        <w:annotationRef/>
      </w:r>
      <w:r w:rsidRPr="0F7B61FD">
        <w:t>Agreed and have put this for all stages of the proposed timescales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C34661" w15:done="1"/>
  <w15:commentEx w15:paraId="2C46426C" w15:paraIdParent="7FC34661" w15:done="1"/>
  <w15:commentEx w15:paraId="6958173E" w15:done="1"/>
  <w15:commentEx w15:paraId="42807A9A" w15:paraIdParent="6958173E" w15:done="1"/>
  <w15:commentEx w15:paraId="2CE18804" w15:done="1"/>
  <w15:commentEx w15:paraId="56EC4213" w15:paraIdParent="2CE18804" w15:done="1"/>
  <w15:commentEx w15:paraId="3FCFC551" w15:done="1"/>
  <w15:commentEx w15:paraId="4DFAD629" w15:paraIdParent="3FCFC551" w15:done="1"/>
  <w15:commentEx w15:paraId="6D867BF5" w15:done="1"/>
  <w15:commentEx w15:paraId="336CAD4F" w15:paraIdParent="6D867B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0D329" w16cex:dateUtc="2025-07-17T06:29:00Z">
    <w16cex:extLst>
      <w16:ext w16:uri="{CE6994B0-6A32-4C9F-8C6B-6E91EDA988CE}">
        <cr:reactions xmlns:cr="http://schemas.microsoft.com/office/comments/2020/reactions">
          <cr:reaction reactionType="1">
            <cr:reactionInfo dateUtc="2025-07-18T07:56:48Z">
              <cr:user userId="S::patrick.talbot@orr.gov.uk::36288bc8-e396-4aeb-a053-9d4b93c26647" userProvider="AD" userName="Talbot, Patrick"/>
            </cr:reactionInfo>
          </cr:reaction>
        </cr:reactions>
      </w16:ext>
    </w16cex:extLst>
  </w16cex:commentExtensible>
  <w16cex:commentExtensible w16cex:durableId="4DA5DC6E" w16cex:dateUtc="2025-07-17T09:38:00Z"/>
  <w16cex:commentExtensible w16cex:durableId="67CB4526" w16cex:dateUtc="2025-07-23T14:37:00Z"/>
  <w16cex:commentExtensible w16cex:durableId="1EA819BA" w16cex:dateUtc="2025-07-24T08:12:00Z"/>
  <w16cex:commentExtensible w16cex:durableId="67F04777" w16cex:dateUtc="2025-07-23T14:36:00Z"/>
  <w16cex:commentExtensible w16cex:durableId="0C3EC9EC" w16cex:dateUtc="2025-07-24T08:28:00Z"/>
  <w16cex:commentExtensible w16cex:durableId="1948FB0C" w16cex:dateUtc="2025-07-23T14:45:00Z"/>
  <w16cex:commentExtensible w16cex:durableId="0CB2CE8D" w16cex:dateUtc="2025-07-24T08:32:00Z"/>
  <w16cex:commentExtensible w16cex:durableId="5033BA95" w16cex:dateUtc="2025-07-23T15:04:00Z"/>
  <w16cex:commentExtensible w16cex:durableId="426A31A4" w16cex:dateUtc="2025-07-24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C34661" w16cid:durableId="0E40D329"/>
  <w16cid:commentId w16cid:paraId="2C46426C" w16cid:durableId="4DA5DC6E"/>
  <w16cid:commentId w16cid:paraId="6958173E" w16cid:durableId="67CB4526"/>
  <w16cid:commentId w16cid:paraId="42807A9A" w16cid:durableId="1EA819BA"/>
  <w16cid:commentId w16cid:paraId="2CE18804" w16cid:durableId="67F04777"/>
  <w16cid:commentId w16cid:paraId="56EC4213" w16cid:durableId="0C3EC9EC"/>
  <w16cid:commentId w16cid:paraId="3FCFC551" w16cid:durableId="1948FB0C"/>
  <w16cid:commentId w16cid:paraId="4DFAD629" w16cid:durableId="0CB2CE8D"/>
  <w16cid:commentId w16cid:paraId="6D867BF5" w16cid:durableId="5033BA95"/>
  <w16cid:commentId w16cid:paraId="336CAD4F" w16cid:durableId="426A3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E797" w14:textId="77777777" w:rsidR="00CC2BA8" w:rsidRDefault="00CC2BA8" w:rsidP="00555585">
      <w:pPr>
        <w:spacing w:after="0" w:line="240" w:lineRule="auto"/>
      </w:pPr>
      <w:r>
        <w:separator/>
      </w:r>
    </w:p>
  </w:endnote>
  <w:endnote w:type="continuationSeparator" w:id="0">
    <w:p w14:paraId="51F92F45" w14:textId="77777777" w:rsidR="00CC2BA8" w:rsidRDefault="00CC2BA8" w:rsidP="00555585">
      <w:pPr>
        <w:spacing w:after="0" w:line="240" w:lineRule="auto"/>
      </w:pPr>
      <w:r>
        <w:continuationSeparator/>
      </w:r>
    </w:p>
  </w:endnote>
  <w:endnote w:type="continuationNotice" w:id="1">
    <w:p w14:paraId="4A066217" w14:textId="77777777" w:rsidR="00CC2BA8" w:rsidRDefault="00CC2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7FC3" w14:textId="77777777" w:rsidR="00CC2BA8" w:rsidRDefault="00CC2BA8" w:rsidP="00555585">
      <w:pPr>
        <w:spacing w:after="0" w:line="240" w:lineRule="auto"/>
      </w:pPr>
      <w:r>
        <w:separator/>
      </w:r>
    </w:p>
  </w:footnote>
  <w:footnote w:type="continuationSeparator" w:id="0">
    <w:p w14:paraId="4B23CF0D" w14:textId="77777777" w:rsidR="00CC2BA8" w:rsidRDefault="00CC2BA8" w:rsidP="00555585">
      <w:pPr>
        <w:spacing w:after="0" w:line="240" w:lineRule="auto"/>
      </w:pPr>
      <w:r>
        <w:continuationSeparator/>
      </w:r>
    </w:p>
  </w:footnote>
  <w:footnote w:type="continuationNotice" w:id="1">
    <w:p w14:paraId="01A12A27" w14:textId="77777777" w:rsidR="00CC2BA8" w:rsidRDefault="00CC2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34" w:name="bmkBackPage"/>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C01E75"/>
    <w:multiLevelType w:val="hybridMultilevel"/>
    <w:tmpl w:val="580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1CDE2C1D"/>
    <w:multiLevelType w:val="hybridMultilevel"/>
    <w:tmpl w:val="34C0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2095A3A"/>
    <w:multiLevelType w:val="multilevel"/>
    <w:tmpl w:val="B1D47EB8"/>
    <w:lvl w:ilvl="0">
      <w:start w:val="1"/>
      <w:numFmt w:val="decimal"/>
      <w:lvlText w:val="%1."/>
      <w:lvlJc w:val="left"/>
      <w:pPr>
        <w:tabs>
          <w:tab w:val="num" w:pos="851"/>
        </w:tabs>
        <w:ind w:left="851" w:hanging="851"/>
      </w:pPr>
      <w:rPr>
        <w:rFonts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1" w15:restartNumberingAfterBreak="0">
    <w:nsid w:val="28296852"/>
    <w:multiLevelType w:val="multilevel"/>
    <w:tmpl w:val="D79C245A"/>
    <w:numStyleLink w:val="ORRNormalList"/>
  </w:abstractNum>
  <w:abstractNum w:abstractNumId="12" w15:restartNumberingAfterBreak="0">
    <w:nsid w:val="2E582202"/>
    <w:multiLevelType w:val="hybridMultilevel"/>
    <w:tmpl w:val="9BC09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F5557"/>
    <w:multiLevelType w:val="multilevel"/>
    <w:tmpl w:val="9DD6C48E"/>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4" w15:restartNumberingAfterBreak="0">
    <w:nsid w:val="38E90356"/>
    <w:multiLevelType w:val="hybridMultilevel"/>
    <w:tmpl w:val="5B6A86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98C0216"/>
    <w:multiLevelType w:val="multilevel"/>
    <w:tmpl w:val="9DD6C48E"/>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6" w15:restartNumberingAfterBreak="0">
    <w:nsid w:val="39A76BCC"/>
    <w:multiLevelType w:val="multilevel"/>
    <w:tmpl w:val="D79C245A"/>
    <w:numStyleLink w:val="ORRNormalList"/>
  </w:abstractNum>
  <w:abstractNum w:abstractNumId="17"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89A0044"/>
    <w:multiLevelType w:val="multilevel"/>
    <w:tmpl w:val="B1D47EB8"/>
    <w:lvl w:ilvl="0">
      <w:start w:val="1"/>
      <w:numFmt w:val="decimal"/>
      <w:lvlText w:val="%1."/>
      <w:lvlJc w:val="left"/>
      <w:pPr>
        <w:tabs>
          <w:tab w:val="num" w:pos="851"/>
        </w:tabs>
        <w:ind w:left="851" w:hanging="851"/>
      </w:pPr>
      <w:rPr>
        <w:rFonts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0" w15:restartNumberingAfterBreak="0">
    <w:nsid w:val="49CD7C4B"/>
    <w:multiLevelType w:val="hybridMultilevel"/>
    <w:tmpl w:val="2FF2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C7D9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4EEE8562"/>
    <w:multiLevelType w:val="hybridMultilevel"/>
    <w:tmpl w:val="CFD6D44E"/>
    <w:lvl w:ilvl="0" w:tplc="68F4E688">
      <w:start w:val="1"/>
      <w:numFmt w:val="bullet"/>
      <w:lvlText w:val=""/>
      <w:lvlJc w:val="left"/>
      <w:pPr>
        <w:ind w:left="720" w:hanging="360"/>
      </w:pPr>
      <w:rPr>
        <w:rFonts w:ascii="Symbol" w:hAnsi="Symbol" w:hint="default"/>
      </w:rPr>
    </w:lvl>
    <w:lvl w:ilvl="1" w:tplc="8500D062">
      <w:start w:val="1"/>
      <w:numFmt w:val="bullet"/>
      <w:lvlText w:val="o"/>
      <w:lvlJc w:val="left"/>
      <w:pPr>
        <w:ind w:left="1440" w:hanging="360"/>
      </w:pPr>
      <w:rPr>
        <w:rFonts w:ascii="Courier New" w:hAnsi="Courier New" w:hint="default"/>
      </w:rPr>
    </w:lvl>
    <w:lvl w:ilvl="2" w:tplc="D5862826">
      <w:start w:val="1"/>
      <w:numFmt w:val="bullet"/>
      <w:lvlText w:val=""/>
      <w:lvlJc w:val="left"/>
      <w:pPr>
        <w:ind w:left="2160" w:hanging="360"/>
      </w:pPr>
      <w:rPr>
        <w:rFonts w:ascii="Wingdings" w:hAnsi="Wingdings" w:hint="default"/>
      </w:rPr>
    </w:lvl>
    <w:lvl w:ilvl="3" w:tplc="C4DE14F8">
      <w:start w:val="1"/>
      <w:numFmt w:val="bullet"/>
      <w:lvlText w:val=""/>
      <w:lvlJc w:val="left"/>
      <w:pPr>
        <w:ind w:left="2880" w:hanging="360"/>
      </w:pPr>
      <w:rPr>
        <w:rFonts w:ascii="Symbol" w:hAnsi="Symbol" w:hint="default"/>
      </w:rPr>
    </w:lvl>
    <w:lvl w:ilvl="4" w:tplc="C024A304">
      <w:start w:val="1"/>
      <w:numFmt w:val="bullet"/>
      <w:lvlText w:val="o"/>
      <w:lvlJc w:val="left"/>
      <w:pPr>
        <w:ind w:left="3600" w:hanging="360"/>
      </w:pPr>
      <w:rPr>
        <w:rFonts w:ascii="Courier New" w:hAnsi="Courier New" w:hint="default"/>
      </w:rPr>
    </w:lvl>
    <w:lvl w:ilvl="5" w:tplc="5BD446EC">
      <w:start w:val="1"/>
      <w:numFmt w:val="bullet"/>
      <w:lvlText w:val=""/>
      <w:lvlJc w:val="left"/>
      <w:pPr>
        <w:ind w:left="4320" w:hanging="360"/>
      </w:pPr>
      <w:rPr>
        <w:rFonts w:ascii="Wingdings" w:hAnsi="Wingdings" w:hint="default"/>
      </w:rPr>
    </w:lvl>
    <w:lvl w:ilvl="6" w:tplc="3BD817A0">
      <w:start w:val="1"/>
      <w:numFmt w:val="bullet"/>
      <w:lvlText w:val=""/>
      <w:lvlJc w:val="left"/>
      <w:pPr>
        <w:ind w:left="5040" w:hanging="360"/>
      </w:pPr>
      <w:rPr>
        <w:rFonts w:ascii="Symbol" w:hAnsi="Symbol" w:hint="default"/>
      </w:rPr>
    </w:lvl>
    <w:lvl w:ilvl="7" w:tplc="9676A490">
      <w:start w:val="1"/>
      <w:numFmt w:val="bullet"/>
      <w:lvlText w:val="o"/>
      <w:lvlJc w:val="left"/>
      <w:pPr>
        <w:ind w:left="5760" w:hanging="360"/>
      </w:pPr>
      <w:rPr>
        <w:rFonts w:ascii="Courier New" w:hAnsi="Courier New" w:hint="default"/>
      </w:rPr>
    </w:lvl>
    <w:lvl w:ilvl="8" w:tplc="CA4443EE">
      <w:start w:val="1"/>
      <w:numFmt w:val="bullet"/>
      <w:lvlText w:val=""/>
      <w:lvlJc w:val="left"/>
      <w:pPr>
        <w:ind w:left="6480" w:hanging="360"/>
      </w:pPr>
      <w:rPr>
        <w:rFonts w:ascii="Wingdings" w:hAnsi="Wingdings" w:hint="default"/>
      </w:rPr>
    </w:lvl>
  </w:abstractNum>
  <w:abstractNum w:abstractNumId="23" w15:restartNumberingAfterBreak="0">
    <w:nsid w:val="52F67583"/>
    <w:multiLevelType w:val="hybridMultilevel"/>
    <w:tmpl w:val="0752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F4276"/>
    <w:multiLevelType w:val="multilevel"/>
    <w:tmpl w:val="9DD6C48E"/>
    <w:lvl w:ilvl="0">
      <w:start w:val="1"/>
      <w:numFmt w:val="bullet"/>
      <w:lvlText w:val=""/>
      <w:lvlJc w:val="left"/>
      <w:pPr>
        <w:tabs>
          <w:tab w:val="num" w:pos="851"/>
        </w:tabs>
        <w:ind w:left="851" w:hanging="851"/>
      </w:pPr>
      <w:rPr>
        <w:rFonts w:ascii="Symbol" w:hAnsi="Symbol"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B2A1C01"/>
    <w:multiLevelType w:val="hybridMultilevel"/>
    <w:tmpl w:val="EEF2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253268" w:themeColor="text2"/>
        <w:szCs w:val="28"/>
      </w:rPr>
    </w:lvl>
    <w:lvl w:ilvl="1">
      <w:start w:val="1"/>
      <w:numFmt w:val="bullet"/>
      <w:lvlText w:val="●"/>
      <w:lvlJc w:val="left"/>
      <w:pPr>
        <w:tabs>
          <w:tab w:val="num" w:pos="567"/>
        </w:tabs>
        <w:ind w:left="567" w:hanging="567"/>
      </w:pPr>
      <w:rPr>
        <w:rFonts w:ascii="Arial" w:hAnsi="Arial" w:hint="default"/>
        <w:color w:val="253268" w:themeColor="text2"/>
      </w:rPr>
    </w:lvl>
    <w:lvl w:ilvl="2">
      <w:start w:val="1"/>
      <w:numFmt w:val="none"/>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9"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Calibri" w:hAnsi="Calibri" w:hint="default"/>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30" w15:restartNumberingAfterBreak="0">
    <w:nsid w:val="68BD5682"/>
    <w:multiLevelType w:val="multilevel"/>
    <w:tmpl w:val="EAD453D0"/>
    <w:numStyleLink w:val="NumbListHighlight"/>
  </w:abstractNum>
  <w:abstractNum w:abstractNumId="3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3" w15:restartNumberingAfterBreak="0">
    <w:nsid w:val="774C62AB"/>
    <w:multiLevelType w:val="multilevel"/>
    <w:tmpl w:val="6B204466"/>
    <w:numStyleLink w:val="ORRAnnex"/>
  </w:abstractNum>
  <w:abstractNum w:abstractNumId="34" w15:restartNumberingAfterBreak="0">
    <w:nsid w:val="78973AE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7B4582"/>
    <w:multiLevelType w:val="hybridMultilevel"/>
    <w:tmpl w:val="3082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567D6"/>
    <w:multiLevelType w:val="multilevel"/>
    <w:tmpl w:val="B1D47EB8"/>
    <w:lvl w:ilvl="0">
      <w:start w:val="1"/>
      <w:numFmt w:val="decimal"/>
      <w:lvlText w:val="%1."/>
      <w:lvlJc w:val="left"/>
      <w:pPr>
        <w:tabs>
          <w:tab w:val="num" w:pos="851"/>
        </w:tabs>
        <w:ind w:left="851" w:hanging="851"/>
      </w:pPr>
      <w:rPr>
        <w:rFonts w:hint="default"/>
      </w:rPr>
    </w:lvl>
    <w:lvl w:ilvl="1">
      <w:start w:val="1"/>
      <w:numFmt w:val="bullet"/>
      <w:lvlText w:val=""/>
      <w:lvlJc w:val="left"/>
      <w:pPr>
        <w:ind w:left="-9"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37" w15:restartNumberingAfterBreak="0">
    <w:nsid w:val="7DB65F43"/>
    <w:multiLevelType w:val="hybridMultilevel"/>
    <w:tmpl w:val="3F0284CE"/>
    <w:lvl w:ilvl="0" w:tplc="71E038A6">
      <w:start w:val="1"/>
      <w:numFmt w:val="bullet"/>
      <w:lvlText w:val=""/>
      <w:lvlJc w:val="left"/>
      <w:pPr>
        <w:ind w:left="720" w:hanging="360"/>
      </w:pPr>
      <w:rPr>
        <w:rFonts w:ascii="Symbol" w:hAnsi="Symbol" w:hint="default"/>
      </w:rPr>
    </w:lvl>
    <w:lvl w:ilvl="1" w:tplc="97DA235E">
      <w:start w:val="1"/>
      <w:numFmt w:val="bullet"/>
      <w:lvlText w:val="o"/>
      <w:lvlJc w:val="left"/>
      <w:pPr>
        <w:ind w:left="1440" w:hanging="360"/>
      </w:pPr>
      <w:rPr>
        <w:rFonts w:ascii="Courier New" w:hAnsi="Courier New" w:hint="default"/>
      </w:rPr>
    </w:lvl>
    <w:lvl w:ilvl="2" w:tplc="21181952">
      <w:start w:val="1"/>
      <w:numFmt w:val="bullet"/>
      <w:lvlText w:val=""/>
      <w:lvlJc w:val="left"/>
      <w:pPr>
        <w:ind w:left="2160" w:hanging="360"/>
      </w:pPr>
      <w:rPr>
        <w:rFonts w:ascii="Wingdings" w:hAnsi="Wingdings" w:hint="default"/>
      </w:rPr>
    </w:lvl>
    <w:lvl w:ilvl="3" w:tplc="D396B3F2">
      <w:start w:val="1"/>
      <w:numFmt w:val="bullet"/>
      <w:lvlText w:val=""/>
      <w:lvlJc w:val="left"/>
      <w:pPr>
        <w:ind w:left="2880" w:hanging="360"/>
      </w:pPr>
      <w:rPr>
        <w:rFonts w:ascii="Symbol" w:hAnsi="Symbol" w:hint="default"/>
      </w:rPr>
    </w:lvl>
    <w:lvl w:ilvl="4" w:tplc="EE2A80D0">
      <w:start w:val="1"/>
      <w:numFmt w:val="bullet"/>
      <w:lvlText w:val="o"/>
      <w:lvlJc w:val="left"/>
      <w:pPr>
        <w:ind w:left="3600" w:hanging="360"/>
      </w:pPr>
      <w:rPr>
        <w:rFonts w:ascii="Courier New" w:hAnsi="Courier New" w:hint="default"/>
      </w:rPr>
    </w:lvl>
    <w:lvl w:ilvl="5" w:tplc="4C50EFEC">
      <w:start w:val="1"/>
      <w:numFmt w:val="bullet"/>
      <w:lvlText w:val=""/>
      <w:lvlJc w:val="left"/>
      <w:pPr>
        <w:ind w:left="4320" w:hanging="360"/>
      </w:pPr>
      <w:rPr>
        <w:rFonts w:ascii="Wingdings" w:hAnsi="Wingdings" w:hint="default"/>
      </w:rPr>
    </w:lvl>
    <w:lvl w:ilvl="6" w:tplc="F1FAADB6">
      <w:start w:val="1"/>
      <w:numFmt w:val="bullet"/>
      <w:lvlText w:val=""/>
      <w:lvlJc w:val="left"/>
      <w:pPr>
        <w:ind w:left="5040" w:hanging="360"/>
      </w:pPr>
      <w:rPr>
        <w:rFonts w:ascii="Symbol" w:hAnsi="Symbol" w:hint="default"/>
      </w:rPr>
    </w:lvl>
    <w:lvl w:ilvl="7" w:tplc="B78C0612">
      <w:start w:val="1"/>
      <w:numFmt w:val="bullet"/>
      <w:lvlText w:val="o"/>
      <w:lvlJc w:val="left"/>
      <w:pPr>
        <w:ind w:left="5760" w:hanging="360"/>
      </w:pPr>
      <w:rPr>
        <w:rFonts w:ascii="Courier New" w:hAnsi="Courier New" w:hint="default"/>
      </w:rPr>
    </w:lvl>
    <w:lvl w:ilvl="8" w:tplc="39D401EA">
      <w:start w:val="1"/>
      <w:numFmt w:val="bullet"/>
      <w:lvlText w:val=""/>
      <w:lvlJc w:val="left"/>
      <w:pPr>
        <w:ind w:left="6480" w:hanging="360"/>
      </w:pPr>
      <w:rPr>
        <w:rFonts w:ascii="Wingdings" w:hAnsi="Wingdings" w:hint="default"/>
      </w:rPr>
    </w:lvl>
  </w:abstractNum>
  <w:abstractNum w:abstractNumId="38" w15:restartNumberingAfterBreak="0">
    <w:nsid w:val="7DDA5CB4"/>
    <w:multiLevelType w:val="multilevel"/>
    <w:tmpl w:val="6B204466"/>
    <w:numStyleLink w:val="ORRAnnex"/>
  </w:abstractNum>
  <w:abstractNum w:abstractNumId="39" w15:restartNumberingAfterBreak="0">
    <w:nsid w:val="7F44F883"/>
    <w:multiLevelType w:val="hybridMultilevel"/>
    <w:tmpl w:val="FFFFFFFF"/>
    <w:lvl w:ilvl="0" w:tplc="4710C4AA">
      <w:start w:val="1"/>
      <w:numFmt w:val="bullet"/>
      <w:lvlText w:val=""/>
      <w:lvlJc w:val="left"/>
      <w:pPr>
        <w:ind w:left="720" w:hanging="360"/>
      </w:pPr>
      <w:rPr>
        <w:rFonts w:ascii="Symbol" w:hAnsi="Symbol" w:hint="default"/>
      </w:rPr>
    </w:lvl>
    <w:lvl w:ilvl="1" w:tplc="68F8525C">
      <w:start w:val="1"/>
      <w:numFmt w:val="bullet"/>
      <w:lvlText w:val="o"/>
      <w:lvlJc w:val="left"/>
      <w:pPr>
        <w:ind w:left="1440" w:hanging="360"/>
      </w:pPr>
      <w:rPr>
        <w:rFonts w:ascii="Courier New" w:hAnsi="Courier New" w:hint="default"/>
      </w:rPr>
    </w:lvl>
    <w:lvl w:ilvl="2" w:tplc="2236F7F6">
      <w:start w:val="1"/>
      <w:numFmt w:val="bullet"/>
      <w:lvlText w:val=""/>
      <w:lvlJc w:val="left"/>
      <w:pPr>
        <w:ind w:left="2160" w:hanging="360"/>
      </w:pPr>
      <w:rPr>
        <w:rFonts w:ascii="Wingdings" w:hAnsi="Wingdings" w:hint="default"/>
      </w:rPr>
    </w:lvl>
    <w:lvl w:ilvl="3" w:tplc="1FB495F8">
      <w:start w:val="1"/>
      <w:numFmt w:val="bullet"/>
      <w:lvlText w:val=""/>
      <w:lvlJc w:val="left"/>
      <w:pPr>
        <w:ind w:left="2880" w:hanging="360"/>
      </w:pPr>
      <w:rPr>
        <w:rFonts w:ascii="Symbol" w:hAnsi="Symbol" w:hint="default"/>
      </w:rPr>
    </w:lvl>
    <w:lvl w:ilvl="4" w:tplc="EDCC4E88">
      <w:start w:val="1"/>
      <w:numFmt w:val="bullet"/>
      <w:lvlText w:val="o"/>
      <w:lvlJc w:val="left"/>
      <w:pPr>
        <w:ind w:left="3600" w:hanging="360"/>
      </w:pPr>
      <w:rPr>
        <w:rFonts w:ascii="Courier New" w:hAnsi="Courier New" w:hint="default"/>
      </w:rPr>
    </w:lvl>
    <w:lvl w:ilvl="5" w:tplc="24924002">
      <w:start w:val="1"/>
      <w:numFmt w:val="bullet"/>
      <w:lvlText w:val=""/>
      <w:lvlJc w:val="left"/>
      <w:pPr>
        <w:ind w:left="4320" w:hanging="360"/>
      </w:pPr>
      <w:rPr>
        <w:rFonts w:ascii="Wingdings" w:hAnsi="Wingdings" w:hint="default"/>
      </w:rPr>
    </w:lvl>
    <w:lvl w:ilvl="6" w:tplc="EF32EF4E">
      <w:start w:val="1"/>
      <w:numFmt w:val="bullet"/>
      <w:lvlText w:val=""/>
      <w:lvlJc w:val="left"/>
      <w:pPr>
        <w:ind w:left="5040" w:hanging="360"/>
      </w:pPr>
      <w:rPr>
        <w:rFonts w:ascii="Symbol" w:hAnsi="Symbol" w:hint="default"/>
      </w:rPr>
    </w:lvl>
    <w:lvl w:ilvl="7" w:tplc="209EC3C2">
      <w:start w:val="1"/>
      <w:numFmt w:val="bullet"/>
      <w:lvlText w:val="o"/>
      <w:lvlJc w:val="left"/>
      <w:pPr>
        <w:ind w:left="5760" w:hanging="360"/>
      </w:pPr>
      <w:rPr>
        <w:rFonts w:ascii="Courier New" w:hAnsi="Courier New" w:hint="default"/>
      </w:rPr>
    </w:lvl>
    <w:lvl w:ilvl="8" w:tplc="8E9EB722">
      <w:start w:val="1"/>
      <w:numFmt w:val="bullet"/>
      <w:lvlText w:val=""/>
      <w:lvlJc w:val="left"/>
      <w:pPr>
        <w:ind w:left="6480" w:hanging="360"/>
      </w:pPr>
      <w:rPr>
        <w:rFonts w:ascii="Wingdings" w:hAnsi="Wingdings" w:hint="default"/>
      </w:rPr>
    </w:lvl>
  </w:abstractNum>
  <w:num w:numId="1" w16cid:durableId="1462651729">
    <w:abstractNumId w:val="37"/>
  </w:num>
  <w:num w:numId="2" w16cid:durableId="863438596">
    <w:abstractNumId w:val="39"/>
  </w:num>
  <w:num w:numId="3" w16cid:durableId="1643778289">
    <w:abstractNumId w:val="28"/>
  </w:num>
  <w:num w:numId="4" w16cid:durableId="12330070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343250">
    <w:abstractNumId w:val="32"/>
  </w:num>
  <w:num w:numId="6" w16cid:durableId="615990203">
    <w:abstractNumId w:val="6"/>
  </w:num>
  <w:num w:numId="7" w16cid:durableId="1539008159">
    <w:abstractNumId w:val="27"/>
  </w:num>
  <w:num w:numId="8" w16cid:durableId="1334801291">
    <w:abstractNumId w:val="7"/>
  </w:num>
  <w:num w:numId="9" w16cid:durableId="116142554">
    <w:abstractNumId w:val="16"/>
  </w:num>
  <w:num w:numId="10" w16cid:durableId="1708795862">
    <w:abstractNumId w:val="9"/>
  </w:num>
  <w:num w:numId="11" w16cid:durableId="1432780497">
    <w:abstractNumId w:val="5"/>
  </w:num>
  <w:num w:numId="12" w16cid:durableId="35012236">
    <w:abstractNumId w:val="4"/>
  </w:num>
  <w:num w:numId="13" w16cid:durableId="711077664">
    <w:abstractNumId w:val="0"/>
  </w:num>
  <w:num w:numId="14" w16cid:durableId="1604993918">
    <w:abstractNumId w:val="30"/>
  </w:num>
  <w:num w:numId="15" w16cid:durableId="435447028">
    <w:abstractNumId w:val="29"/>
  </w:num>
  <w:num w:numId="16" w16cid:durableId="2048019962">
    <w:abstractNumId w:val="33"/>
  </w:num>
  <w:num w:numId="17" w16cid:durableId="2025738407">
    <w:abstractNumId w:val="30"/>
  </w:num>
  <w:num w:numId="18" w16cid:durableId="150879135">
    <w:abstractNumId w:val="30"/>
  </w:num>
  <w:num w:numId="19" w16cid:durableId="891042484">
    <w:abstractNumId w:val="30"/>
  </w:num>
  <w:num w:numId="20" w16cid:durableId="727414043">
    <w:abstractNumId w:val="29"/>
  </w:num>
  <w:num w:numId="21" w16cid:durableId="1027833524">
    <w:abstractNumId w:val="2"/>
  </w:num>
  <w:num w:numId="22" w16cid:durableId="50661355">
    <w:abstractNumId w:val="21"/>
  </w:num>
  <w:num w:numId="23" w16cid:durableId="1446195555">
    <w:abstractNumId w:val="4"/>
  </w:num>
  <w:num w:numId="24" w16cid:durableId="558327301">
    <w:abstractNumId w:val="38"/>
  </w:num>
  <w:num w:numId="25" w16cid:durableId="463500638">
    <w:abstractNumId w:val="18"/>
  </w:num>
  <w:num w:numId="26" w16cid:durableId="1527019102">
    <w:abstractNumId w:val="3"/>
  </w:num>
  <w:num w:numId="27" w16cid:durableId="1992102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5861438">
    <w:abstractNumId w:val="11"/>
  </w:num>
  <w:num w:numId="29" w16cid:durableId="1830293373">
    <w:abstractNumId w:val="31"/>
  </w:num>
  <w:num w:numId="30" w16cid:durableId="421416959">
    <w:abstractNumId w:val="21"/>
    <w:lvlOverride w:ilvl="0">
      <w:startOverride w:val="1"/>
    </w:lvlOverride>
  </w:num>
  <w:num w:numId="31" w16cid:durableId="1585264047">
    <w:abstractNumId w:val="21"/>
  </w:num>
  <w:num w:numId="32" w16cid:durableId="1883521757">
    <w:abstractNumId w:val="21"/>
    <w:lvlOverride w:ilvl="0">
      <w:startOverride w:val="1"/>
    </w:lvlOverride>
  </w:num>
  <w:num w:numId="33" w16cid:durableId="268127456">
    <w:abstractNumId w:val="21"/>
    <w:lvlOverride w:ilvl="0">
      <w:startOverride w:val="1"/>
    </w:lvlOverride>
  </w:num>
  <w:num w:numId="34" w16cid:durableId="1754356450">
    <w:abstractNumId w:val="21"/>
    <w:lvlOverride w:ilvl="0">
      <w:startOverride w:val="1"/>
    </w:lvlOverride>
  </w:num>
  <w:num w:numId="35" w16cid:durableId="2368570">
    <w:abstractNumId w:val="25"/>
  </w:num>
  <w:num w:numId="36" w16cid:durableId="2137143819">
    <w:abstractNumId w:val="34"/>
  </w:num>
  <w:num w:numId="37" w16cid:durableId="316813011">
    <w:abstractNumId w:val="22"/>
  </w:num>
  <w:num w:numId="38" w16cid:durableId="1934245770">
    <w:abstractNumId w:val="26"/>
  </w:num>
  <w:num w:numId="39" w16cid:durableId="277565640">
    <w:abstractNumId w:val="20"/>
  </w:num>
  <w:num w:numId="40" w16cid:durableId="1062489335">
    <w:abstractNumId w:val="10"/>
  </w:num>
  <w:num w:numId="41" w16cid:durableId="1757824005">
    <w:abstractNumId w:val="19"/>
  </w:num>
  <w:num w:numId="42" w16cid:durableId="977492971">
    <w:abstractNumId w:val="36"/>
  </w:num>
  <w:num w:numId="43" w16cid:durableId="900360304">
    <w:abstractNumId w:val="13"/>
  </w:num>
  <w:num w:numId="44" w16cid:durableId="1531802933">
    <w:abstractNumId w:val="15"/>
  </w:num>
  <w:num w:numId="45" w16cid:durableId="1445270851">
    <w:abstractNumId w:val="24"/>
  </w:num>
  <w:num w:numId="46" w16cid:durableId="412508683">
    <w:abstractNumId w:val="35"/>
  </w:num>
  <w:num w:numId="47" w16cid:durableId="422340862">
    <w:abstractNumId w:val="12"/>
  </w:num>
  <w:num w:numId="48" w16cid:durableId="1335113908">
    <w:abstractNumId w:val="8"/>
  </w:num>
  <w:num w:numId="49" w16cid:durableId="1450901855">
    <w:abstractNumId w:val="14"/>
  </w:num>
  <w:num w:numId="50" w16cid:durableId="1562524712">
    <w:abstractNumId w:val="1"/>
  </w:num>
  <w:num w:numId="51" w16cid:durableId="1010448903">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lbot, Patrick">
    <w15:presenceInfo w15:providerId="AD" w15:userId="S::patrick.talbot@orr.gov.uk::36288bc8-e396-4aeb-a053-9d4b93c26647"/>
  </w15:person>
  <w15:person w15:author="Byrne, Richard">
    <w15:presenceInfo w15:providerId="AD" w15:userId="S::Richard.Byrne@orr.gov.uk::fc285de7-1300-4b74-b3fe-e0473dafa31a"/>
  </w15:person>
  <w15:person w15:author="David Gunn">
    <w15:presenceInfo w15:providerId="None" w15:userId="David Gu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10AA6"/>
    <w:rsid w:val="000216F1"/>
    <w:rsid w:val="0002210B"/>
    <w:rsid w:val="00026D4A"/>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265A"/>
    <w:rsid w:val="000A6DE7"/>
    <w:rsid w:val="000B0266"/>
    <w:rsid w:val="000B309A"/>
    <w:rsid w:val="000B3441"/>
    <w:rsid w:val="000B6176"/>
    <w:rsid w:val="000C193E"/>
    <w:rsid w:val="000C2704"/>
    <w:rsid w:val="000C7B66"/>
    <w:rsid w:val="000D05C6"/>
    <w:rsid w:val="000D1010"/>
    <w:rsid w:val="000D2970"/>
    <w:rsid w:val="000E135E"/>
    <w:rsid w:val="000E1CFC"/>
    <w:rsid w:val="000E329C"/>
    <w:rsid w:val="000E37EF"/>
    <w:rsid w:val="000E5AB1"/>
    <w:rsid w:val="000E5E49"/>
    <w:rsid w:val="000F1DEE"/>
    <w:rsid w:val="000F2534"/>
    <w:rsid w:val="000F3FAF"/>
    <w:rsid w:val="000F4554"/>
    <w:rsid w:val="000F5529"/>
    <w:rsid w:val="000F70BB"/>
    <w:rsid w:val="000F7BB6"/>
    <w:rsid w:val="00100CB5"/>
    <w:rsid w:val="001012B6"/>
    <w:rsid w:val="001017F2"/>
    <w:rsid w:val="00102F62"/>
    <w:rsid w:val="0010380F"/>
    <w:rsid w:val="001157A5"/>
    <w:rsid w:val="00120892"/>
    <w:rsid w:val="0012193D"/>
    <w:rsid w:val="0012424B"/>
    <w:rsid w:val="00124D1D"/>
    <w:rsid w:val="00137015"/>
    <w:rsid w:val="00137BCE"/>
    <w:rsid w:val="00141746"/>
    <w:rsid w:val="00142694"/>
    <w:rsid w:val="0014546D"/>
    <w:rsid w:val="001526A6"/>
    <w:rsid w:val="00155088"/>
    <w:rsid w:val="0015625B"/>
    <w:rsid w:val="00156D5F"/>
    <w:rsid w:val="00157E4C"/>
    <w:rsid w:val="001607BB"/>
    <w:rsid w:val="00160B26"/>
    <w:rsid w:val="00162B03"/>
    <w:rsid w:val="001659DD"/>
    <w:rsid w:val="00167308"/>
    <w:rsid w:val="00171E62"/>
    <w:rsid w:val="001736AA"/>
    <w:rsid w:val="00175A76"/>
    <w:rsid w:val="001768F1"/>
    <w:rsid w:val="00180E47"/>
    <w:rsid w:val="001858EB"/>
    <w:rsid w:val="00191444"/>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395D"/>
    <w:rsid w:val="001D49EB"/>
    <w:rsid w:val="001D590D"/>
    <w:rsid w:val="001D5DF3"/>
    <w:rsid w:val="001E23F4"/>
    <w:rsid w:val="001E7C87"/>
    <w:rsid w:val="001F1140"/>
    <w:rsid w:val="001F4F0C"/>
    <w:rsid w:val="001F55B8"/>
    <w:rsid w:val="002014B9"/>
    <w:rsid w:val="0020297B"/>
    <w:rsid w:val="00204D4D"/>
    <w:rsid w:val="002063AE"/>
    <w:rsid w:val="002064AF"/>
    <w:rsid w:val="002077FD"/>
    <w:rsid w:val="0021084B"/>
    <w:rsid w:val="0021141B"/>
    <w:rsid w:val="002137E0"/>
    <w:rsid w:val="0021395E"/>
    <w:rsid w:val="0021597A"/>
    <w:rsid w:val="002162D4"/>
    <w:rsid w:val="00220F85"/>
    <w:rsid w:val="0022209D"/>
    <w:rsid w:val="00224950"/>
    <w:rsid w:val="00225D2C"/>
    <w:rsid w:val="00225EFD"/>
    <w:rsid w:val="00240410"/>
    <w:rsid w:val="002459ED"/>
    <w:rsid w:val="0025242F"/>
    <w:rsid w:val="002540F8"/>
    <w:rsid w:val="00257BE5"/>
    <w:rsid w:val="00272200"/>
    <w:rsid w:val="00276C64"/>
    <w:rsid w:val="00282136"/>
    <w:rsid w:val="0028433A"/>
    <w:rsid w:val="00286CF2"/>
    <w:rsid w:val="0028735A"/>
    <w:rsid w:val="00291795"/>
    <w:rsid w:val="0029283C"/>
    <w:rsid w:val="00293D38"/>
    <w:rsid w:val="00294CD8"/>
    <w:rsid w:val="00297104"/>
    <w:rsid w:val="002B5D9A"/>
    <w:rsid w:val="002B70DD"/>
    <w:rsid w:val="002B7995"/>
    <w:rsid w:val="002C2F41"/>
    <w:rsid w:val="002C5A50"/>
    <w:rsid w:val="002C6E70"/>
    <w:rsid w:val="002D0E5B"/>
    <w:rsid w:val="002D2997"/>
    <w:rsid w:val="002D3609"/>
    <w:rsid w:val="002D3643"/>
    <w:rsid w:val="002D46DA"/>
    <w:rsid w:val="002E285B"/>
    <w:rsid w:val="002E2DAD"/>
    <w:rsid w:val="002E7122"/>
    <w:rsid w:val="002F111F"/>
    <w:rsid w:val="002F2791"/>
    <w:rsid w:val="002F5466"/>
    <w:rsid w:val="002F56B7"/>
    <w:rsid w:val="003007A3"/>
    <w:rsid w:val="0030237B"/>
    <w:rsid w:val="003027B1"/>
    <w:rsid w:val="00311FD5"/>
    <w:rsid w:val="00321519"/>
    <w:rsid w:val="003247A4"/>
    <w:rsid w:val="003366E7"/>
    <w:rsid w:val="0034288F"/>
    <w:rsid w:val="0034374C"/>
    <w:rsid w:val="00343838"/>
    <w:rsid w:val="00344631"/>
    <w:rsid w:val="00346769"/>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92035"/>
    <w:rsid w:val="003A16E9"/>
    <w:rsid w:val="003B008E"/>
    <w:rsid w:val="003B09D0"/>
    <w:rsid w:val="003B1008"/>
    <w:rsid w:val="003B1A86"/>
    <w:rsid w:val="003B27DE"/>
    <w:rsid w:val="003B4207"/>
    <w:rsid w:val="003C0BDF"/>
    <w:rsid w:val="003C247A"/>
    <w:rsid w:val="003C2CFC"/>
    <w:rsid w:val="003C3449"/>
    <w:rsid w:val="003C3BA6"/>
    <w:rsid w:val="003C462A"/>
    <w:rsid w:val="003D0868"/>
    <w:rsid w:val="003D0A83"/>
    <w:rsid w:val="003D13F7"/>
    <w:rsid w:val="003D1485"/>
    <w:rsid w:val="003D1B7D"/>
    <w:rsid w:val="003D1CC2"/>
    <w:rsid w:val="003D1DDC"/>
    <w:rsid w:val="003D30C6"/>
    <w:rsid w:val="003D4884"/>
    <w:rsid w:val="003D684E"/>
    <w:rsid w:val="003E194F"/>
    <w:rsid w:val="003E1A78"/>
    <w:rsid w:val="003E2FAF"/>
    <w:rsid w:val="003E3E52"/>
    <w:rsid w:val="003E40D9"/>
    <w:rsid w:val="003E497C"/>
    <w:rsid w:val="003E5612"/>
    <w:rsid w:val="003E5A51"/>
    <w:rsid w:val="003E6BE3"/>
    <w:rsid w:val="003F161B"/>
    <w:rsid w:val="003F3CB0"/>
    <w:rsid w:val="003F660D"/>
    <w:rsid w:val="003F6E9D"/>
    <w:rsid w:val="00400432"/>
    <w:rsid w:val="00403C5B"/>
    <w:rsid w:val="00407533"/>
    <w:rsid w:val="00410615"/>
    <w:rsid w:val="004120D3"/>
    <w:rsid w:val="004121D9"/>
    <w:rsid w:val="00414401"/>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048D"/>
    <w:rsid w:val="0048300B"/>
    <w:rsid w:val="00486908"/>
    <w:rsid w:val="0048774B"/>
    <w:rsid w:val="00490915"/>
    <w:rsid w:val="00493BC6"/>
    <w:rsid w:val="00494943"/>
    <w:rsid w:val="00495203"/>
    <w:rsid w:val="00495B57"/>
    <w:rsid w:val="004964CA"/>
    <w:rsid w:val="004A0056"/>
    <w:rsid w:val="004A0C10"/>
    <w:rsid w:val="004A24AB"/>
    <w:rsid w:val="004A419B"/>
    <w:rsid w:val="004A743E"/>
    <w:rsid w:val="004B05DD"/>
    <w:rsid w:val="004B1D35"/>
    <w:rsid w:val="004B2D5D"/>
    <w:rsid w:val="004B336F"/>
    <w:rsid w:val="004B4A7F"/>
    <w:rsid w:val="004B62B8"/>
    <w:rsid w:val="004B7CC0"/>
    <w:rsid w:val="004C0FAF"/>
    <w:rsid w:val="004C0FC7"/>
    <w:rsid w:val="004C1FDD"/>
    <w:rsid w:val="004D0A98"/>
    <w:rsid w:val="004D1C50"/>
    <w:rsid w:val="004D5D65"/>
    <w:rsid w:val="004E1169"/>
    <w:rsid w:val="004E57B7"/>
    <w:rsid w:val="004E5ACC"/>
    <w:rsid w:val="004E60C0"/>
    <w:rsid w:val="004E68D6"/>
    <w:rsid w:val="004F2AE4"/>
    <w:rsid w:val="004F6111"/>
    <w:rsid w:val="00504B1E"/>
    <w:rsid w:val="005066A9"/>
    <w:rsid w:val="00515059"/>
    <w:rsid w:val="005165AD"/>
    <w:rsid w:val="0052392D"/>
    <w:rsid w:val="0052481A"/>
    <w:rsid w:val="00524DCA"/>
    <w:rsid w:val="00526956"/>
    <w:rsid w:val="00532B91"/>
    <w:rsid w:val="00534962"/>
    <w:rsid w:val="00536EB2"/>
    <w:rsid w:val="005404D8"/>
    <w:rsid w:val="00544099"/>
    <w:rsid w:val="00546AF7"/>
    <w:rsid w:val="00555585"/>
    <w:rsid w:val="005612F3"/>
    <w:rsid w:val="005621A4"/>
    <w:rsid w:val="005635FA"/>
    <w:rsid w:val="00574B16"/>
    <w:rsid w:val="0057699B"/>
    <w:rsid w:val="00580A77"/>
    <w:rsid w:val="00585CEE"/>
    <w:rsid w:val="00591161"/>
    <w:rsid w:val="00596F73"/>
    <w:rsid w:val="005A3376"/>
    <w:rsid w:val="005A6A23"/>
    <w:rsid w:val="005B1E20"/>
    <w:rsid w:val="005B27FB"/>
    <w:rsid w:val="005B3ED1"/>
    <w:rsid w:val="005B621F"/>
    <w:rsid w:val="005B7321"/>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03E8"/>
    <w:rsid w:val="006023B5"/>
    <w:rsid w:val="00610A17"/>
    <w:rsid w:val="00613440"/>
    <w:rsid w:val="00615D12"/>
    <w:rsid w:val="00617B7F"/>
    <w:rsid w:val="00621979"/>
    <w:rsid w:val="00622C1D"/>
    <w:rsid w:val="006242F0"/>
    <w:rsid w:val="006316B1"/>
    <w:rsid w:val="00632A37"/>
    <w:rsid w:val="00636173"/>
    <w:rsid w:val="0063685D"/>
    <w:rsid w:val="00637198"/>
    <w:rsid w:val="00640445"/>
    <w:rsid w:val="00645EB9"/>
    <w:rsid w:val="006465D2"/>
    <w:rsid w:val="006500BC"/>
    <w:rsid w:val="0065616A"/>
    <w:rsid w:val="006562DE"/>
    <w:rsid w:val="006626AF"/>
    <w:rsid w:val="0066567C"/>
    <w:rsid w:val="006701F0"/>
    <w:rsid w:val="00673F42"/>
    <w:rsid w:val="00676741"/>
    <w:rsid w:val="00680F51"/>
    <w:rsid w:val="006829C0"/>
    <w:rsid w:val="00683A4B"/>
    <w:rsid w:val="00683F80"/>
    <w:rsid w:val="00691342"/>
    <w:rsid w:val="00696275"/>
    <w:rsid w:val="006A063F"/>
    <w:rsid w:val="006A156B"/>
    <w:rsid w:val="006A5FB4"/>
    <w:rsid w:val="006A6751"/>
    <w:rsid w:val="006B0327"/>
    <w:rsid w:val="006B10E9"/>
    <w:rsid w:val="006B198C"/>
    <w:rsid w:val="006B27E0"/>
    <w:rsid w:val="006C004C"/>
    <w:rsid w:val="006C02BD"/>
    <w:rsid w:val="006C15DB"/>
    <w:rsid w:val="006C39C5"/>
    <w:rsid w:val="006C7602"/>
    <w:rsid w:val="006D0184"/>
    <w:rsid w:val="006D1DD8"/>
    <w:rsid w:val="006D4741"/>
    <w:rsid w:val="006D6465"/>
    <w:rsid w:val="006E1B6F"/>
    <w:rsid w:val="006E214D"/>
    <w:rsid w:val="006E25F6"/>
    <w:rsid w:val="006E404D"/>
    <w:rsid w:val="006E55C1"/>
    <w:rsid w:val="006F2A32"/>
    <w:rsid w:val="006F6490"/>
    <w:rsid w:val="006F663A"/>
    <w:rsid w:val="00703BE0"/>
    <w:rsid w:val="00705CF5"/>
    <w:rsid w:val="007061B3"/>
    <w:rsid w:val="007062A6"/>
    <w:rsid w:val="00713B94"/>
    <w:rsid w:val="00714A43"/>
    <w:rsid w:val="00716CEC"/>
    <w:rsid w:val="00717537"/>
    <w:rsid w:val="007200CC"/>
    <w:rsid w:val="00723A7F"/>
    <w:rsid w:val="00724059"/>
    <w:rsid w:val="007246E1"/>
    <w:rsid w:val="0072546A"/>
    <w:rsid w:val="00725DA6"/>
    <w:rsid w:val="00731F42"/>
    <w:rsid w:val="00732439"/>
    <w:rsid w:val="00734AF8"/>
    <w:rsid w:val="00736E09"/>
    <w:rsid w:val="00745B89"/>
    <w:rsid w:val="00745F36"/>
    <w:rsid w:val="0075167A"/>
    <w:rsid w:val="00752063"/>
    <w:rsid w:val="00755F22"/>
    <w:rsid w:val="0075633E"/>
    <w:rsid w:val="0075674E"/>
    <w:rsid w:val="00756E0D"/>
    <w:rsid w:val="00757472"/>
    <w:rsid w:val="00760514"/>
    <w:rsid w:val="00762C46"/>
    <w:rsid w:val="00765454"/>
    <w:rsid w:val="00765B68"/>
    <w:rsid w:val="007679D8"/>
    <w:rsid w:val="00772187"/>
    <w:rsid w:val="00773068"/>
    <w:rsid w:val="007818DB"/>
    <w:rsid w:val="007830BE"/>
    <w:rsid w:val="00785937"/>
    <w:rsid w:val="00790401"/>
    <w:rsid w:val="00790AD2"/>
    <w:rsid w:val="0079264A"/>
    <w:rsid w:val="00796755"/>
    <w:rsid w:val="00796E71"/>
    <w:rsid w:val="007979A7"/>
    <w:rsid w:val="00797F75"/>
    <w:rsid w:val="007A1F12"/>
    <w:rsid w:val="007B1555"/>
    <w:rsid w:val="007B7BB4"/>
    <w:rsid w:val="007C43C1"/>
    <w:rsid w:val="007C6B45"/>
    <w:rsid w:val="007D5014"/>
    <w:rsid w:val="007D6E84"/>
    <w:rsid w:val="007E246D"/>
    <w:rsid w:val="007E2744"/>
    <w:rsid w:val="007E2967"/>
    <w:rsid w:val="007E4451"/>
    <w:rsid w:val="007E4EC4"/>
    <w:rsid w:val="007E6E4B"/>
    <w:rsid w:val="007F3F24"/>
    <w:rsid w:val="007F4B75"/>
    <w:rsid w:val="007F6498"/>
    <w:rsid w:val="007F6B18"/>
    <w:rsid w:val="00804350"/>
    <w:rsid w:val="00804362"/>
    <w:rsid w:val="00806042"/>
    <w:rsid w:val="008122F2"/>
    <w:rsid w:val="008145A2"/>
    <w:rsid w:val="0081555F"/>
    <w:rsid w:val="00815CAB"/>
    <w:rsid w:val="00815EA6"/>
    <w:rsid w:val="0081639D"/>
    <w:rsid w:val="008174A6"/>
    <w:rsid w:val="00823DF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3479"/>
    <w:rsid w:val="0087426B"/>
    <w:rsid w:val="008746A2"/>
    <w:rsid w:val="00882BEF"/>
    <w:rsid w:val="00884568"/>
    <w:rsid w:val="00885126"/>
    <w:rsid w:val="00886DE9"/>
    <w:rsid w:val="008903EE"/>
    <w:rsid w:val="00890BB8"/>
    <w:rsid w:val="008911C0"/>
    <w:rsid w:val="008914B2"/>
    <w:rsid w:val="00892CA9"/>
    <w:rsid w:val="00894644"/>
    <w:rsid w:val="008946A7"/>
    <w:rsid w:val="00894D7D"/>
    <w:rsid w:val="00897A5A"/>
    <w:rsid w:val="008A1C58"/>
    <w:rsid w:val="008A1E4C"/>
    <w:rsid w:val="008A25C5"/>
    <w:rsid w:val="008A3743"/>
    <w:rsid w:val="008A7042"/>
    <w:rsid w:val="008B2074"/>
    <w:rsid w:val="008B399D"/>
    <w:rsid w:val="008B39F2"/>
    <w:rsid w:val="008B50A1"/>
    <w:rsid w:val="008B6DC1"/>
    <w:rsid w:val="008C091C"/>
    <w:rsid w:val="008C1870"/>
    <w:rsid w:val="008C30D2"/>
    <w:rsid w:val="008D4781"/>
    <w:rsid w:val="008D5E69"/>
    <w:rsid w:val="008D60C8"/>
    <w:rsid w:val="008E3D37"/>
    <w:rsid w:val="008E3E7D"/>
    <w:rsid w:val="008E5039"/>
    <w:rsid w:val="008E61DF"/>
    <w:rsid w:val="008E6DAE"/>
    <w:rsid w:val="008E7075"/>
    <w:rsid w:val="008F04E0"/>
    <w:rsid w:val="008F0B87"/>
    <w:rsid w:val="008F1557"/>
    <w:rsid w:val="008F18B3"/>
    <w:rsid w:val="008F1A0A"/>
    <w:rsid w:val="008F676D"/>
    <w:rsid w:val="00901C9A"/>
    <w:rsid w:val="0090243F"/>
    <w:rsid w:val="009029CD"/>
    <w:rsid w:val="00903EB2"/>
    <w:rsid w:val="00904857"/>
    <w:rsid w:val="0090622E"/>
    <w:rsid w:val="00907F32"/>
    <w:rsid w:val="009102F8"/>
    <w:rsid w:val="00910E4A"/>
    <w:rsid w:val="009111CF"/>
    <w:rsid w:val="00912431"/>
    <w:rsid w:val="00913800"/>
    <w:rsid w:val="00914861"/>
    <w:rsid w:val="00914D5C"/>
    <w:rsid w:val="00916C88"/>
    <w:rsid w:val="00917106"/>
    <w:rsid w:val="00917DCC"/>
    <w:rsid w:val="00920F55"/>
    <w:rsid w:val="009265DD"/>
    <w:rsid w:val="009319AE"/>
    <w:rsid w:val="00932782"/>
    <w:rsid w:val="009375BF"/>
    <w:rsid w:val="0094130E"/>
    <w:rsid w:val="00946584"/>
    <w:rsid w:val="00952E56"/>
    <w:rsid w:val="00952E99"/>
    <w:rsid w:val="009617D1"/>
    <w:rsid w:val="00963E0B"/>
    <w:rsid w:val="009646F5"/>
    <w:rsid w:val="00964D4A"/>
    <w:rsid w:val="00973BC6"/>
    <w:rsid w:val="00974DB7"/>
    <w:rsid w:val="009757DA"/>
    <w:rsid w:val="00981E60"/>
    <w:rsid w:val="009822CC"/>
    <w:rsid w:val="00982820"/>
    <w:rsid w:val="009852F9"/>
    <w:rsid w:val="00985547"/>
    <w:rsid w:val="0099269F"/>
    <w:rsid w:val="00992B05"/>
    <w:rsid w:val="00994102"/>
    <w:rsid w:val="009942BE"/>
    <w:rsid w:val="009A34C0"/>
    <w:rsid w:val="009A34CB"/>
    <w:rsid w:val="009A5DA3"/>
    <w:rsid w:val="009B04F7"/>
    <w:rsid w:val="009B051A"/>
    <w:rsid w:val="009B5565"/>
    <w:rsid w:val="009C3E78"/>
    <w:rsid w:val="009C6CC6"/>
    <w:rsid w:val="009C7888"/>
    <w:rsid w:val="009D1CA3"/>
    <w:rsid w:val="009D4BF5"/>
    <w:rsid w:val="009E0644"/>
    <w:rsid w:val="009E13FE"/>
    <w:rsid w:val="009E34CC"/>
    <w:rsid w:val="009E362E"/>
    <w:rsid w:val="009E476E"/>
    <w:rsid w:val="009E4DF0"/>
    <w:rsid w:val="009F4755"/>
    <w:rsid w:val="009F5929"/>
    <w:rsid w:val="009F642E"/>
    <w:rsid w:val="00A00A07"/>
    <w:rsid w:val="00A01A02"/>
    <w:rsid w:val="00A02455"/>
    <w:rsid w:val="00A03E79"/>
    <w:rsid w:val="00A107B3"/>
    <w:rsid w:val="00A1225A"/>
    <w:rsid w:val="00A12B6D"/>
    <w:rsid w:val="00A13506"/>
    <w:rsid w:val="00A14898"/>
    <w:rsid w:val="00A17292"/>
    <w:rsid w:val="00A25FE9"/>
    <w:rsid w:val="00A27332"/>
    <w:rsid w:val="00A310F3"/>
    <w:rsid w:val="00A32644"/>
    <w:rsid w:val="00A33C75"/>
    <w:rsid w:val="00A35816"/>
    <w:rsid w:val="00A3724D"/>
    <w:rsid w:val="00A37A9B"/>
    <w:rsid w:val="00A4008F"/>
    <w:rsid w:val="00A404D5"/>
    <w:rsid w:val="00A42FBD"/>
    <w:rsid w:val="00A5113C"/>
    <w:rsid w:val="00A51E9E"/>
    <w:rsid w:val="00A525B9"/>
    <w:rsid w:val="00A575FC"/>
    <w:rsid w:val="00A66AC8"/>
    <w:rsid w:val="00A67863"/>
    <w:rsid w:val="00A70557"/>
    <w:rsid w:val="00A739EA"/>
    <w:rsid w:val="00A73FDA"/>
    <w:rsid w:val="00A77317"/>
    <w:rsid w:val="00A90826"/>
    <w:rsid w:val="00A93476"/>
    <w:rsid w:val="00A95FB0"/>
    <w:rsid w:val="00AA09B6"/>
    <w:rsid w:val="00AB3000"/>
    <w:rsid w:val="00AB6599"/>
    <w:rsid w:val="00AB7230"/>
    <w:rsid w:val="00AC103A"/>
    <w:rsid w:val="00AC3F17"/>
    <w:rsid w:val="00AE1221"/>
    <w:rsid w:val="00AF205E"/>
    <w:rsid w:val="00AF41B0"/>
    <w:rsid w:val="00AF59D8"/>
    <w:rsid w:val="00AF5A70"/>
    <w:rsid w:val="00AF7AF9"/>
    <w:rsid w:val="00B017A5"/>
    <w:rsid w:val="00B04D1F"/>
    <w:rsid w:val="00B04FB8"/>
    <w:rsid w:val="00B0622B"/>
    <w:rsid w:val="00B111AB"/>
    <w:rsid w:val="00B20994"/>
    <w:rsid w:val="00B2364F"/>
    <w:rsid w:val="00B26B7C"/>
    <w:rsid w:val="00B2713B"/>
    <w:rsid w:val="00B2773F"/>
    <w:rsid w:val="00B30895"/>
    <w:rsid w:val="00B31958"/>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350E"/>
    <w:rsid w:val="00B9433F"/>
    <w:rsid w:val="00B946A3"/>
    <w:rsid w:val="00BA010D"/>
    <w:rsid w:val="00BA3E54"/>
    <w:rsid w:val="00BA4C75"/>
    <w:rsid w:val="00BA75AF"/>
    <w:rsid w:val="00BB3195"/>
    <w:rsid w:val="00BB338B"/>
    <w:rsid w:val="00BC63FD"/>
    <w:rsid w:val="00BD1EDB"/>
    <w:rsid w:val="00BD3F3A"/>
    <w:rsid w:val="00BD761E"/>
    <w:rsid w:val="00BE1FE1"/>
    <w:rsid w:val="00BE2981"/>
    <w:rsid w:val="00BE7798"/>
    <w:rsid w:val="00BF056F"/>
    <w:rsid w:val="00BF197E"/>
    <w:rsid w:val="00BF2BC5"/>
    <w:rsid w:val="00BF321E"/>
    <w:rsid w:val="00BF3BAC"/>
    <w:rsid w:val="00BF50D6"/>
    <w:rsid w:val="00C00032"/>
    <w:rsid w:val="00C11577"/>
    <w:rsid w:val="00C129B9"/>
    <w:rsid w:val="00C12DE6"/>
    <w:rsid w:val="00C15B7B"/>
    <w:rsid w:val="00C23E57"/>
    <w:rsid w:val="00C260C9"/>
    <w:rsid w:val="00C26E3E"/>
    <w:rsid w:val="00C277CC"/>
    <w:rsid w:val="00C32699"/>
    <w:rsid w:val="00C35494"/>
    <w:rsid w:val="00C37018"/>
    <w:rsid w:val="00C42B54"/>
    <w:rsid w:val="00C43F22"/>
    <w:rsid w:val="00C4471E"/>
    <w:rsid w:val="00C44B4E"/>
    <w:rsid w:val="00C50737"/>
    <w:rsid w:val="00C50F62"/>
    <w:rsid w:val="00C54184"/>
    <w:rsid w:val="00C54CD1"/>
    <w:rsid w:val="00C57A84"/>
    <w:rsid w:val="00C6176E"/>
    <w:rsid w:val="00C61F00"/>
    <w:rsid w:val="00C6719E"/>
    <w:rsid w:val="00C7169D"/>
    <w:rsid w:val="00C76E4E"/>
    <w:rsid w:val="00C80E1C"/>
    <w:rsid w:val="00C8418E"/>
    <w:rsid w:val="00C84CC1"/>
    <w:rsid w:val="00C90009"/>
    <w:rsid w:val="00C91699"/>
    <w:rsid w:val="00C97CC2"/>
    <w:rsid w:val="00C97F2B"/>
    <w:rsid w:val="00CA080B"/>
    <w:rsid w:val="00CA25B2"/>
    <w:rsid w:val="00CA2A88"/>
    <w:rsid w:val="00CB359C"/>
    <w:rsid w:val="00CC0085"/>
    <w:rsid w:val="00CC21C9"/>
    <w:rsid w:val="00CC2BA8"/>
    <w:rsid w:val="00CC51FF"/>
    <w:rsid w:val="00CD62FF"/>
    <w:rsid w:val="00CE18AF"/>
    <w:rsid w:val="00CE2434"/>
    <w:rsid w:val="00CE4C99"/>
    <w:rsid w:val="00CE5EE2"/>
    <w:rsid w:val="00CE7358"/>
    <w:rsid w:val="00CF19F5"/>
    <w:rsid w:val="00D00048"/>
    <w:rsid w:val="00D0044E"/>
    <w:rsid w:val="00D07E76"/>
    <w:rsid w:val="00D10D3A"/>
    <w:rsid w:val="00D2010B"/>
    <w:rsid w:val="00D20E23"/>
    <w:rsid w:val="00D21C2C"/>
    <w:rsid w:val="00D22E82"/>
    <w:rsid w:val="00D2517B"/>
    <w:rsid w:val="00D25F7E"/>
    <w:rsid w:val="00D27573"/>
    <w:rsid w:val="00D3030F"/>
    <w:rsid w:val="00D3273A"/>
    <w:rsid w:val="00D3581A"/>
    <w:rsid w:val="00D401C8"/>
    <w:rsid w:val="00D40E5E"/>
    <w:rsid w:val="00D40FB9"/>
    <w:rsid w:val="00D416AD"/>
    <w:rsid w:val="00D42F12"/>
    <w:rsid w:val="00D435F4"/>
    <w:rsid w:val="00D477C4"/>
    <w:rsid w:val="00D55AD3"/>
    <w:rsid w:val="00D55BB5"/>
    <w:rsid w:val="00D6141A"/>
    <w:rsid w:val="00D6160E"/>
    <w:rsid w:val="00D61976"/>
    <w:rsid w:val="00D643F1"/>
    <w:rsid w:val="00D7043B"/>
    <w:rsid w:val="00D7062B"/>
    <w:rsid w:val="00D70AB0"/>
    <w:rsid w:val="00D70ECD"/>
    <w:rsid w:val="00D735B7"/>
    <w:rsid w:val="00D776B6"/>
    <w:rsid w:val="00D8563F"/>
    <w:rsid w:val="00D92143"/>
    <w:rsid w:val="00D973E5"/>
    <w:rsid w:val="00D97BF7"/>
    <w:rsid w:val="00DA0028"/>
    <w:rsid w:val="00DA02F0"/>
    <w:rsid w:val="00DA067C"/>
    <w:rsid w:val="00DA0CB1"/>
    <w:rsid w:val="00DA0DA7"/>
    <w:rsid w:val="00DA1456"/>
    <w:rsid w:val="00DA19CC"/>
    <w:rsid w:val="00DA39EF"/>
    <w:rsid w:val="00DA3D26"/>
    <w:rsid w:val="00DA5AE6"/>
    <w:rsid w:val="00DB0136"/>
    <w:rsid w:val="00DB02EF"/>
    <w:rsid w:val="00DB0884"/>
    <w:rsid w:val="00DB54FF"/>
    <w:rsid w:val="00DB783D"/>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6DFF"/>
    <w:rsid w:val="00E07C76"/>
    <w:rsid w:val="00E10006"/>
    <w:rsid w:val="00E104D1"/>
    <w:rsid w:val="00E11F8B"/>
    <w:rsid w:val="00E1699D"/>
    <w:rsid w:val="00E25F9C"/>
    <w:rsid w:val="00E27807"/>
    <w:rsid w:val="00E30C8F"/>
    <w:rsid w:val="00E31153"/>
    <w:rsid w:val="00E360E5"/>
    <w:rsid w:val="00E36194"/>
    <w:rsid w:val="00E3647D"/>
    <w:rsid w:val="00E450CC"/>
    <w:rsid w:val="00E46FDA"/>
    <w:rsid w:val="00E507FC"/>
    <w:rsid w:val="00E54EEF"/>
    <w:rsid w:val="00E565A3"/>
    <w:rsid w:val="00E5669C"/>
    <w:rsid w:val="00E61A8D"/>
    <w:rsid w:val="00E63058"/>
    <w:rsid w:val="00E638CC"/>
    <w:rsid w:val="00E63CEB"/>
    <w:rsid w:val="00E66537"/>
    <w:rsid w:val="00E7266B"/>
    <w:rsid w:val="00E73450"/>
    <w:rsid w:val="00E73568"/>
    <w:rsid w:val="00E80FF8"/>
    <w:rsid w:val="00E81AAE"/>
    <w:rsid w:val="00E8290F"/>
    <w:rsid w:val="00E8348A"/>
    <w:rsid w:val="00E86E03"/>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E6D6E"/>
    <w:rsid w:val="00EF09B1"/>
    <w:rsid w:val="00EF33AC"/>
    <w:rsid w:val="00EF3FD3"/>
    <w:rsid w:val="00EF62CE"/>
    <w:rsid w:val="00F01773"/>
    <w:rsid w:val="00F032FC"/>
    <w:rsid w:val="00F052B9"/>
    <w:rsid w:val="00F056ED"/>
    <w:rsid w:val="00F07EEB"/>
    <w:rsid w:val="00F1040F"/>
    <w:rsid w:val="00F1129E"/>
    <w:rsid w:val="00F1646A"/>
    <w:rsid w:val="00F165F6"/>
    <w:rsid w:val="00F201EA"/>
    <w:rsid w:val="00F20E70"/>
    <w:rsid w:val="00F2241A"/>
    <w:rsid w:val="00F23344"/>
    <w:rsid w:val="00F24468"/>
    <w:rsid w:val="00F266B7"/>
    <w:rsid w:val="00F27257"/>
    <w:rsid w:val="00F309D3"/>
    <w:rsid w:val="00F33BA6"/>
    <w:rsid w:val="00F345E3"/>
    <w:rsid w:val="00F3535F"/>
    <w:rsid w:val="00F35764"/>
    <w:rsid w:val="00F373D0"/>
    <w:rsid w:val="00F42EB4"/>
    <w:rsid w:val="00F4453E"/>
    <w:rsid w:val="00F521D3"/>
    <w:rsid w:val="00F52217"/>
    <w:rsid w:val="00F5725D"/>
    <w:rsid w:val="00F57347"/>
    <w:rsid w:val="00F64D0F"/>
    <w:rsid w:val="00F670B0"/>
    <w:rsid w:val="00F679B4"/>
    <w:rsid w:val="00F75C72"/>
    <w:rsid w:val="00F76054"/>
    <w:rsid w:val="00F76E31"/>
    <w:rsid w:val="00F77726"/>
    <w:rsid w:val="00F77DF3"/>
    <w:rsid w:val="00F83493"/>
    <w:rsid w:val="00F85D04"/>
    <w:rsid w:val="00F860CE"/>
    <w:rsid w:val="00F86A82"/>
    <w:rsid w:val="00F90A82"/>
    <w:rsid w:val="00F93A27"/>
    <w:rsid w:val="00F93B87"/>
    <w:rsid w:val="00F94A27"/>
    <w:rsid w:val="00F97820"/>
    <w:rsid w:val="00FA07A9"/>
    <w:rsid w:val="00FA54AC"/>
    <w:rsid w:val="00FA767B"/>
    <w:rsid w:val="00FB01EE"/>
    <w:rsid w:val="00FB16E2"/>
    <w:rsid w:val="00FB2EB2"/>
    <w:rsid w:val="00FB42F3"/>
    <w:rsid w:val="00FB4478"/>
    <w:rsid w:val="00FB6DF4"/>
    <w:rsid w:val="00FB7A17"/>
    <w:rsid w:val="00FC0DF6"/>
    <w:rsid w:val="00FC2B73"/>
    <w:rsid w:val="00FC2C76"/>
    <w:rsid w:val="00FC3E97"/>
    <w:rsid w:val="00FC5469"/>
    <w:rsid w:val="00FC5F22"/>
    <w:rsid w:val="00FC6860"/>
    <w:rsid w:val="00FC6AE4"/>
    <w:rsid w:val="00FC6D69"/>
    <w:rsid w:val="00FC7462"/>
    <w:rsid w:val="00FC7DA6"/>
    <w:rsid w:val="00FD079C"/>
    <w:rsid w:val="00FD258F"/>
    <w:rsid w:val="00FD4279"/>
    <w:rsid w:val="00FD6DCF"/>
    <w:rsid w:val="00FE2992"/>
    <w:rsid w:val="00FE3892"/>
    <w:rsid w:val="00FE40B6"/>
    <w:rsid w:val="00FF09BF"/>
    <w:rsid w:val="00FF2534"/>
    <w:rsid w:val="0172A7FD"/>
    <w:rsid w:val="03901903"/>
    <w:rsid w:val="04890CA5"/>
    <w:rsid w:val="04B5DDEE"/>
    <w:rsid w:val="0516E40C"/>
    <w:rsid w:val="0577673F"/>
    <w:rsid w:val="05C4E335"/>
    <w:rsid w:val="05E0001F"/>
    <w:rsid w:val="05F0FAD2"/>
    <w:rsid w:val="068B83D4"/>
    <w:rsid w:val="06F3AB78"/>
    <w:rsid w:val="07107336"/>
    <w:rsid w:val="094BE002"/>
    <w:rsid w:val="0A645FF9"/>
    <w:rsid w:val="0A67159B"/>
    <w:rsid w:val="0AA2FFC7"/>
    <w:rsid w:val="0ABDA3BE"/>
    <w:rsid w:val="0B074889"/>
    <w:rsid w:val="0BD340C6"/>
    <w:rsid w:val="0C823371"/>
    <w:rsid w:val="0CBA2074"/>
    <w:rsid w:val="0D42C668"/>
    <w:rsid w:val="0D91C386"/>
    <w:rsid w:val="0E624A12"/>
    <w:rsid w:val="0ED929F0"/>
    <w:rsid w:val="0F777AB9"/>
    <w:rsid w:val="0FF4C8F5"/>
    <w:rsid w:val="10548F0B"/>
    <w:rsid w:val="1070A529"/>
    <w:rsid w:val="11B40E3D"/>
    <w:rsid w:val="12B37032"/>
    <w:rsid w:val="12F10E30"/>
    <w:rsid w:val="13F4B519"/>
    <w:rsid w:val="1550BE4F"/>
    <w:rsid w:val="1561B82D"/>
    <w:rsid w:val="15815818"/>
    <w:rsid w:val="18269F88"/>
    <w:rsid w:val="18279846"/>
    <w:rsid w:val="1992C158"/>
    <w:rsid w:val="19A2D749"/>
    <w:rsid w:val="19C0F54F"/>
    <w:rsid w:val="19C2306D"/>
    <w:rsid w:val="19C45988"/>
    <w:rsid w:val="1A54305F"/>
    <w:rsid w:val="1B3C97AF"/>
    <w:rsid w:val="1BC35FBD"/>
    <w:rsid w:val="1C7CDBE4"/>
    <w:rsid w:val="1CC04985"/>
    <w:rsid w:val="1CD0A1E8"/>
    <w:rsid w:val="1CF0DB32"/>
    <w:rsid w:val="1DC3D015"/>
    <w:rsid w:val="1DF008EE"/>
    <w:rsid w:val="1E4ADC2A"/>
    <w:rsid w:val="1E8AD82B"/>
    <w:rsid w:val="1EBEF8EB"/>
    <w:rsid w:val="1F9E780F"/>
    <w:rsid w:val="204EBDEB"/>
    <w:rsid w:val="20770200"/>
    <w:rsid w:val="223F61EC"/>
    <w:rsid w:val="22A89246"/>
    <w:rsid w:val="22AC9775"/>
    <w:rsid w:val="23C550C3"/>
    <w:rsid w:val="24B5BB15"/>
    <w:rsid w:val="25282578"/>
    <w:rsid w:val="256FA2C3"/>
    <w:rsid w:val="2613FCE8"/>
    <w:rsid w:val="26742C2F"/>
    <w:rsid w:val="26EFC14C"/>
    <w:rsid w:val="274DB0D1"/>
    <w:rsid w:val="297EA80B"/>
    <w:rsid w:val="2A1E6BD6"/>
    <w:rsid w:val="2A710B16"/>
    <w:rsid w:val="2B167682"/>
    <w:rsid w:val="2B616408"/>
    <w:rsid w:val="2B83FF80"/>
    <w:rsid w:val="2BCE293C"/>
    <w:rsid w:val="2C97F104"/>
    <w:rsid w:val="2CF6E7B5"/>
    <w:rsid w:val="2D15CC59"/>
    <w:rsid w:val="2D5F9543"/>
    <w:rsid w:val="2D6D5E17"/>
    <w:rsid w:val="2DB4ED7A"/>
    <w:rsid w:val="2F6A2320"/>
    <w:rsid w:val="2FFEC2B9"/>
    <w:rsid w:val="30211CBC"/>
    <w:rsid w:val="3207FC98"/>
    <w:rsid w:val="33611A11"/>
    <w:rsid w:val="33A48AB6"/>
    <w:rsid w:val="344C8E5E"/>
    <w:rsid w:val="3488552F"/>
    <w:rsid w:val="34A656F3"/>
    <w:rsid w:val="3536381C"/>
    <w:rsid w:val="35CF22E8"/>
    <w:rsid w:val="36224BEA"/>
    <w:rsid w:val="363875BD"/>
    <w:rsid w:val="37B06519"/>
    <w:rsid w:val="3814867E"/>
    <w:rsid w:val="3935761B"/>
    <w:rsid w:val="3B2EAC1D"/>
    <w:rsid w:val="3BDF0851"/>
    <w:rsid w:val="3C12A3D0"/>
    <w:rsid w:val="3C393D00"/>
    <w:rsid w:val="3CFB8ADF"/>
    <w:rsid w:val="3D26706B"/>
    <w:rsid w:val="3DF71A33"/>
    <w:rsid w:val="3E121091"/>
    <w:rsid w:val="3E452429"/>
    <w:rsid w:val="3F1AAB1C"/>
    <w:rsid w:val="3F88BFC8"/>
    <w:rsid w:val="408B4209"/>
    <w:rsid w:val="4091038B"/>
    <w:rsid w:val="40A90B4C"/>
    <w:rsid w:val="40EE3841"/>
    <w:rsid w:val="415B7542"/>
    <w:rsid w:val="42028241"/>
    <w:rsid w:val="42F5CE8B"/>
    <w:rsid w:val="4302C006"/>
    <w:rsid w:val="436DBE30"/>
    <w:rsid w:val="4723464A"/>
    <w:rsid w:val="4738E74A"/>
    <w:rsid w:val="479B2AB3"/>
    <w:rsid w:val="48404785"/>
    <w:rsid w:val="48C2AEB2"/>
    <w:rsid w:val="49A0D604"/>
    <w:rsid w:val="49F518E0"/>
    <w:rsid w:val="4A22B448"/>
    <w:rsid w:val="4B019744"/>
    <w:rsid w:val="4CC7374A"/>
    <w:rsid w:val="4CD8F224"/>
    <w:rsid w:val="4D0D10E1"/>
    <w:rsid w:val="4D4DEEBC"/>
    <w:rsid w:val="4E03BA8E"/>
    <w:rsid w:val="4F43C30F"/>
    <w:rsid w:val="4F900A5A"/>
    <w:rsid w:val="503530FC"/>
    <w:rsid w:val="52590896"/>
    <w:rsid w:val="556C0C23"/>
    <w:rsid w:val="5588B435"/>
    <w:rsid w:val="567EF6F8"/>
    <w:rsid w:val="5695B8A7"/>
    <w:rsid w:val="56A1421C"/>
    <w:rsid w:val="56D89160"/>
    <w:rsid w:val="572422AF"/>
    <w:rsid w:val="576E8D6E"/>
    <w:rsid w:val="5787C77B"/>
    <w:rsid w:val="57BEA138"/>
    <w:rsid w:val="581E7660"/>
    <w:rsid w:val="585483FF"/>
    <w:rsid w:val="58DEC1B4"/>
    <w:rsid w:val="58F10580"/>
    <w:rsid w:val="59251B8C"/>
    <w:rsid w:val="5928DEF8"/>
    <w:rsid w:val="5A3FC6D8"/>
    <w:rsid w:val="5A472970"/>
    <w:rsid w:val="5B7FBA8E"/>
    <w:rsid w:val="5BAFB5CD"/>
    <w:rsid w:val="5D475BCD"/>
    <w:rsid w:val="5E04B10A"/>
    <w:rsid w:val="5E11901C"/>
    <w:rsid w:val="5E7B0D2E"/>
    <w:rsid w:val="5FAE415F"/>
    <w:rsid w:val="61C05351"/>
    <w:rsid w:val="627D6587"/>
    <w:rsid w:val="6299B472"/>
    <w:rsid w:val="62B54AC9"/>
    <w:rsid w:val="62C37AE1"/>
    <w:rsid w:val="6311E3F7"/>
    <w:rsid w:val="635D7F79"/>
    <w:rsid w:val="63F6BB5E"/>
    <w:rsid w:val="6468CFD7"/>
    <w:rsid w:val="64950AC5"/>
    <w:rsid w:val="653F1730"/>
    <w:rsid w:val="66630929"/>
    <w:rsid w:val="6733C93E"/>
    <w:rsid w:val="67E203E2"/>
    <w:rsid w:val="680EFD49"/>
    <w:rsid w:val="6A4FBFAA"/>
    <w:rsid w:val="6CA269D3"/>
    <w:rsid w:val="6CD6344E"/>
    <w:rsid w:val="6E0A7330"/>
    <w:rsid w:val="6E0CA6E2"/>
    <w:rsid w:val="6E609764"/>
    <w:rsid w:val="6F209C80"/>
    <w:rsid w:val="70E9C853"/>
    <w:rsid w:val="73748216"/>
    <w:rsid w:val="7492C94D"/>
    <w:rsid w:val="74B3C0C4"/>
    <w:rsid w:val="74C7D289"/>
    <w:rsid w:val="74EC31ED"/>
    <w:rsid w:val="75020436"/>
    <w:rsid w:val="7646F4BB"/>
    <w:rsid w:val="773EA7F2"/>
    <w:rsid w:val="77A3F6D2"/>
    <w:rsid w:val="78C2FC99"/>
    <w:rsid w:val="78C4EAED"/>
    <w:rsid w:val="79340FDD"/>
    <w:rsid w:val="7984EA4B"/>
    <w:rsid w:val="79DD20FC"/>
    <w:rsid w:val="7B13DBBF"/>
    <w:rsid w:val="7B45EF48"/>
    <w:rsid w:val="7B61A8C8"/>
    <w:rsid w:val="7B81396F"/>
    <w:rsid w:val="7BCD1AF8"/>
    <w:rsid w:val="7BCE3501"/>
    <w:rsid w:val="7C200428"/>
    <w:rsid w:val="7C2EC2F6"/>
    <w:rsid w:val="7DC4ABD2"/>
    <w:rsid w:val="7F43F4F0"/>
    <w:rsid w:val="7FF714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AFE4DCC3-33FD-4CA5-937B-16DB401C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2"/>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10"/>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tabs>
        <w:tab w:val="clear" w:pos="567"/>
        <w:tab w:val="num" w:pos="1134"/>
      </w:tabs>
      <w:ind w:left="1134"/>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5"/>
      </w:numPr>
    </w:pPr>
  </w:style>
  <w:style w:type="paragraph" w:customStyle="1" w:styleId="Numberedparagraphdouble">
    <w:name w:val="Numbered paragraph (double)"/>
    <w:aliases w:val="Numbered paragraph (single)"/>
    <w:basedOn w:val="Normal"/>
    <w:uiPriority w:val="8"/>
    <w:qFormat/>
    <w:rsid w:val="00534962"/>
    <w:pPr>
      <w:numPr>
        <w:ilvl w:val="1"/>
        <w:numId w:val="12"/>
      </w:numPr>
    </w:pPr>
  </w:style>
  <w:style w:type="paragraph" w:customStyle="1" w:styleId="Bulletround">
    <w:name w:val="Bullet (round)"/>
    <w:aliases w:val="Bullet (square)"/>
    <w:basedOn w:val="Normal"/>
    <w:uiPriority w:val="10"/>
    <w:qFormat/>
    <w:rsid w:val="00534962"/>
    <w:pPr>
      <w:numPr>
        <w:ilvl w:val="5"/>
        <w:numId w:val="12"/>
      </w:numPr>
    </w:pPr>
  </w:style>
  <w:style w:type="paragraph" w:customStyle="1" w:styleId="Bullet-">
    <w:name w:val="Bullet (-)"/>
    <w:basedOn w:val="Normal"/>
    <w:uiPriority w:val="11"/>
    <w:qFormat/>
    <w:rsid w:val="00534962"/>
    <w:pPr>
      <w:numPr>
        <w:ilvl w:val="6"/>
        <w:numId w:val="12"/>
      </w:numPr>
    </w:pPr>
  </w:style>
  <w:style w:type="paragraph" w:customStyle="1" w:styleId="Bulletalpha">
    <w:name w:val="Bullet (alpha)"/>
    <w:basedOn w:val="Normal"/>
    <w:uiPriority w:val="11"/>
    <w:qFormat/>
    <w:rsid w:val="00534962"/>
    <w:pPr>
      <w:numPr>
        <w:ilvl w:val="2"/>
        <w:numId w:val="12"/>
      </w:numPr>
    </w:pPr>
  </w:style>
  <w:style w:type="paragraph" w:customStyle="1" w:styleId="Bulletroman">
    <w:name w:val="Bullet (roman)"/>
    <w:basedOn w:val="Normal"/>
    <w:uiPriority w:val="11"/>
    <w:qFormat/>
    <w:rsid w:val="00534962"/>
    <w:pPr>
      <w:numPr>
        <w:ilvl w:val="3"/>
        <w:numId w:val="12"/>
      </w:numPr>
    </w:pPr>
  </w:style>
  <w:style w:type="paragraph" w:customStyle="1" w:styleId="NormalBulletround">
    <w:name w:val="Normal Bullet (round)"/>
    <w:aliases w:val="Normal Bullet (square)"/>
    <w:basedOn w:val="Normal"/>
    <w:uiPriority w:val="4"/>
    <w:qFormat/>
    <w:rsid w:val="0021141B"/>
    <w:pPr>
      <w:tabs>
        <w:tab w:val="num" w:pos="1134"/>
      </w:tabs>
      <w:ind w:left="1134" w:hanging="567"/>
    </w:pPr>
  </w:style>
  <w:style w:type="paragraph" w:customStyle="1" w:styleId="NormalBullet-">
    <w:name w:val="Normal Bullet (-)"/>
    <w:basedOn w:val="Normal"/>
    <w:uiPriority w:val="5"/>
    <w:qFormat/>
    <w:rsid w:val="0021141B"/>
    <w:pPr>
      <w:tabs>
        <w:tab w:val="num" w:pos="1701"/>
      </w:tabs>
      <w:ind w:left="1701" w:hanging="567"/>
    </w:pPr>
  </w:style>
  <w:style w:type="paragraph" w:customStyle="1" w:styleId="NormalBulletalpha">
    <w:name w:val="Normal Bullet (alpha)"/>
    <w:basedOn w:val="Normal"/>
    <w:uiPriority w:val="5"/>
    <w:qFormat/>
    <w:rsid w:val="0021141B"/>
    <w:pPr>
      <w:tabs>
        <w:tab w:val="num" w:pos="1134"/>
      </w:tabs>
      <w:ind w:left="1134" w:hanging="567"/>
    </w:pPr>
  </w:style>
  <w:style w:type="paragraph" w:customStyle="1" w:styleId="NormalBulletroman">
    <w:name w:val="Normal Bullet (roman)"/>
    <w:basedOn w:val="Normal"/>
    <w:uiPriority w:val="5"/>
    <w:qFormat/>
    <w:rsid w:val="0021141B"/>
    <w:pPr>
      <w:tabs>
        <w:tab w:val="num" w:pos="1701"/>
      </w:tabs>
      <w:ind w:left="1701" w:hanging="567"/>
    </w:pPr>
  </w:style>
  <w:style w:type="paragraph" w:customStyle="1" w:styleId="NormalBulletnumber">
    <w:name w:val="Normal Bullet (number)"/>
    <w:basedOn w:val="NormalBulletroman"/>
    <w:uiPriority w:val="6"/>
    <w:qFormat/>
    <w:rsid w:val="00534962"/>
    <w:pPr>
      <w:tabs>
        <w:tab w:val="clear" w:pos="1701"/>
        <w:tab w:val="num" w:pos="2268"/>
      </w:tabs>
      <w:ind w:left="2268"/>
    </w:pPr>
  </w:style>
  <w:style w:type="numbering" w:customStyle="1" w:styleId="ORRNormalList">
    <w:name w:val="ORRNormalList"/>
    <w:uiPriority w:val="99"/>
    <w:rsid w:val="0021141B"/>
    <w:pPr>
      <w:numPr>
        <w:numId w:val="6"/>
      </w:numPr>
    </w:pPr>
  </w:style>
  <w:style w:type="paragraph" w:customStyle="1" w:styleId="Boxedparagraph">
    <w:name w:val="Boxed paragraph"/>
    <w:basedOn w:val="Normal"/>
    <w:uiPriority w:val="13"/>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tabs>
        <w:tab w:val="num" w:pos="567"/>
      </w:tabs>
      <w:ind w:left="567" w:hanging="567"/>
    </w:pPr>
  </w:style>
  <w:style w:type="numbering" w:customStyle="1" w:styleId="ORRBoxed">
    <w:name w:val="ORRBoxed"/>
    <w:uiPriority w:val="99"/>
    <w:rsid w:val="00534962"/>
    <w:pPr>
      <w:numPr>
        <w:numId w:val="7"/>
      </w:numPr>
    </w:pPr>
  </w:style>
  <w:style w:type="paragraph" w:customStyle="1" w:styleId="Bulletchecklist">
    <w:name w:val="Bullet (checklist)"/>
    <w:basedOn w:val="Normal"/>
    <w:uiPriority w:val="14"/>
    <w:qFormat/>
    <w:rsid w:val="00534962"/>
    <w:pPr>
      <w:numPr>
        <w:numId w:val="8"/>
      </w:numPr>
    </w:pPr>
  </w:style>
  <w:style w:type="numbering" w:customStyle="1" w:styleId="ORRChecklist">
    <w:name w:val="ORRChecklist"/>
    <w:uiPriority w:val="99"/>
    <w:rsid w:val="00534962"/>
    <w:pPr>
      <w:numPr>
        <w:numId w:val="8"/>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2"/>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2"/>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tabs>
        <w:tab w:val="clear" w:pos="2552"/>
      </w:tabs>
      <w:ind w:left="1800" w:hanging="360"/>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tabs>
        <w:tab w:val="num" w:pos="567"/>
      </w:tabs>
      <w:ind w:left="567" w:hanging="567"/>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tabs>
        <w:tab w:val="num" w:pos="1134"/>
      </w:tabs>
      <w:ind w:left="1134" w:hanging="1134"/>
    </w:pPr>
  </w:style>
  <w:style w:type="numbering" w:customStyle="1" w:styleId="ORRMain">
    <w:name w:val="ORRMain"/>
    <w:uiPriority w:val="99"/>
    <w:rsid w:val="00534962"/>
    <w:pPr>
      <w:numPr>
        <w:numId w:val="12"/>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9"/>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3"/>
      </w:numPr>
    </w:pPr>
  </w:style>
  <w:style w:type="paragraph" w:customStyle="1" w:styleId="HighlightPurpleWide">
    <w:name w:val="HighlightPurpleWide"/>
    <w:basedOn w:val="Normal"/>
    <w:uiPriority w:val="15"/>
    <w:qFormat/>
    <w:rsid w:val="00894D7D"/>
    <w:pPr>
      <w:numPr>
        <w:ilvl w:val="1"/>
        <w:numId w:val="19"/>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9"/>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0"/>
      </w:numPr>
      <w:tabs>
        <w:tab w:val="num" w:pos="2552"/>
      </w:tabs>
      <w:ind w:left="2552" w:hanging="2552"/>
    </w:pPr>
  </w:style>
  <w:style w:type="paragraph" w:customStyle="1" w:styleId="AnnexParagraph">
    <w:name w:val="Annex Paragraph"/>
    <w:basedOn w:val="Normal"/>
    <w:uiPriority w:val="22"/>
    <w:qFormat/>
    <w:rsid w:val="008A25C5"/>
    <w:pPr>
      <w:tabs>
        <w:tab w:val="num" w:pos="851"/>
      </w:tabs>
      <w:ind w:left="851" w:hanging="851"/>
    </w:pPr>
  </w:style>
  <w:style w:type="numbering" w:customStyle="1" w:styleId="ORRAnnex">
    <w:name w:val="ORRAnnex"/>
    <w:uiPriority w:val="99"/>
    <w:rsid w:val="008A25C5"/>
    <w:pPr>
      <w:numPr>
        <w:numId w:val="15"/>
      </w:numPr>
    </w:pPr>
  </w:style>
  <w:style w:type="paragraph" w:customStyle="1" w:styleId="AnnexBulletAlpha">
    <w:name w:val="Annex Bullet (Alpha)"/>
    <w:basedOn w:val="Normal"/>
    <w:uiPriority w:val="24"/>
    <w:qFormat/>
    <w:rsid w:val="008A25C5"/>
    <w:pPr>
      <w:tabs>
        <w:tab w:val="num" w:pos="1418"/>
      </w:tabs>
      <w:ind w:left="1418" w:hanging="567"/>
    </w:pPr>
  </w:style>
  <w:style w:type="paragraph" w:customStyle="1" w:styleId="AnnexBulletroman">
    <w:name w:val="Annex Bullet (roman)"/>
    <w:basedOn w:val="Normal"/>
    <w:uiPriority w:val="24"/>
    <w:qFormat/>
    <w:rsid w:val="008A25C5"/>
    <w:pPr>
      <w:tabs>
        <w:tab w:val="num" w:pos="1985"/>
      </w:tabs>
      <w:ind w:left="1985" w:hanging="567"/>
    </w:pPr>
  </w:style>
  <w:style w:type="paragraph" w:customStyle="1" w:styleId="AnnexBulletnumber">
    <w:name w:val="Annex Bullet (number)"/>
    <w:basedOn w:val="Normal"/>
    <w:uiPriority w:val="25"/>
    <w:qFormat/>
    <w:rsid w:val="008A25C5"/>
    <w:pPr>
      <w:tabs>
        <w:tab w:val="num" w:pos="2552"/>
      </w:tabs>
      <w:ind w:left="2552" w:hanging="567"/>
    </w:pPr>
  </w:style>
  <w:style w:type="paragraph" w:customStyle="1" w:styleId="AnnexBulletround">
    <w:name w:val="Annex Bullet (round)"/>
    <w:basedOn w:val="Normal"/>
    <w:uiPriority w:val="23"/>
    <w:qFormat/>
    <w:rsid w:val="008A25C5"/>
    <w:pPr>
      <w:tabs>
        <w:tab w:val="num" w:pos="1418"/>
      </w:tabs>
      <w:ind w:left="1418" w:hanging="567"/>
    </w:pPr>
  </w:style>
  <w:style w:type="paragraph" w:customStyle="1" w:styleId="AnnexBullet-">
    <w:name w:val="Annex Bullet (-)"/>
    <w:basedOn w:val="Normal"/>
    <w:uiPriority w:val="24"/>
    <w:qFormat/>
    <w:rsid w:val="008A25C5"/>
    <w:pPr>
      <w:tabs>
        <w:tab w:val="num" w:pos="1985"/>
      </w:tabs>
      <w:ind w:left="1985" w:hanging="567"/>
    </w:pPr>
  </w:style>
  <w:style w:type="paragraph" w:customStyle="1" w:styleId="AnnexTableTitle">
    <w:name w:val="Annex TableTitle"/>
    <w:basedOn w:val="Normal"/>
    <w:next w:val="AnnexParagraph"/>
    <w:uiPriority w:val="18"/>
    <w:qFormat/>
    <w:rsid w:val="008A25C5"/>
    <w:pPr>
      <w:tabs>
        <w:tab w:val="num" w:pos="1418"/>
      </w:tabs>
      <w:spacing w:before="120" w:after="120"/>
      <w:ind w:left="1418" w:hanging="1418"/>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tabs>
        <w:tab w:val="num" w:pos="1134"/>
      </w:tabs>
      <w:ind w:left="1134" w:hanging="1134"/>
    </w:pPr>
    <w:rPr>
      <w:b/>
    </w:rPr>
  </w:style>
  <w:style w:type="paragraph" w:customStyle="1" w:styleId="NormalFigureTitle">
    <w:name w:val="Normal FigureTitle"/>
    <w:basedOn w:val="Normal"/>
    <w:next w:val="Normal"/>
    <w:uiPriority w:val="26"/>
    <w:qFormat/>
    <w:rsid w:val="0021141B"/>
    <w:pPr>
      <w:keepNext/>
      <w:keepLines/>
      <w:tabs>
        <w:tab w:val="num" w:pos="1134"/>
      </w:tabs>
      <w:ind w:left="1134" w:hanging="1134"/>
    </w:pPr>
    <w:rPr>
      <w:b/>
    </w:rPr>
  </w:style>
  <w:style w:type="paragraph" w:customStyle="1" w:styleId="AnnexFigureTitle">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customStyle="1" w:styleId="normaltextrun">
    <w:name w:val="normaltextrun"/>
    <w:basedOn w:val="DefaultParagraphFont"/>
    <w:uiPriority w:val="1"/>
    <w:rsid w:val="00C80E1C"/>
    <w:rPr>
      <w:rFonts w:asciiTheme="minorHAnsi" w:eastAsiaTheme="minorEastAsia" w:hAnsiTheme="minorHAnsi" w:cstheme="minorBidi"/>
      <w:sz w:val="22"/>
      <w:szCs w:val="22"/>
    </w:rPr>
  </w:style>
  <w:style w:type="character" w:customStyle="1" w:styleId="eop">
    <w:name w:val="eop"/>
    <w:basedOn w:val="DefaultParagraphFont"/>
    <w:uiPriority w:val="1"/>
    <w:rsid w:val="00C80E1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microsoft.com/office/2018/08/relationships/commentsExtensible" Target="commentsExtensible.xml"/><Relationship Id="rId39" Type="http://schemas.openxmlformats.org/officeDocument/2006/relationships/footer" Target="footer6.xml"/><Relationship Id="rId21" Type="http://schemas.openxmlformats.org/officeDocument/2006/relationships/header" Target="header5.xml"/><Relationship Id="rId34" Type="http://schemas.openxmlformats.org/officeDocument/2006/relationships/hyperlink" Target="http:\\www.nationalarchives.gov.uk/doc/open-government-licence/version/3" TargetMode="External"/><Relationship Id="rId42" Type="http://schemas.openxmlformats.org/officeDocument/2006/relationships/footer" Target="foot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leclink.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7.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yperlink" Target="https://www.orr.gov.uk/channel-tunnel-intergovernmental-commission-igc-and-safety-authority-ctsa" TargetMode="External"/><Relationship Id="rId36" Type="http://schemas.openxmlformats.org/officeDocument/2006/relationships/hyperlink" Target="mailto:procurementteam@orr.gov.uk"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6.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orr.gov.uk/" TargetMode="External"/><Relationship Id="rId30" Type="http://schemas.openxmlformats.org/officeDocument/2006/relationships/hyperlink" Target="https://www.orr.gov.uk/media/23638" TargetMode="External"/><Relationship Id="rId35" Type="http://schemas.openxmlformats.org/officeDocument/2006/relationships/hyperlink" Target="https://www.find-tender.service.gov.uk/Search"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33" Type="http://schemas.openxmlformats.org/officeDocument/2006/relationships/image" Target="media/image5.png"/><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1ADB65CC09474754A5533DF5B548DD6C"/>
        <w:category>
          <w:name w:val="General"/>
          <w:gallery w:val="placeholder"/>
        </w:category>
        <w:types>
          <w:type w:val="bbPlcHdr"/>
        </w:types>
        <w:behaviors>
          <w:behavior w:val="content"/>
        </w:behaviors>
        <w:guid w:val="{6C35BADC-01F5-4ABF-AA7D-2A28019235D1}"/>
      </w:docPartPr>
      <w:docPartBody>
        <w:p w:rsidR="00FA5588" w:rsidRDefault="009E0644">
          <w:pPr>
            <w:pStyle w:val="1ADB65CC09474754A5533DF5B548DD6C"/>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F0FB2"/>
    <w:rsid w:val="001157A5"/>
    <w:rsid w:val="00137021"/>
    <w:rsid w:val="00157E4C"/>
    <w:rsid w:val="001607BB"/>
    <w:rsid w:val="001D34EA"/>
    <w:rsid w:val="002137E0"/>
    <w:rsid w:val="00282136"/>
    <w:rsid w:val="002B70DD"/>
    <w:rsid w:val="003D684E"/>
    <w:rsid w:val="004120D3"/>
    <w:rsid w:val="00415F39"/>
    <w:rsid w:val="00465309"/>
    <w:rsid w:val="00504B1E"/>
    <w:rsid w:val="0051536A"/>
    <w:rsid w:val="005621A4"/>
    <w:rsid w:val="005722FE"/>
    <w:rsid w:val="005A6A23"/>
    <w:rsid w:val="005F52F5"/>
    <w:rsid w:val="00696275"/>
    <w:rsid w:val="006A156B"/>
    <w:rsid w:val="007479A0"/>
    <w:rsid w:val="0075167A"/>
    <w:rsid w:val="007C3F77"/>
    <w:rsid w:val="0081731B"/>
    <w:rsid w:val="008342A5"/>
    <w:rsid w:val="00843948"/>
    <w:rsid w:val="0084777F"/>
    <w:rsid w:val="00912431"/>
    <w:rsid w:val="00927FF2"/>
    <w:rsid w:val="00974DB7"/>
    <w:rsid w:val="009D1CA3"/>
    <w:rsid w:val="009E0644"/>
    <w:rsid w:val="009E362E"/>
    <w:rsid w:val="009E5283"/>
    <w:rsid w:val="00A235F4"/>
    <w:rsid w:val="00A257DF"/>
    <w:rsid w:val="00A72823"/>
    <w:rsid w:val="00BB3195"/>
    <w:rsid w:val="00BF5479"/>
    <w:rsid w:val="00C016C2"/>
    <w:rsid w:val="00C37018"/>
    <w:rsid w:val="00D750C2"/>
    <w:rsid w:val="00DD58E4"/>
    <w:rsid w:val="00DE0FCF"/>
    <w:rsid w:val="00E06DFF"/>
    <w:rsid w:val="00E27807"/>
    <w:rsid w:val="00E63CEB"/>
    <w:rsid w:val="00E81AAE"/>
    <w:rsid w:val="00E94B75"/>
    <w:rsid w:val="00F06A05"/>
    <w:rsid w:val="00F1040F"/>
    <w:rsid w:val="00F52B05"/>
    <w:rsid w:val="00FA5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E3F0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1ADB65CC09474754A5533DF5B548DD6C">
    <w:name w:val="1ADB65CC09474754A5533DF5B548DD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of issue: (provided by Procurement)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69F098-06E9-45AD-BA8E-B54AD9FD2F94}">
  <ds:schemaRefs>
    <ds:schemaRef ds:uri="http://schemas.microsoft.com/office/2006/metadata/properties"/>
    <ds:schemaRef ds:uri="http://schemas.microsoft.com/office/infopath/2007/PartnerControls"/>
    <ds:schemaRef ds:uri="24d6d8e0-7f01-4a4d-a00c-b7e1c8b583a3"/>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181</TotalTime>
  <Pages>23</Pages>
  <Words>4608</Words>
  <Characters>25578</Characters>
  <Application>Microsoft Office Word</Application>
  <DocSecurity>0</DocSecurity>
  <Lines>639</Lines>
  <Paragraphs>372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29814</CharactersWithSpaces>
  <SharedDoc>false</SharedDoc>
  <HLinks>
    <vt:vector size="228" baseType="variant">
      <vt:variant>
        <vt:i4>852066</vt:i4>
      </vt:variant>
      <vt:variant>
        <vt:i4>183</vt:i4>
      </vt:variant>
      <vt:variant>
        <vt:i4>0</vt:i4>
      </vt:variant>
      <vt:variant>
        <vt:i4>5</vt:i4>
      </vt:variant>
      <vt:variant>
        <vt:lpwstr>mailto:procurementteam@orr.gov.uk</vt:lpwstr>
      </vt:variant>
      <vt:variant>
        <vt:lpwstr/>
      </vt:variant>
      <vt:variant>
        <vt:i4>1114183</vt:i4>
      </vt:variant>
      <vt:variant>
        <vt:i4>180</vt:i4>
      </vt:variant>
      <vt:variant>
        <vt:i4>0</vt:i4>
      </vt:variant>
      <vt:variant>
        <vt:i4>5</vt:i4>
      </vt:variant>
      <vt:variant>
        <vt:lpwstr>https://www.find-tender.service.gov.uk/Search</vt:lpwstr>
      </vt:variant>
      <vt:variant>
        <vt:lpwstr/>
      </vt:variant>
      <vt:variant>
        <vt:i4>5505035</vt:i4>
      </vt:variant>
      <vt:variant>
        <vt:i4>177</vt:i4>
      </vt:variant>
      <vt:variant>
        <vt:i4>0</vt:i4>
      </vt:variant>
      <vt:variant>
        <vt:i4>5</vt:i4>
      </vt:variant>
      <vt:variant>
        <vt:lpwstr>http://www.nationalarchives.gov.uk/doc/open-government-licence/version/3</vt:lpwstr>
      </vt:variant>
      <vt:variant>
        <vt:lpwstr/>
      </vt:variant>
      <vt:variant>
        <vt:i4>6946869</vt:i4>
      </vt:variant>
      <vt:variant>
        <vt:i4>174</vt:i4>
      </vt:variant>
      <vt:variant>
        <vt:i4>0</vt:i4>
      </vt:variant>
      <vt:variant>
        <vt:i4>5</vt:i4>
      </vt:variant>
      <vt:variant>
        <vt:lpwstr>https://www.orr.gov.uk/media/23638</vt:lpwstr>
      </vt:variant>
      <vt:variant>
        <vt:lpwstr/>
      </vt:variant>
      <vt:variant>
        <vt:i4>4456479</vt:i4>
      </vt:variant>
      <vt:variant>
        <vt:i4>171</vt:i4>
      </vt:variant>
      <vt:variant>
        <vt:i4>0</vt:i4>
      </vt:variant>
      <vt:variant>
        <vt:i4>5</vt:i4>
      </vt:variant>
      <vt:variant>
        <vt:lpwstr>https://offrailroad.sharepoint.com/sites/IGP-ProcurementSecure/Shared Documents/General/All Staff Templates/Managing contracts - A short guide for contract managers.docx</vt:lpwstr>
      </vt:variant>
      <vt:variant>
        <vt:lpwstr/>
      </vt:variant>
      <vt:variant>
        <vt:i4>6488182</vt:i4>
      </vt:variant>
      <vt:variant>
        <vt:i4>168</vt:i4>
      </vt:variant>
      <vt:variant>
        <vt:i4>0</vt:i4>
      </vt:variant>
      <vt:variant>
        <vt:i4>5</vt:i4>
      </vt:variant>
      <vt:variant>
        <vt:lpwstr>https://www.eleclink.co.uk/</vt:lpwstr>
      </vt:variant>
      <vt:variant>
        <vt:lpwstr/>
      </vt:variant>
      <vt:variant>
        <vt:i4>6094849</vt:i4>
      </vt:variant>
      <vt:variant>
        <vt:i4>165</vt:i4>
      </vt:variant>
      <vt:variant>
        <vt:i4>0</vt:i4>
      </vt:variant>
      <vt:variant>
        <vt:i4>5</vt:i4>
      </vt:variant>
      <vt:variant>
        <vt:lpwstr>https://www.orr.gov.uk/channel-tunnel-intergovernmental-commission-igc-and-safety-authority-ctsa</vt:lpwstr>
      </vt:variant>
      <vt:variant>
        <vt:lpwstr/>
      </vt:variant>
      <vt:variant>
        <vt:i4>6357045</vt:i4>
      </vt:variant>
      <vt:variant>
        <vt:i4>162</vt:i4>
      </vt:variant>
      <vt:variant>
        <vt:i4>0</vt:i4>
      </vt:variant>
      <vt:variant>
        <vt:i4>5</vt:i4>
      </vt:variant>
      <vt:variant>
        <vt:lpwstr>https://offrailroad.sharepoint.com/sites/IGP-ProcurementSecure/Shared Documents/General/All Staff Templates/Llight guide to drafting a Statement of Requirement.doc</vt:lpwstr>
      </vt:variant>
      <vt:variant>
        <vt:lpwstr/>
      </vt:variant>
      <vt:variant>
        <vt:i4>4063289</vt:i4>
      </vt:variant>
      <vt:variant>
        <vt:i4>159</vt:i4>
      </vt:variant>
      <vt:variant>
        <vt:i4>0</vt:i4>
      </vt:variant>
      <vt:variant>
        <vt:i4>5</vt:i4>
      </vt:variant>
      <vt:variant>
        <vt:lpwstr>https://www.orr.gov.uk/</vt:lpwstr>
      </vt:variant>
      <vt:variant>
        <vt:lpwstr/>
      </vt:variant>
      <vt:variant>
        <vt:i4>6946869</vt:i4>
      </vt:variant>
      <vt:variant>
        <vt:i4>156</vt:i4>
      </vt:variant>
      <vt:variant>
        <vt:i4>0</vt:i4>
      </vt:variant>
      <vt:variant>
        <vt:i4>5</vt:i4>
      </vt:variant>
      <vt:variant>
        <vt:lpwstr>https://www.orr.gov.uk/media/23638</vt:lpwstr>
      </vt:variant>
      <vt:variant>
        <vt:lpwstr/>
      </vt:variant>
      <vt:variant>
        <vt:i4>2752619</vt:i4>
      </vt:variant>
      <vt:variant>
        <vt:i4>153</vt:i4>
      </vt:variant>
      <vt:variant>
        <vt:i4>0</vt:i4>
      </vt:variant>
      <vt:variant>
        <vt:i4>5</vt:i4>
      </vt:variant>
      <vt:variant>
        <vt:lpwstr>https://www.gov.uk/guidance/consultancy-spend-controls</vt:lpwstr>
      </vt:variant>
      <vt:variant>
        <vt:lpwstr/>
      </vt:variant>
      <vt:variant>
        <vt:i4>1245260</vt:i4>
      </vt:variant>
      <vt:variant>
        <vt:i4>150</vt:i4>
      </vt:variant>
      <vt:variant>
        <vt:i4>0</vt:i4>
      </vt:variant>
      <vt:variant>
        <vt:i4>5</vt:i4>
      </vt:variant>
      <vt:variant>
        <vt:lpwstr>https://www.gov.uk/guidance/property-and-facilities-management-fm-spend-controls</vt:lpwstr>
      </vt:variant>
      <vt:variant>
        <vt:lpwstr/>
      </vt:variant>
      <vt:variant>
        <vt:i4>2228327</vt:i4>
      </vt:variant>
      <vt:variant>
        <vt:i4>147</vt:i4>
      </vt:variant>
      <vt:variant>
        <vt:i4>0</vt:i4>
      </vt:variant>
      <vt:variant>
        <vt:i4>5</vt:i4>
      </vt:variant>
      <vt:variant>
        <vt:lpwstr>https://www.gov.uk/guidance/digital-and-technology-spend-controls-version-5</vt:lpwstr>
      </vt:variant>
      <vt:variant>
        <vt:lpwstr/>
      </vt:variant>
      <vt:variant>
        <vt:i4>8126588</vt:i4>
      </vt:variant>
      <vt:variant>
        <vt:i4>144</vt:i4>
      </vt:variant>
      <vt:variant>
        <vt:i4>0</vt:i4>
      </vt:variant>
      <vt:variant>
        <vt:i4>5</vt:i4>
      </vt:variant>
      <vt:variant>
        <vt:lpwstr>https://www.gov.uk/guidance/advertising-marketing-and-communications-spend-controls</vt:lpwstr>
      </vt:variant>
      <vt:variant>
        <vt:lpwstr/>
      </vt:variant>
      <vt:variant>
        <vt:i4>3932179</vt:i4>
      </vt:variant>
      <vt:variant>
        <vt:i4>141</vt:i4>
      </vt:variant>
      <vt:variant>
        <vt:i4>0</vt:i4>
      </vt:variant>
      <vt:variant>
        <vt:i4>5</vt:i4>
      </vt:variant>
      <vt:variant>
        <vt:lpwstr>https://offrailroad.sharepoint.com/:w:/r/sites/Intranet/_layouts/15/Doc.aspx?sourcedoc=%7B20C6960A-31A0-4479-B435-E7D607585EBA%7D&amp;file=Light%20guide%20to%20drafting%20a%20Statement%20of%20Requirement.docx&amp;action=default&amp;mobileredirect=true</vt:lpwstr>
      </vt:variant>
      <vt:variant>
        <vt:lpwstr/>
      </vt:variant>
      <vt:variant>
        <vt:i4>1114172</vt:i4>
      </vt:variant>
      <vt:variant>
        <vt:i4>134</vt:i4>
      </vt:variant>
      <vt:variant>
        <vt:i4>0</vt:i4>
      </vt:variant>
      <vt:variant>
        <vt:i4>5</vt:i4>
      </vt:variant>
      <vt:variant>
        <vt:lpwstr/>
      </vt:variant>
      <vt:variant>
        <vt:lpwstr>_Toc111551930</vt:lpwstr>
      </vt:variant>
      <vt:variant>
        <vt:i4>1048636</vt:i4>
      </vt:variant>
      <vt:variant>
        <vt:i4>128</vt:i4>
      </vt:variant>
      <vt:variant>
        <vt:i4>0</vt:i4>
      </vt:variant>
      <vt:variant>
        <vt:i4>5</vt:i4>
      </vt:variant>
      <vt:variant>
        <vt:lpwstr/>
      </vt:variant>
      <vt:variant>
        <vt:lpwstr>_Toc111551929</vt:lpwstr>
      </vt:variant>
      <vt:variant>
        <vt:i4>1048636</vt:i4>
      </vt:variant>
      <vt:variant>
        <vt:i4>122</vt:i4>
      </vt:variant>
      <vt:variant>
        <vt:i4>0</vt:i4>
      </vt:variant>
      <vt:variant>
        <vt:i4>5</vt:i4>
      </vt:variant>
      <vt:variant>
        <vt:lpwstr/>
      </vt:variant>
      <vt:variant>
        <vt:lpwstr>_Toc111551928</vt:lpwstr>
      </vt:variant>
      <vt:variant>
        <vt:i4>1048636</vt:i4>
      </vt:variant>
      <vt:variant>
        <vt:i4>116</vt:i4>
      </vt:variant>
      <vt:variant>
        <vt:i4>0</vt:i4>
      </vt:variant>
      <vt:variant>
        <vt:i4>5</vt:i4>
      </vt:variant>
      <vt:variant>
        <vt:lpwstr/>
      </vt:variant>
      <vt:variant>
        <vt:lpwstr>_Toc111551927</vt:lpwstr>
      </vt:variant>
      <vt:variant>
        <vt:i4>1048636</vt:i4>
      </vt:variant>
      <vt:variant>
        <vt:i4>110</vt:i4>
      </vt:variant>
      <vt:variant>
        <vt:i4>0</vt:i4>
      </vt:variant>
      <vt:variant>
        <vt:i4>5</vt:i4>
      </vt:variant>
      <vt:variant>
        <vt:lpwstr/>
      </vt:variant>
      <vt:variant>
        <vt:lpwstr>_Toc111551926</vt:lpwstr>
      </vt:variant>
      <vt:variant>
        <vt:i4>1048636</vt:i4>
      </vt:variant>
      <vt:variant>
        <vt:i4>104</vt:i4>
      </vt:variant>
      <vt:variant>
        <vt:i4>0</vt:i4>
      </vt:variant>
      <vt:variant>
        <vt:i4>5</vt:i4>
      </vt:variant>
      <vt:variant>
        <vt:lpwstr/>
      </vt:variant>
      <vt:variant>
        <vt:lpwstr>_Toc111551925</vt:lpwstr>
      </vt:variant>
      <vt:variant>
        <vt:i4>1048636</vt:i4>
      </vt:variant>
      <vt:variant>
        <vt:i4>98</vt:i4>
      </vt:variant>
      <vt:variant>
        <vt:i4>0</vt:i4>
      </vt:variant>
      <vt:variant>
        <vt:i4>5</vt:i4>
      </vt:variant>
      <vt:variant>
        <vt:lpwstr/>
      </vt:variant>
      <vt:variant>
        <vt:lpwstr>_Toc111551924</vt:lpwstr>
      </vt:variant>
      <vt:variant>
        <vt:i4>1048636</vt:i4>
      </vt:variant>
      <vt:variant>
        <vt:i4>92</vt:i4>
      </vt:variant>
      <vt:variant>
        <vt:i4>0</vt:i4>
      </vt:variant>
      <vt:variant>
        <vt:i4>5</vt:i4>
      </vt:variant>
      <vt:variant>
        <vt:lpwstr/>
      </vt:variant>
      <vt:variant>
        <vt:lpwstr>_Toc111551923</vt:lpwstr>
      </vt:variant>
      <vt:variant>
        <vt:i4>1048636</vt:i4>
      </vt:variant>
      <vt:variant>
        <vt:i4>86</vt:i4>
      </vt:variant>
      <vt:variant>
        <vt:i4>0</vt:i4>
      </vt:variant>
      <vt:variant>
        <vt:i4>5</vt:i4>
      </vt:variant>
      <vt:variant>
        <vt:lpwstr/>
      </vt:variant>
      <vt:variant>
        <vt:lpwstr>_Toc111551922</vt:lpwstr>
      </vt:variant>
      <vt:variant>
        <vt:i4>1048636</vt:i4>
      </vt:variant>
      <vt:variant>
        <vt:i4>80</vt:i4>
      </vt:variant>
      <vt:variant>
        <vt:i4>0</vt:i4>
      </vt:variant>
      <vt:variant>
        <vt:i4>5</vt:i4>
      </vt:variant>
      <vt:variant>
        <vt:lpwstr/>
      </vt:variant>
      <vt:variant>
        <vt:lpwstr>_Toc111551921</vt:lpwstr>
      </vt:variant>
      <vt:variant>
        <vt:i4>1048636</vt:i4>
      </vt:variant>
      <vt:variant>
        <vt:i4>74</vt:i4>
      </vt:variant>
      <vt:variant>
        <vt:i4>0</vt:i4>
      </vt:variant>
      <vt:variant>
        <vt:i4>5</vt:i4>
      </vt:variant>
      <vt:variant>
        <vt:lpwstr/>
      </vt:variant>
      <vt:variant>
        <vt:lpwstr>_Toc111551920</vt:lpwstr>
      </vt:variant>
      <vt:variant>
        <vt:i4>1245244</vt:i4>
      </vt:variant>
      <vt:variant>
        <vt:i4>68</vt:i4>
      </vt:variant>
      <vt:variant>
        <vt:i4>0</vt:i4>
      </vt:variant>
      <vt:variant>
        <vt:i4>5</vt:i4>
      </vt:variant>
      <vt:variant>
        <vt:lpwstr/>
      </vt:variant>
      <vt:variant>
        <vt:lpwstr>_Toc111551919</vt:lpwstr>
      </vt:variant>
      <vt:variant>
        <vt:i4>1245244</vt:i4>
      </vt:variant>
      <vt:variant>
        <vt:i4>62</vt:i4>
      </vt:variant>
      <vt:variant>
        <vt:i4>0</vt:i4>
      </vt:variant>
      <vt:variant>
        <vt:i4>5</vt:i4>
      </vt:variant>
      <vt:variant>
        <vt:lpwstr/>
      </vt:variant>
      <vt:variant>
        <vt:lpwstr>_Toc111551918</vt:lpwstr>
      </vt:variant>
      <vt:variant>
        <vt:i4>1245244</vt:i4>
      </vt:variant>
      <vt:variant>
        <vt:i4>56</vt:i4>
      </vt:variant>
      <vt:variant>
        <vt:i4>0</vt:i4>
      </vt:variant>
      <vt:variant>
        <vt:i4>5</vt:i4>
      </vt:variant>
      <vt:variant>
        <vt:lpwstr/>
      </vt:variant>
      <vt:variant>
        <vt:lpwstr>_Toc111551917</vt:lpwstr>
      </vt:variant>
      <vt:variant>
        <vt:i4>1245244</vt:i4>
      </vt:variant>
      <vt:variant>
        <vt:i4>50</vt:i4>
      </vt:variant>
      <vt:variant>
        <vt:i4>0</vt:i4>
      </vt:variant>
      <vt:variant>
        <vt:i4>5</vt:i4>
      </vt:variant>
      <vt:variant>
        <vt:lpwstr/>
      </vt:variant>
      <vt:variant>
        <vt:lpwstr>_Toc111551916</vt:lpwstr>
      </vt:variant>
      <vt:variant>
        <vt:i4>1245244</vt:i4>
      </vt:variant>
      <vt:variant>
        <vt:i4>44</vt:i4>
      </vt:variant>
      <vt:variant>
        <vt:i4>0</vt:i4>
      </vt:variant>
      <vt:variant>
        <vt:i4>5</vt:i4>
      </vt:variant>
      <vt:variant>
        <vt:lpwstr/>
      </vt:variant>
      <vt:variant>
        <vt:lpwstr>_Toc111551915</vt:lpwstr>
      </vt:variant>
      <vt:variant>
        <vt:i4>1245244</vt:i4>
      </vt:variant>
      <vt:variant>
        <vt:i4>38</vt:i4>
      </vt:variant>
      <vt:variant>
        <vt:i4>0</vt:i4>
      </vt:variant>
      <vt:variant>
        <vt:i4>5</vt:i4>
      </vt:variant>
      <vt:variant>
        <vt:lpwstr/>
      </vt:variant>
      <vt:variant>
        <vt:lpwstr>_Toc111551914</vt:lpwstr>
      </vt:variant>
      <vt:variant>
        <vt:i4>1245244</vt:i4>
      </vt:variant>
      <vt:variant>
        <vt:i4>32</vt:i4>
      </vt:variant>
      <vt:variant>
        <vt:i4>0</vt:i4>
      </vt:variant>
      <vt:variant>
        <vt:i4>5</vt:i4>
      </vt:variant>
      <vt:variant>
        <vt:lpwstr/>
      </vt:variant>
      <vt:variant>
        <vt:lpwstr>_Toc111551913</vt:lpwstr>
      </vt:variant>
      <vt:variant>
        <vt:i4>1245244</vt:i4>
      </vt:variant>
      <vt:variant>
        <vt:i4>26</vt:i4>
      </vt:variant>
      <vt:variant>
        <vt:i4>0</vt:i4>
      </vt:variant>
      <vt:variant>
        <vt:i4>5</vt:i4>
      </vt:variant>
      <vt:variant>
        <vt:lpwstr/>
      </vt:variant>
      <vt:variant>
        <vt:lpwstr>_Toc111551912</vt:lpwstr>
      </vt:variant>
      <vt:variant>
        <vt:i4>1245244</vt:i4>
      </vt:variant>
      <vt:variant>
        <vt:i4>20</vt:i4>
      </vt:variant>
      <vt:variant>
        <vt:i4>0</vt:i4>
      </vt:variant>
      <vt:variant>
        <vt:i4>5</vt:i4>
      </vt:variant>
      <vt:variant>
        <vt:lpwstr/>
      </vt:variant>
      <vt:variant>
        <vt:lpwstr>_Toc111551911</vt:lpwstr>
      </vt:variant>
      <vt:variant>
        <vt:i4>1245244</vt:i4>
      </vt:variant>
      <vt:variant>
        <vt:i4>14</vt:i4>
      </vt:variant>
      <vt:variant>
        <vt:i4>0</vt:i4>
      </vt:variant>
      <vt:variant>
        <vt:i4>5</vt:i4>
      </vt:variant>
      <vt:variant>
        <vt:lpwstr/>
      </vt:variant>
      <vt:variant>
        <vt:lpwstr>_Toc111551910</vt:lpwstr>
      </vt:variant>
      <vt:variant>
        <vt:i4>1179708</vt:i4>
      </vt:variant>
      <vt:variant>
        <vt:i4>8</vt:i4>
      </vt:variant>
      <vt:variant>
        <vt:i4>0</vt:i4>
      </vt:variant>
      <vt:variant>
        <vt:i4>5</vt:i4>
      </vt:variant>
      <vt:variant>
        <vt:lpwstr/>
      </vt:variant>
      <vt:variant>
        <vt:lpwstr>_Toc111551909</vt:lpwstr>
      </vt:variant>
      <vt:variant>
        <vt:i4>1179708</vt:i4>
      </vt:variant>
      <vt:variant>
        <vt:i4>2</vt:i4>
      </vt:variant>
      <vt:variant>
        <vt:i4>0</vt:i4>
      </vt:variant>
      <vt:variant>
        <vt:i4>5</vt:i4>
      </vt:variant>
      <vt:variant>
        <vt:lpwstr/>
      </vt:variant>
      <vt:variant>
        <vt:lpwstr>_Toc111551908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ElecLink – Condition and monitoring inspection</dc:subject>
  <dc:creator>Angeriz-Santos, Paula</dc:creator>
  <cp:keywords/>
  <dc:description/>
  <cp:lastModifiedBy>Adeshiyan, Richard</cp:lastModifiedBy>
  <cp:revision>102</cp:revision>
  <cp:lastPrinted>2021-02-24T15:29:00Z</cp:lastPrinted>
  <dcterms:created xsi:type="dcterms:W3CDTF">2025-07-14T10:07:00Z</dcterms:created>
  <dcterms:modified xsi:type="dcterms:W3CDTF">2025-09-23T21:45:00Z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