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4953" w:rsidR="002000E1" w:rsidP="00434015" w:rsidRDefault="002000E1" w14:paraId="7C0951DD" w14:textId="37FE1B86">
      <w:pPr>
        <w:spacing w:after="120" w:line="240" w:lineRule="auto"/>
        <w:rPr>
          <w:rFonts w:ascii="Arial" w:hAnsi="Arial" w:cs="Arial"/>
          <w:sz w:val="28"/>
          <w:szCs w:val="28"/>
        </w:rPr>
      </w:pPr>
    </w:p>
    <w:p w:rsidRPr="00B15C3D" w:rsidR="00B15C3D" w:rsidP="00B15C3D" w:rsidRDefault="00B15C3D" w14:paraId="4F2B28A5" w14:textId="00270585">
      <w:pPr>
        <w:spacing w:after="0" w:line="240" w:lineRule="auto"/>
        <w:rPr>
          <w:rFonts w:ascii="Times New Roman" w:hAnsi="Times New Roman" w:eastAsia="Times New Roman" w:cs="Times New Roman"/>
          <w:sz w:val="24"/>
          <w:szCs w:val="24"/>
          <w:lang w:eastAsia="en-GB"/>
        </w:rPr>
      </w:pPr>
    </w:p>
    <w:p w:rsidR="001379B1" w:rsidP="006464B4" w:rsidRDefault="001379B1" w14:paraId="0C96936F" w14:textId="47F3AE83">
      <w:pPr>
        <w:rPr>
          <w:rFonts w:cs="Arial"/>
          <w:noProof/>
          <w:sz w:val="40"/>
          <w:szCs w:val="40"/>
        </w:rPr>
      </w:pPr>
    </w:p>
    <w:p w:rsidR="001379B1" w:rsidP="001379B1" w:rsidRDefault="001379B1" w14:paraId="07A2BE74" w14:textId="4927FEE1">
      <w:pPr>
        <w:rPr>
          <w:rFonts w:cs="Arial"/>
          <w:noProof/>
          <w:sz w:val="40"/>
          <w:szCs w:val="40"/>
        </w:rPr>
      </w:pPr>
    </w:p>
    <w:p w:rsidR="001379B1" w:rsidP="001379B1" w:rsidRDefault="001379B1" w14:paraId="0ACB0ABC" w14:textId="77777777">
      <w:pPr>
        <w:pStyle w:val="Anna1"/>
        <w:numPr>
          <w:ilvl w:val="0"/>
          <w:numId w:val="0"/>
        </w:numPr>
        <w:tabs>
          <w:tab w:val="clear" w:pos="851"/>
          <w:tab w:val="left" w:pos="0"/>
        </w:tabs>
        <w:spacing w:before="0" w:after="120"/>
        <w:jc w:val="both"/>
        <w:rPr>
          <w:rFonts w:ascii="Arial" w:hAnsi="Arial" w:cs="Arial"/>
          <w:sz w:val="32"/>
          <w:szCs w:val="36"/>
        </w:rPr>
      </w:pPr>
    </w:p>
    <w:p w:rsidRPr="00F601C8" w:rsidR="001379B1" w:rsidP="001379B1" w:rsidRDefault="001379B1" w14:paraId="2A678BAA" w14:textId="77777777">
      <w:pPr>
        <w:pStyle w:val="Anna1"/>
        <w:numPr>
          <w:ilvl w:val="0"/>
          <w:numId w:val="0"/>
        </w:numPr>
        <w:tabs>
          <w:tab w:val="clear" w:pos="851"/>
          <w:tab w:val="left" w:pos="0"/>
        </w:tabs>
        <w:spacing w:before="0" w:after="120"/>
        <w:jc w:val="both"/>
        <w:rPr>
          <w:rFonts w:ascii="Open Sans" w:hAnsi="Open Sans" w:cs="Open Sans"/>
          <w:sz w:val="32"/>
          <w:szCs w:val="36"/>
        </w:rPr>
      </w:pPr>
      <w:r w:rsidRPr="00F601C8">
        <w:rPr>
          <w:rFonts w:ascii="Open Sans" w:hAnsi="Open Sans" w:cs="Open Sans"/>
          <w:sz w:val="32"/>
          <w:szCs w:val="36"/>
        </w:rPr>
        <w:t>Key Performance Indicators</w:t>
      </w:r>
    </w:p>
    <w:p w:rsidR="001379B1" w:rsidP="001379B1" w:rsidRDefault="001379B1" w14:paraId="7920CF3B" w14:textId="77777777">
      <w:pPr>
        <w:rPr>
          <w:rFonts w:cs="Arial"/>
          <w:lang w:val="en-US"/>
        </w:rPr>
      </w:pPr>
    </w:p>
    <w:p w:rsidR="001379B1" w:rsidP="001379B1" w:rsidRDefault="001379B1" w14:paraId="7ABAF80D" w14:textId="77777777">
      <w:pPr>
        <w:rPr>
          <w:rFonts w:cs="Arial"/>
          <w:lang w:val="en-US"/>
        </w:rPr>
      </w:pPr>
    </w:p>
    <w:p w:rsidR="002000E1" w:rsidP="00434015" w:rsidRDefault="002000E1" w14:paraId="13F388EB" w14:textId="76ACA95E">
      <w:pPr>
        <w:spacing w:after="120" w:line="240" w:lineRule="auto"/>
        <w:rPr>
          <w:rFonts w:cs="Arial"/>
          <w:b/>
          <w:lang w:val="en-US"/>
        </w:rPr>
      </w:pPr>
    </w:p>
    <w:p w:rsidRPr="00F6332D" w:rsidR="00DC4F61" w:rsidP="00F6332D" w:rsidRDefault="001379B1" w14:paraId="54555321" w14:textId="7A5792F9">
      <w:pPr>
        <w:spacing w:after="120" w:line="240" w:lineRule="auto"/>
        <w:rPr>
          <w:rFonts w:ascii="Arial" w:hAnsi="Arial" w:cs="Arial"/>
        </w:rPr>
      </w:pPr>
      <w:r>
        <w:br w:type="page"/>
      </w:r>
    </w:p>
    <w:p w:rsidRPr="00F601C8" w:rsidR="00461F7D" w:rsidP="00461F7D" w:rsidRDefault="00461F7D" w14:paraId="592E2087" w14:textId="3CC687AA">
      <w:pPr>
        <w:spacing w:after="120" w:line="240" w:lineRule="auto"/>
        <w:rPr>
          <w:rFonts w:ascii="Open Sans" w:hAnsi="Open Sans" w:cs="Open Sans"/>
          <w:sz w:val="32"/>
          <w:szCs w:val="32"/>
        </w:rPr>
      </w:pPr>
      <w:r w:rsidRPr="01794E88" w:rsidR="00461F7D">
        <w:rPr>
          <w:rFonts w:ascii="Open Sans" w:hAnsi="Open Sans" w:cs="Open Sans"/>
          <w:b w:val="1"/>
          <w:bCs w:val="1"/>
          <w:sz w:val="32"/>
          <w:szCs w:val="32"/>
        </w:rPr>
        <w:t xml:space="preserve">KPI </w:t>
      </w:r>
      <w:r w:rsidRPr="01794E88" w:rsidR="00F6332D">
        <w:rPr>
          <w:rFonts w:ascii="Open Sans" w:hAnsi="Open Sans" w:cs="Open Sans"/>
          <w:b w:val="1"/>
          <w:bCs w:val="1"/>
          <w:sz w:val="32"/>
          <w:szCs w:val="32"/>
        </w:rPr>
        <w:t>1-</w:t>
      </w:r>
      <w:r w:rsidRPr="01794E88" w:rsidR="6BEA617B">
        <w:rPr>
          <w:rFonts w:ascii="Open Sans" w:hAnsi="Open Sans" w:cs="Open Sans"/>
          <w:b w:val="1"/>
          <w:bCs w:val="1"/>
          <w:sz w:val="32"/>
          <w:szCs w:val="32"/>
        </w:rPr>
        <w:t>2</w:t>
      </w:r>
      <w:r w:rsidRPr="01794E88" w:rsidR="00461F7D">
        <w:rPr>
          <w:rFonts w:ascii="Open Sans" w:hAnsi="Open Sans" w:cs="Open Sans"/>
          <w:b w:val="1"/>
          <w:bCs w:val="1"/>
          <w:sz w:val="32"/>
          <w:szCs w:val="32"/>
        </w:rPr>
        <w:t>:</w:t>
      </w:r>
      <w:r w:rsidRPr="01794E88" w:rsidR="00461F7D">
        <w:rPr>
          <w:rFonts w:ascii="Open Sans" w:hAnsi="Open Sans" w:cs="Open Sans"/>
          <w:sz w:val="32"/>
          <w:szCs w:val="32"/>
        </w:rPr>
        <w:t xml:space="preserve"> </w:t>
      </w:r>
      <w:r w:rsidRPr="01794E88" w:rsidR="00A45DEF">
        <w:rPr>
          <w:rFonts w:ascii="Open Sans" w:hAnsi="Open Sans" w:cs="Open Sans"/>
          <w:sz w:val="32"/>
          <w:szCs w:val="32"/>
        </w:rPr>
        <w:t>Works Completed on Time</w:t>
      </w:r>
    </w:p>
    <w:tbl>
      <w:tblPr>
        <w:tblStyle w:val="TableGrid"/>
        <w:tblW w:w="0" w:type="auto"/>
        <w:tblBorders>
          <w:top w:val="none" w:color="auto" w:sz="0" w:space="0"/>
          <w:left w:val="none" w:color="auto" w:sz="0" w:space="0"/>
          <w:bottom w:val="none" w:color="auto" w:sz="0" w:space="0"/>
          <w:right w:val="none" w:color="auto" w:sz="0" w:space="0"/>
          <w:insideH w:val="single" w:color="005A70" w:sz="4" w:space="0"/>
          <w:insideV w:val="single" w:color="005A70" w:sz="4" w:space="0"/>
        </w:tblBorders>
        <w:tblLook w:val="04A0" w:firstRow="1" w:lastRow="0" w:firstColumn="1" w:lastColumn="0" w:noHBand="0" w:noVBand="1"/>
      </w:tblPr>
      <w:tblGrid>
        <w:gridCol w:w="1515"/>
        <w:gridCol w:w="7511"/>
      </w:tblGrid>
      <w:tr w:rsidR="00461F7D" w:rsidTr="01794E88" w14:paraId="136F5E62" w14:textId="77777777">
        <w:tc>
          <w:tcPr>
            <w:tcW w:w="1526" w:type="dxa"/>
            <w:tcMar/>
          </w:tcPr>
          <w:p w:rsidR="00461F7D" w:rsidP="00CA12B5" w:rsidRDefault="00461F7D" w14:paraId="59A2ADFD" w14:textId="77777777">
            <w:pPr>
              <w:spacing w:before="60" w:after="60"/>
              <w:rPr>
                <w:rFonts w:ascii="Arial" w:hAnsi="Arial" w:cs="Arial"/>
              </w:rPr>
            </w:pPr>
            <w:r>
              <w:rPr>
                <w:rFonts w:ascii="Arial" w:hAnsi="Arial" w:cs="Arial"/>
              </w:rPr>
              <w:t>Purpose:</w:t>
            </w:r>
          </w:p>
        </w:tc>
        <w:tc>
          <w:tcPr>
            <w:tcW w:w="7716" w:type="dxa"/>
            <w:tcMar/>
          </w:tcPr>
          <w:p w:rsidR="00461F7D" w:rsidP="00CA12B5" w:rsidRDefault="0050554E" w14:paraId="50F99FAC" w14:textId="15CD3148">
            <w:pPr>
              <w:spacing w:before="60" w:after="60"/>
              <w:rPr>
                <w:rFonts w:ascii="Arial" w:hAnsi="Arial" w:cs="Arial"/>
              </w:rPr>
            </w:pPr>
            <w:r w:rsidRPr="0050554E">
              <w:rPr>
                <w:rFonts w:ascii="Arial" w:hAnsi="Arial" w:cs="Arial"/>
              </w:rPr>
              <w:t>To measure whether the works to individual properties</w:t>
            </w:r>
            <w:r w:rsidR="00F6332D">
              <w:rPr>
                <w:rFonts w:ascii="Arial" w:hAnsi="Arial" w:cs="Arial"/>
              </w:rPr>
              <w:t xml:space="preserve"> and/or blocks</w:t>
            </w:r>
            <w:r w:rsidRPr="0050554E">
              <w:rPr>
                <w:rFonts w:ascii="Arial" w:hAnsi="Arial" w:cs="Arial"/>
              </w:rPr>
              <w:t xml:space="preserve"> were completed on time</w:t>
            </w:r>
          </w:p>
        </w:tc>
      </w:tr>
      <w:tr w:rsidR="00461F7D" w:rsidTr="01794E88" w14:paraId="24AF56D7" w14:textId="77777777">
        <w:tc>
          <w:tcPr>
            <w:tcW w:w="1526" w:type="dxa"/>
            <w:tcMar/>
          </w:tcPr>
          <w:p w:rsidR="00461F7D" w:rsidP="00CA12B5" w:rsidRDefault="00461F7D" w14:paraId="3284815C" w14:textId="77777777">
            <w:pPr>
              <w:spacing w:before="60" w:after="60"/>
              <w:rPr>
                <w:rFonts w:ascii="Arial" w:hAnsi="Arial" w:cs="Arial"/>
              </w:rPr>
            </w:pPr>
            <w:r>
              <w:rPr>
                <w:rFonts w:ascii="Arial" w:hAnsi="Arial" w:cs="Arial"/>
              </w:rPr>
              <w:t>Definition:</w:t>
            </w:r>
          </w:p>
        </w:tc>
        <w:tc>
          <w:tcPr>
            <w:tcW w:w="7716" w:type="dxa"/>
            <w:tcMar/>
          </w:tcPr>
          <w:p w:rsidR="00461F7D" w:rsidP="0050554E" w:rsidRDefault="0050554E" w14:paraId="20638343" w14:textId="01C3AA8A">
            <w:pPr>
              <w:spacing w:before="60" w:after="60"/>
              <w:rPr>
                <w:rFonts w:ascii="Arial" w:hAnsi="Arial" w:cs="Arial"/>
              </w:rPr>
            </w:pPr>
            <w:r w:rsidRPr="01794E88" w:rsidR="0050554E">
              <w:rPr>
                <w:rFonts w:ascii="Arial" w:hAnsi="Arial" w:cs="Arial"/>
              </w:rPr>
              <w:t xml:space="preserve">The difference between the </w:t>
            </w:r>
            <w:r w:rsidRPr="01794E88" w:rsidR="00F6332D">
              <w:rPr>
                <w:rFonts w:ascii="Arial" w:hAnsi="Arial" w:cs="Arial"/>
              </w:rPr>
              <w:t>date</w:t>
            </w:r>
            <w:r w:rsidRPr="01794E88" w:rsidR="0050554E">
              <w:rPr>
                <w:rFonts w:ascii="Arial" w:hAnsi="Arial" w:cs="Arial"/>
              </w:rPr>
              <w:t xml:space="preserve"> when the works were </w:t>
            </w:r>
            <w:r w:rsidRPr="01794E88" w:rsidR="00F6332D">
              <w:rPr>
                <w:rFonts w:ascii="Arial" w:hAnsi="Arial" w:cs="Arial"/>
              </w:rPr>
              <w:t>requested from the Contracts Administrator</w:t>
            </w:r>
            <w:r w:rsidRPr="01794E88" w:rsidR="0050554E">
              <w:rPr>
                <w:rFonts w:ascii="Arial" w:hAnsi="Arial" w:cs="Arial"/>
              </w:rPr>
              <w:t xml:space="preserve"> and the date </w:t>
            </w:r>
            <w:r w:rsidRPr="01794E88" w:rsidR="00F6332D">
              <w:rPr>
                <w:rFonts w:ascii="Arial" w:hAnsi="Arial" w:cs="Arial"/>
              </w:rPr>
              <w:t xml:space="preserve">of which the report was returned. This is separated into </w:t>
            </w:r>
            <w:r w:rsidRPr="01794E88" w:rsidR="4E56B2EE">
              <w:rPr>
                <w:rFonts w:ascii="Arial" w:hAnsi="Arial" w:cs="Arial"/>
              </w:rPr>
              <w:t>two</w:t>
            </w:r>
            <w:r w:rsidRPr="01794E88" w:rsidR="00F6332D">
              <w:rPr>
                <w:rFonts w:ascii="Arial" w:hAnsi="Arial" w:cs="Arial"/>
              </w:rPr>
              <w:t xml:space="preserve"> KPI’s: </w:t>
            </w:r>
            <w:r w:rsidRPr="01794E88" w:rsidR="011043A5">
              <w:rPr>
                <w:rFonts w:ascii="Arial" w:hAnsi="Arial" w:cs="Arial"/>
              </w:rPr>
              <w:t>U</w:t>
            </w:r>
            <w:r w:rsidRPr="01794E88" w:rsidR="00F6332D">
              <w:rPr>
                <w:rFonts w:ascii="Arial" w:hAnsi="Arial" w:cs="Arial"/>
              </w:rPr>
              <w:t xml:space="preserve">rgent </w:t>
            </w:r>
            <w:r w:rsidRPr="01794E88" w:rsidR="00F6332D">
              <w:rPr>
                <w:rFonts w:ascii="Arial" w:hAnsi="Arial" w:cs="Arial"/>
              </w:rPr>
              <w:t xml:space="preserve">7 </w:t>
            </w:r>
            <w:r w:rsidRPr="01794E88" w:rsidR="34DD4D92">
              <w:rPr>
                <w:rFonts w:ascii="Arial" w:hAnsi="Arial" w:cs="Arial"/>
              </w:rPr>
              <w:t>working days</w:t>
            </w:r>
            <w:r w:rsidRPr="01794E88" w:rsidR="6A690D31">
              <w:rPr>
                <w:rFonts w:ascii="Arial" w:hAnsi="Arial" w:cs="Arial"/>
              </w:rPr>
              <w:t xml:space="preserve"> </w:t>
            </w:r>
            <w:r w:rsidRPr="01794E88" w:rsidR="00F6332D">
              <w:rPr>
                <w:rFonts w:ascii="Arial" w:hAnsi="Arial" w:cs="Arial"/>
              </w:rPr>
              <w:t>and non-urgent 28 day</w:t>
            </w:r>
            <w:r w:rsidRPr="01794E88" w:rsidR="0C25A41E">
              <w:rPr>
                <w:rFonts w:ascii="Arial" w:hAnsi="Arial" w:cs="Arial"/>
              </w:rPr>
              <w:t>s</w:t>
            </w:r>
            <w:r w:rsidRPr="01794E88" w:rsidR="2E653074">
              <w:rPr>
                <w:rFonts w:ascii="Arial" w:hAnsi="Arial" w:cs="Arial"/>
              </w:rPr>
              <w:t>.</w:t>
            </w:r>
          </w:p>
        </w:tc>
      </w:tr>
      <w:tr w:rsidR="00461F7D" w:rsidTr="01794E88" w14:paraId="3B9DFA2B" w14:textId="77777777">
        <w:tc>
          <w:tcPr>
            <w:tcW w:w="1526" w:type="dxa"/>
            <w:tcMar/>
          </w:tcPr>
          <w:p w:rsidR="00461F7D" w:rsidP="00CA12B5" w:rsidRDefault="00461F7D" w14:paraId="75A3441A" w14:textId="77777777">
            <w:pPr>
              <w:spacing w:before="60"/>
              <w:rPr>
                <w:rFonts w:ascii="Arial" w:hAnsi="Arial" w:cs="Arial"/>
              </w:rPr>
            </w:pPr>
            <w:r>
              <w:rPr>
                <w:rFonts w:ascii="Arial" w:hAnsi="Arial" w:cs="Arial"/>
              </w:rPr>
              <w:t>Method:</w:t>
            </w:r>
          </w:p>
        </w:tc>
        <w:tc>
          <w:tcPr>
            <w:tcW w:w="7716" w:type="dxa"/>
            <w:tcMar/>
          </w:tcPr>
          <w:p w:rsidRPr="0050554E" w:rsidR="0050554E" w:rsidP="0050554E" w:rsidRDefault="0050554E" w14:paraId="13789D06" w14:textId="6C9670E5">
            <w:pPr>
              <w:spacing w:before="60" w:after="120"/>
              <w:rPr>
                <w:rFonts w:ascii="Arial" w:hAnsi="Arial" w:cs="Arial"/>
              </w:rPr>
            </w:pPr>
            <w:r w:rsidRPr="0050554E">
              <w:rPr>
                <w:rFonts w:ascii="Arial" w:hAnsi="Arial" w:cs="Arial"/>
              </w:rPr>
              <w:t xml:space="preserve">On a </w:t>
            </w:r>
            <w:proofErr w:type="gramStart"/>
            <w:r w:rsidRPr="0050554E">
              <w:rPr>
                <w:rFonts w:ascii="Arial" w:hAnsi="Arial" w:cs="Arial"/>
              </w:rPr>
              <w:t>property by property</w:t>
            </w:r>
            <w:proofErr w:type="gramEnd"/>
            <w:r w:rsidRPr="0050554E">
              <w:rPr>
                <w:rFonts w:ascii="Arial" w:hAnsi="Arial" w:cs="Arial"/>
              </w:rPr>
              <w:t xml:space="preserve"> basis the contractor to record actual completion date as a means of r</w:t>
            </w:r>
            <w:r w:rsidR="00F6332D">
              <w:rPr>
                <w:rFonts w:ascii="Arial" w:hAnsi="Arial" w:cs="Arial"/>
              </w:rPr>
              <w:t>e</w:t>
            </w:r>
            <w:r w:rsidRPr="0050554E">
              <w:rPr>
                <w:rFonts w:ascii="Arial" w:hAnsi="Arial" w:cs="Arial"/>
              </w:rPr>
              <w:t xml:space="preserve">ference with the agreed completion date. Variances to be </w:t>
            </w:r>
            <w:bookmarkStart w:name="OLE_LINK1" w:id="0"/>
            <w:r w:rsidRPr="0050554E">
              <w:rPr>
                <w:rFonts w:ascii="Arial" w:hAnsi="Arial" w:cs="Arial"/>
              </w:rPr>
              <w:t xml:space="preserve">calculated </w:t>
            </w:r>
            <w:bookmarkEnd w:id="0"/>
            <w:r w:rsidRPr="0050554E">
              <w:rPr>
                <w:rFonts w:ascii="Arial" w:hAnsi="Arial" w:cs="Arial"/>
              </w:rPr>
              <w:t>by the contractor</w:t>
            </w:r>
          </w:p>
          <w:p w:rsidRPr="0050554E" w:rsidR="0050554E" w:rsidP="0050554E" w:rsidRDefault="0050554E" w14:paraId="152CA129" w14:textId="77777777">
            <w:pPr>
              <w:spacing w:before="60" w:after="120"/>
              <w:rPr>
                <w:rFonts w:ascii="Arial" w:hAnsi="Arial" w:cs="Arial"/>
              </w:rPr>
            </w:pPr>
            <w:r w:rsidRPr="0050554E">
              <w:rPr>
                <w:rFonts w:ascii="Arial" w:hAnsi="Arial" w:cs="Arial"/>
              </w:rPr>
              <w:t>Where works do NOT finish on the agreed date then to be recorded by calculating and recording the variance (i</w:t>
            </w:r>
            <w:r>
              <w:rPr>
                <w:rFonts w:ascii="Arial" w:hAnsi="Arial" w:cs="Arial"/>
              </w:rPr>
              <w:t>.</w:t>
            </w:r>
            <w:r w:rsidRPr="0050554E">
              <w:rPr>
                <w:rFonts w:ascii="Arial" w:hAnsi="Arial" w:cs="Arial"/>
              </w:rPr>
              <w:t>e</w:t>
            </w:r>
            <w:r>
              <w:rPr>
                <w:rFonts w:ascii="Arial" w:hAnsi="Arial" w:cs="Arial"/>
              </w:rPr>
              <w:t xml:space="preserve">. 1 day, 2 </w:t>
            </w:r>
            <w:proofErr w:type="gramStart"/>
            <w:r>
              <w:rPr>
                <w:rFonts w:ascii="Arial" w:hAnsi="Arial" w:cs="Arial"/>
              </w:rPr>
              <w:t>day</w:t>
            </w:r>
            <w:proofErr w:type="gramEnd"/>
            <w:r w:rsidRPr="0050554E">
              <w:rPr>
                <w:rFonts w:ascii="Arial" w:hAnsi="Arial" w:cs="Arial"/>
              </w:rPr>
              <w:t xml:space="preserve"> etc</w:t>
            </w:r>
            <w:r>
              <w:rPr>
                <w:rFonts w:ascii="Arial" w:hAnsi="Arial" w:cs="Arial"/>
              </w:rPr>
              <w:t>.</w:t>
            </w:r>
            <w:r w:rsidRPr="0050554E">
              <w:rPr>
                <w:rFonts w:ascii="Arial" w:hAnsi="Arial" w:cs="Arial"/>
              </w:rPr>
              <w:t>). Where works do complete on the agreed date then to record the variance as 0 days</w:t>
            </w:r>
          </w:p>
          <w:p w:rsidRPr="006F231D" w:rsidR="00461F7D" w:rsidP="0050554E" w:rsidRDefault="0050554E" w14:paraId="6C2F5B4A" w14:textId="49392128">
            <w:pPr>
              <w:spacing w:before="60" w:after="120"/>
              <w:rPr>
                <w:rFonts w:ascii="Arial" w:hAnsi="Arial" w:cs="Arial"/>
              </w:rPr>
            </w:pPr>
            <w:r w:rsidRPr="0050554E">
              <w:rPr>
                <w:rFonts w:ascii="Arial" w:hAnsi="Arial" w:cs="Arial"/>
              </w:rPr>
              <w:t xml:space="preserve">Using the number of properties </w:t>
            </w:r>
            <w:proofErr w:type="gramStart"/>
            <w:r w:rsidRPr="0050554E">
              <w:rPr>
                <w:rFonts w:ascii="Arial" w:hAnsi="Arial" w:cs="Arial"/>
              </w:rPr>
              <w:t>actually completed</w:t>
            </w:r>
            <w:proofErr w:type="gramEnd"/>
            <w:r w:rsidRPr="0050554E">
              <w:rPr>
                <w:rFonts w:ascii="Arial" w:hAnsi="Arial" w:cs="Arial"/>
              </w:rPr>
              <w:t xml:space="preserve"> within the specified time period (month on month basis to calculate an annual total) to calculate those properties with a variance of 0 Days</w:t>
            </w:r>
          </w:p>
          <w:p w:rsidRPr="009B6C8D" w:rsidR="0050554E" w:rsidP="0050554E" w:rsidRDefault="0050554E" w14:paraId="6FCE04F7" w14:textId="77777777">
            <w:pPr>
              <w:spacing w:before="60" w:after="120"/>
              <w:rPr>
                <w:rFonts w:ascii="Arial" w:hAnsi="Arial" w:cs="Arial"/>
                <w:b/>
              </w:rPr>
            </w:pPr>
            <w:r w:rsidRPr="009B6C8D">
              <w:rPr>
                <w:rFonts w:ascii="Arial" w:hAnsi="Arial" w:cs="Arial"/>
                <w:b/>
              </w:rPr>
              <w:t>Performance Data:</w:t>
            </w:r>
          </w:p>
          <w:p w:rsidRPr="009B6C8D" w:rsidR="0050554E" w:rsidP="0050554E" w:rsidRDefault="0050554E" w14:paraId="4DA164E7" w14:textId="77777777">
            <w:pPr>
              <w:spacing w:before="60"/>
              <w:rPr>
                <w:rFonts w:ascii="Arial" w:hAnsi="Arial" w:cs="Arial"/>
                <w:u w:val="single"/>
              </w:rPr>
            </w:pPr>
            <w:r w:rsidRPr="009B6C8D">
              <w:rPr>
                <w:rFonts w:ascii="Arial" w:hAnsi="Arial" w:cs="Arial"/>
                <w:u w:val="single"/>
              </w:rPr>
              <w:t>Number of properties with variance of 0 Days</w:t>
            </w:r>
            <w:r w:rsidRPr="009B6C8D">
              <w:rPr>
                <w:rFonts w:ascii="Arial" w:hAnsi="Arial" w:cs="Arial"/>
              </w:rPr>
              <w:t xml:space="preserve"> x 100</w:t>
            </w:r>
          </w:p>
          <w:p w:rsidR="00461F7D" w:rsidP="0050554E" w:rsidRDefault="0050554E" w14:paraId="43A8BE6B" w14:textId="77777777">
            <w:pPr>
              <w:spacing w:after="60"/>
              <w:rPr>
                <w:rFonts w:ascii="Arial" w:hAnsi="Arial" w:cs="Arial"/>
              </w:rPr>
            </w:pPr>
            <w:r w:rsidRPr="009B6C8D">
              <w:rPr>
                <w:rFonts w:ascii="Arial" w:hAnsi="Arial" w:cs="Arial"/>
              </w:rPr>
              <w:t xml:space="preserve">             Number of properties started</w:t>
            </w:r>
          </w:p>
        </w:tc>
      </w:tr>
      <w:tr w:rsidR="00461F7D" w:rsidTr="01794E88" w14:paraId="3FC38602" w14:textId="77777777">
        <w:tc>
          <w:tcPr>
            <w:tcW w:w="1526" w:type="dxa"/>
            <w:tcMar/>
          </w:tcPr>
          <w:p w:rsidR="00461F7D" w:rsidP="00CA12B5" w:rsidRDefault="00461F7D" w14:paraId="369321A8" w14:textId="77777777">
            <w:pPr>
              <w:spacing w:before="60"/>
              <w:rPr>
                <w:rFonts w:ascii="Arial" w:hAnsi="Arial" w:cs="Arial"/>
              </w:rPr>
            </w:pPr>
            <w:r>
              <w:rPr>
                <w:rFonts w:ascii="Arial" w:hAnsi="Arial" w:cs="Arial"/>
              </w:rPr>
              <w:t>Example:</w:t>
            </w:r>
          </w:p>
        </w:tc>
        <w:tc>
          <w:tcPr>
            <w:tcW w:w="7716" w:type="dxa"/>
            <w:tcMar/>
          </w:tcPr>
          <w:p w:rsidRPr="009B6C8D" w:rsidR="00582A4B" w:rsidP="00582A4B" w:rsidRDefault="00582A4B" w14:paraId="457F024C" w14:textId="72C0B49E">
            <w:pPr>
              <w:spacing w:before="60" w:after="120"/>
              <w:rPr>
                <w:rFonts w:ascii="Arial" w:hAnsi="Arial" w:cs="Arial"/>
              </w:rPr>
            </w:pPr>
            <w:r w:rsidRPr="009B6C8D">
              <w:rPr>
                <w:rFonts w:ascii="Arial" w:hAnsi="Arial" w:cs="Arial"/>
              </w:rPr>
              <w:t xml:space="preserve">The number of properties </w:t>
            </w:r>
            <w:r w:rsidR="00F6332D">
              <w:rPr>
                <w:rFonts w:ascii="Arial" w:hAnsi="Arial" w:cs="Arial"/>
              </w:rPr>
              <w:t>completed</w:t>
            </w:r>
            <w:r w:rsidRPr="009B6C8D">
              <w:rPr>
                <w:rFonts w:ascii="Arial" w:hAnsi="Arial" w:cs="Arial"/>
              </w:rPr>
              <w:t xml:space="preserve"> this month was </w:t>
            </w:r>
            <w:r>
              <w:rPr>
                <w:rFonts w:ascii="Arial" w:hAnsi="Arial" w:cs="Arial"/>
              </w:rPr>
              <w:t>50</w:t>
            </w:r>
            <w:r w:rsidRPr="009B6C8D">
              <w:rPr>
                <w:rFonts w:ascii="Arial" w:hAnsi="Arial" w:cs="Arial"/>
              </w:rPr>
              <w:t xml:space="preserve"> and the number </w:t>
            </w:r>
            <w:r w:rsidR="00F6332D">
              <w:rPr>
                <w:rFonts w:ascii="Arial" w:hAnsi="Arial" w:cs="Arial"/>
              </w:rPr>
              <w:t>completed</w:t>
            </w:r>
            <w:r w:rsidRPr="009B6C8D">
              <w:rPr>
                <w:rFonts w:ascii="Arial" w:hAnsi="Arial" w:cs="Arial"/>
              </w:rPr>
              <w:t xml:space="preserve"> on time (i</w:t>
            </w:r>
            <w:r>
              <w:rPr>
                <w:rFonts w:ascii="Arial" w:hAnsi="Arial" w:cs="Arial"/>
              </w:rPr>
              <w:t>.</w:t>
            </w:r>
            <w:r w:rsidRPr="009B6C8D">
              <w:rPr>
                <w:rFonts w:ascii="Arial" w:hAnsi="Arial" w:cs="Arial"/>
              </w:rPr>
              <w:t>e</w:t>
            </w:r>
            <w:r>
              <w:rPr>
                <w:rFonts w:ascii="Arial" w:hAnsi="Arial" w:cs="Arial"/>
              </w:rPr>
              <w:t>.</w:t>
            </w:r>
            <w:r w:rsidRPr="009B6C8D">
              <w:rPr>
                <w:rFonts w:ascii="Arial" w:hAnsi="Arial" w:cs="Arial"/>
              </w:rPr>
              <w:t xml:space="preserve"> variance of 0 days) was 4</w:t>
            </w:r>
            <w:r>
              <w:rPr>
                <w:rFonts w:ascii="Arial" w:hAnsi="Arial" w:cs="Arial"/>
              </w:rPr>
              <w:t>7</w:t>
            </w:r>
          </w:p>
          <w:p w:rsidRPr="009B6C8D" w:rsidR="00582A4B" w:rsidP="00582A4B" w:rsidRDefault="00582A4B" w14:paraId="3487F667" w14:textId="77777777">
            <w:pPr>
              <w:spacing w:before="60" w:after="120"/>
              <w:rPr>
                <w:rFonts w:ascii="Arial" w:hAnsi="Arial" w:cs="Arial"/>
                <w:b/>
              </w:rPr>
            </w:pPr>
            <w:r w:rsidRPr="009B6C8D">
              <w:rPr>
                <w:rFonts w:ascii="Arial" w:hAnsi="Arial" w:cs="Arial"/>
                <w:b/>
              </w:rPr>
              <w:t>Performance data:</w:t>
            </w:r>
          </w:p>
          <w:p w:rsidRPr="009B6C8D" w:rsidR="00582A4B" w:rsidP="00582A4B" w:rsidRDefault="00582A4B" w14:paraId="5F048A42" w14:textId="77777777">
            <w:pPr>
              <w:rPr>
                <w:rFonts w:ascii="Arial" w:hAnsi="Arial" w:cs="Arial"/>
              </w:rPr>
            </w:pPr>
            <w:r>
              <w:rPr>
                <w:rFonts w:ascii="Arial" w:hAnsi="Arial" w:cs="Arial"/>
                <w:u w:val="single"/>
              </w:rPr>
              <w:t>47</w:t>
            </w:r>
            <w:r w:rsidRPr="009B6C8D">
              <w:rPr>
                <w:rFonts w:ascii="Arial" w:hAnsi="Arial" w:cs="Arial"/>
                <w:u w:val="single"/>
              </w:rPr>
              <w:t xml:space="preserve"> Number of properties with variance of 0 </w:t>
            </w:r>
            <w:proofErr w:type="gramStart"/>
            <w:r w:rsidRPr="009B6C8D">
              <w:rPr>
                <w:rFonts w:ascii="Arial" w:hAnsi="Arial" w:cs="Arial"/>
                <w:u w:val="single"/>
              </w:rPr>
              <w:t xml:space="preserve">Days </w:t>
            </w:r>
            <w:r w:rsidRPr="009B6C8D">
              <w:rPr>
                <w:rFonts w:ascii="Arial" w:hAnsi="Arial" w:cs="Arial"/>
              </w:rPr>
              <w:t xml:space="preserve"> x</w:t>
            </w:r>
            <w:proofErr w:type="gramEnd"/>
            <w:r w:rsidRPr="009B6C8D">
              <w:rPr>
                <w:rFonts w:ascii="Arial" w:hAnsi="Arial" w:cs="Arial"/>
              </w:rPr>
              <w:t xml:space="preserve"> 100</w:t>
            </w:r>
            <w:r>
              <w:rPr>
                <w:rFonts w:ascii="Arial" w:hAnsi="Arial" w:cs="Arial"/>
              </w:rPr>
              <w:t xml:space="preserve"> </w:t>
            </w:r>
            <w:r w:rsidRPr="006F231D">
              <w:rPr>
                <w:rFonts w:ascii="Arial" w:hAnsi="Arial" w:cs="Arial"/>
              </w:rPr>
              <w:t xml:space="preserve">= </w:t>
            </w:r>
            <w:r>
              <w:rPr>
                <w:rFonts w:ascii="Arial" w:hAnsi="Arial" w:cs="Arial"/>
                <w:b/>
                <w:bCs/>
                <w:u w:val="single"/>
              </w:rPr>
              <w:t>94</w:t>
            </w:r>
            <w:r w:rsidRPr="006F231D">
              <w:rPr>
                <w:rFonts w:ascii="Arial" w:hAnsi="Arial" w:cs="Arial"/>
                <w:b/>
                <w:bCs/>
                <w:u w:val="single"/>
              </w:rPr>
              <w:t>%</w:t>
            </w:r>
          </w:p>
          <w:p w:rsidR="00461F7D" w:rsidP="00582A4B" w:rsidRDefault="00582A4B" w14:paraId="4C38F2B2" w14:textId="77777777">
            <w:pPr>
              <w:spacing w:after="60"/>
              <w:rPr>
                <w:rFonts w:ascii="Arial" w:hAnsi="Arial" w:cs="Arial"/>
              </w:rPr>
            </w:pPr>
            <w:r w:rsidRPr="009B6C8D">
              <w:rPr>
                <w:rFonts w:ascii="Arial" w:hAnsi="Arial" w:cs="Arial"/>
              </w:rPr>
              <w:t xml:space="preserve">              </w:t>
            </w:r>
            <w:r>
              <w:rPr>
                <w:rFonts w:ascii="Arial" w:hAnsi="Arial" w:cs="Arial"/>
              </w:rPr>
              <w:t>50</w:t>
            </w:r>
            <w:r w:rsidRPr="009B6C8D">
              <w:rPr>
                <w:rFonts w:ascii="Arial" w:hAnsi="Arial" w:cs="Arial"/>
              </w:rPr>
              <w:t xml:space="preserve"> Number of properties started</w:t>
            </w:r>
          </w:p>
        </w:tc>
      </w:tr>
      <w:tr w:rsidR="00461F7D" w:rsidTr="01794E88" w14:paraId="3DC42050" w14:textId="77777777">
        <w:tc>
          <w:tcPr>
            <w:tcW w:w="1526" w:type="dxa"/>
            <w:tcMar/>
          </w:tcPr>
          <w:p w:rsidR="00461F7D" w:rsidP="00CA12B5" w:rsidRDefault="00461F7D" w14:paraId="4AF8D16B" w14:textId="77777777">
            <w:pPr>
              <w:spacing w:before="60"/>
              <w:rPr>
                <w:rFonts w:ascii="Arial" w:hAnsi="Arial" w:cs="Arial"/>
              </w:rPr>
            </w:pPr>
            <w:r>
              <w:rPr>
                <w:rFonts w:ascii="Arial" w:hAnsi="Arial" w:cs="Arial"/>
              </w:rPr>
              <w:t>Target:</w:t>
            </w:r>
          </w:p>
        </w:tc>
        <w:tc>
          <w:tcPr>
            <w:tcW w:w="7716" w:type="dxa"/>
            <w:tcMar/>
          </w:tcPr>
          <w:p w:rsidR="00461F7D" w:rsidP="01794E88" w:rsidRDefault="00F6332D" w14:paraId="0B393AC1" w14:textId="7B092595">
            <w:pPr>
              <w:spacing w:before="60" w:after="120"/>
              <w:rPr>
                <w:rFonts w:ascii="Arial" w:hAnsi="Arial" w:eastAsia="Arial" w:cs="Arial"/>
                <w:noProof w:val="0"/>
                <w:sz w:val="22"/>
                <w:szCs w:val="22"/>
                <w:lang w:val="en-GB"/>
              </w:rPr>
            </w:pPr>
            <w:r w:rsidRPr="01794E88" w:rsidR="00F6332D">
              <w:rPr>
                <w:rFonts w:ascii="Arial" w:hAnsi="Arial" w:cs="Arial"/>
              </w:rPr>
              <w:t>KPI</w:t>
            </w:r>
            <w:r w:rsidRPr="01794E88" w:rsidR="002B1AD2">
              <w:rPr>
                <w:rFonts w:ascii="Arial" w:hAnsi="Arial" w:cs="Arial"/>
              </w:rPr>
              <w:t xml:space="preserve"> </w:t>
            </w:r>
            <w:r w:rsidRPr="01794E88" w:rsidR="00F6332D">
              <w:rPr>
                <w:rFonts w:ascii="Arial" w:hAnsi="Arial" w:cs="Arial"/>
              </w:rPr>
              <w:t xml:space="preserve">1: </w:t>
            </w:r>
            <w:r w:rsidRPr="01794E88" w:rsidR="06B379B8">
              <w:rPr>
                <w:rFonts w:ascii="Aptos" w:hAnsi="Aptos" w:eastAsia="Aptos" w:cs="Aptos"/>
                <w:noProof w:val="0"/>
                <w:sz w:val="22"/>
                <w:szCs w:val="22"/>
                <w:lang w:val="en-GB"/>
              </w:rPr>
              <w:t>Urgent Removals (7 Working Days) – 98%</w:t>
            </w:r>
          </w:p>
          <w:p w:rsidR="00F6332D" w:rsidP="01794E88" w:rsidRDefault="00F6332D" w14:paraId="7008CCEC" w14:textId="56E106AB">
            <w:pPr>
              <w:spacing w:before="0" w:beforeAutospacing="off" w:after="0" w:afterAutospacing="off"/>
              <w:rPr>
                <w:rFonts w:ascii="Arial" w:hAnsi="Arial" w:cs="Arial"/>
              </w:rPr>
            </w:pPr>
            <w:r w:rsidRPr="01794E88" w:rsidR="00F6332D">
              <w:rPr>
                <w:rFonts w:ascii="Arial" w:hAnsi="Arial" w:cs="Arial"/>
              </w:rPr>
              <w:t>KPI</w:t>
            </w:r>
            <w:r w:rsidRPr="01794E88" w:rsidR="002B1AD2">
              <w:rPr>
                <w:rFonts w:ascii="Arial" w:hAnsi="Arial" w:cs="Arial"/>
              </w:rPr>
              <w:t xml:space="preserve"> </w:t>
            </w:r>
            <w:r w:rsidRPr="01794E88" w:rsidR="00F6332D">
              <w:rPr>
                <w:rFonts w:ascii="Arial" w:hAnsi="Arial" w:cs="Arial"/>
              </w:rPr>
              <w:t xml:space="preserve">2: </w:t>
            </w:r>
            <w:r w:rsidRPr="01794E88" w:rsidR="04F2DF20">
              <w:rPr>
                <w:rFonts w:ascii="Aptos" w:hAnsi="Aptos" w:eastAsia="Aptos" w:cs="Aptos"/>
                <w:noProof w:val="0"/>
                <w:sz w:val="22"/>
                <w:szCs w:val="22"/>
                <w:lang w:val="en-GB"/>
              </w:rPr>
              <w:t>Non Urgent Removals (28 Days) – 98%</w:t>
            </w:r>
          </w:p>
          <w:p w:rsidR="002B1AD2" w:rsidP="00582A4B" w:rsidRDefault="002B1AD2" w14:paraId="4686D5C7" w14:textId="382C459F">
            <w:pPr>
              <w:spacing w:before="60" w:after="120"/>
              <w:rPr>
                <w:rFonts w:ascii="Arial" w:hAnsi="Arial" w:cs="Arial"/>
              </w:rPr>
            </w:pPr>
          </w:p>
        </w:tc>
      </w:tr>
    </w:tbl>
    <w:p w:rsidR="00461F7D" w:rsidP="00461F7D" w:rsidRDefault="00461F7D" w14:paraId="281881EB" w14:textId="77777777">
      <w:pPr>
        <w:spacing w:after="120" w:line="240" w:lineRule="auto"/>
        <w:rPr>
          <w:rFonts w:ascii="Arial" w:hAnsi="Arial" w:cs="Arial"/>
        </w:rPr>
      </w:pPr>
    </w:p>
    <w:p w:rsidRPr="00DC4F61" w:rsidR="00DC4F61" w:rsidRDefault="00DC4F61" w14:paraId="3BC00387" w14:textId="0704628B">
      <w:pPr>
        <w:rPr>
          <w:rFonts w:ascii="Arial" w:hAnsi="Arial" w:cs="Arial"/>
          <w:sz w:val="20"/>
          <w:szCs w:val="20"/>
        </w:rPr>
      </w:pPr>
      <w:r w:rsidRPr="00DC4F61">
        <w:rPr>
          <w:rFonts w:ascii="Arial" w:hAnsi="Arial" w:cs="Arial"/>
          <w:sz w:val="20"/>
          <w:szCs w:val="20"/>
        </w:rPr>
        <w:br w:type="page"/>
      </w:r>
    </w:p>
    <w:p w:rsidRPr="00F601C8" w:rsidR="00461F7D" w:rsidP="00461F7D" w:rsidRDefault="00461F7D" w14:paraId="5054146E" w14:textId="3E3A5197">
      <w:pPr>
        <w:spacing w:after="120" w:line="240" w:lineRule="auto"/>
        <w:rPr>
          <w:rFonts w:ascii="Open Sans" w:hAnsi="Open Sans" w:cs="Open Sans"/>
          <w:sz w:val="32"/>
          <w:szCs w:val="32"/>
        </w:rPr>
      </w:pPr>
      <w:r w:rsidRPr="01794E88" w:rsidR="00461F7D">
        <w:rPr>
          <w:rFonts w:ascii="Open Sans" w:hAnsi="Open Sans" w:cs="Open Sans"/>
          <w:b w:val="1"/>
          <w:bCs w:val="1"/>
          <w:sz w:val="32"/>
          <w:szCs w:val="32"/>
        </w:rPr>
        <w:t xml:space="preserve">KPI </w:t>
      </w:r>
      <w:r w:rsidRPr="01794E88" w:rsidR="22F8F6D2">
        <w:rPr>
          <w:rFonts w:ascii="Open Sans" w:hAnsi="Open Sans" w:cs="Open Sans"/>
          <w:b w:val="1"/>
          <w:bCs w:val="1"/>
          <w:sz w:val="32"/>
          <w:szCs w:val="32"/>
        </w:rPr>
        <w:t>3</w:t>
      </w:r>
      <w:r w:rsidRPr="01794E88" w:rsidR="00461F7D">
        <w:rPr>
          <w:rFonts w:ascii="Open Sans" w:hAnsi="Open Sans" w:cs="Open Sans"/>
          <w:b w:val="1"/>
          <w:bCs w:val="1"/>
          <w:sz w:val="32"/>
          <w:szCs w:val="32"/>
        </w:rPr>
        <w:t>:</w:t>
      </w:r>
      <w:r w:rsidRPr="01794E88" w:rsidR="00461F7D">
        <w:rPr>
          <w:rFonts w:ascii="Open Sans" w:hAnsi="Open Sans" w:cs="Open Sans"/>
          <w:sz w:val="32"/>
          <w:szCs w:val="32"/>
        </w:rPr>
        <w:t xml:space="preserve"> </w:t>
      </w:r>
      <w:r w:rsidRPr="01794E88" w:rsidR="00A45DEF">
        <w:rPr>
          <w:rFonts w:ascii="Open Sans" w:hAnsi="Open Sans" w:cs="Open Sans"/>
          <w:sz w:val="32"/>
          <w:szCs w:val="32"/>
        </w:rPr>
        <w:t>Contractor/Site Safety</w:t>
      </w:r>
    </w:p>
    <w:tbl>
      <w:tblPr>
        <w:tblStyle w:val="TableGrid"/>
        <w:tblW w:w="0" w:type="auto"/>
        <w:tblBorders>
          <w:top w:val="none" w:color="auto" w:sz="0" w:space="0"/>
          <w:left w:val="none" w:color="auto" w:sz="0" w:space="0"/>
          <w:bottom w:val="none" w:color="auto" w:sz="0" w:space="0"/>
          <w:right w:val="none" w:color="auto" w:sz="0" w:space="0"/>
          <w:insideH w:val="single" w:color="005A70" w:sz="4" w:space="0"/>
          <w:insideV w:val="single" w:color="005A70" w:sz="4" w:space="0"/>
        </w:tblBorders>
        <w:tblLook w:val="04A0" w:firstRow="1" w:lastRow="0" w:firstColumn="1" w:lastColumn="0" w:noHBand="0" w:noVBand="1"/>
      </w:tblPr>
      <w:tblGrid>
        <w:gridCol w:w="1513"/>
        <w:gridCol w:w="7513"/>
      </w:tblGrid>
      <w:tr w:rsidR="00C70C5F" w:rsidTr="00CA12B5" w14:paraId="6512978C" w14:textId="77777777">
        <w:tc>
          <w:tcPr>
            <w:tcW w:w="1526" w:type="dxa"/>
          </w:tcPr>
          <w:p w:rsidR="00C70C5F" w:rsidP="00C70C5F" w:rsidRDefault="00C70C5F" w14:paraId="44A09741" w14:textId="77777777">
            <w:pPr>
              <w:spacing w:before="60" w:after="60"/>
              <w:rPr>
                <w:rFonts w:ascii="Arial" w:hAnsi="Arial" w:cs="Arial"/>
              </w:rPr>
            </w:pPr>
            <w:r>
              <w:rPr>
                <w:rFonts w:ascii="Arial" w:hAnsi="Arial" w:cs="Arial"/>
              </w:rPr>
              <w:t>Purpose:</w:t>
            </w:r>
          </w:p>
        </w:tc>
        <w:tc>
          <w:tcPr>
            <w:tcW w:w="7716" w:type="dxa"/>
          </w:tcPr>
          <w:p w:rsidR="00C70C5F" w:rsidP="00C70C5F" w:rsidRDefault="00C70C5F" w14:paraId="5FD7638A" w14:textId="75FB0394">
            <w:pPr>
              <w:spacing w:before="60" w:after="60"/>
              <w:rPr>
                <w:rFonts w:ascii="Arial" w:hAnsi="Arial" w:cs="Arial"/>
              </w:rPr>
            </w:pPr>
            <w:r w:rsidRPr="002501E7">
              <w:rPr>
                <w:rFonts w:ascii="Arial" w:hAnsi="Arial" w:cs="Arial"/>
              </w:rPr>
              <w:t>To determine the level reportable of accidents and incidents with a view to implementing remedial action to avoid reoccurrence.</w:t>
            </w:r>
          </w:p>
        </w:tc>
      </w:tr>
      <w:tr w:rsidR="00C70C5F" w:rsidTr="00CA12B5" w14:paraId="4FBE00F8" w14:textId="77777777">
        <w:tc>
          <w:tcPr>
            <w:tcW w:w="1526" w:type="dxa"/>
          </w:tcPr>
          <w:p w:rsidR="00C70C5F" w:rsidP="00C70C5F" w:rsidRDefault="00C70C5F" w14:paraId="154CBDB7" w14:textId="77777777">
            <w:pPr>
              <w:spacing w:before="60" w:after="60"/>
              <w:rPr>
                <w:rFonts w:ascii="Arial" w:hAnsi="Arial" w:cs="Arial"/>
              </w:rPr>
            </w:pPr>
            <w:r>
              <w:rPr>
                <w:rFonts w:ascii="Arial" w:hAnsi="Arial" w:cs="Arial"/>
              </w:rPr>
              <w:t>Definition:</w:t>
            </w:r>
          </w:p>
        </w:tc>
        <w:tc>
          <w:tcPr>
            <w:tcW w:w="7716" w:type="dxa"/>
          </w:tcPr>
          <w:p w:rsidR="00C70C5F" w:rsidP="00C70C5F" w:rsidRDefault="00C70C5F" w14:paraId="3C16BF84" w14:textId="10B0DDB7">
            <w:pPr>
              <w:spacing w:before="60" w:after="60"/>
              <w:rPr>
                <w:rFonts w:ascii="Arial" w:hAnsi="Arial" w:cs="Arial"/>
              </w:rPr>
            </w:pPr>
            <w:r w:rsidRPr="002501E7">
              <w:rPr>
                <w:rFonts w:ascii="Arial" w:hAnsi="Arial" w:cs="Arial"/>
              </w:rPr>
              <w:t>The number of reportable accidents</w:t>
            </w:r>
            <w:r w:rsidR="002B1AD2">
              <w:rPr>
                <w:rFonts w:ascii="Arial" w:hAnsi="Arial" w:cs="Arial"/>
              </w:rPr>
              <w:t xml:space="preserve">, </w:t>
            </w:r>
            <w:r w:rsidRPr="002501E7">
              <w:rPr>
                <w:rFonts w:ascii="Arial" w:hAnsi="Arial" w:cs="Arial"/>
              </w:rPr>
              <w:t xml:space="preserve">incidents </w:t>
            </w:r>
            <w:r w:rsidR="002B1AD2">
              <w:rPr>
                <w:rFonts w:ascii="Arial" w:hAnsi="Arial" w:cs="Arial"/>
              </w:rPr>
              <w:t xml:space="preserve">and/or near misses during contracted works. </w:t>
            </w:r>
          </w:p>
        </w:tc>
      </w:tr>
      <w:tr w:rsidR="00C70C5F" w:rsidTr="00CA12B5" w14:paraId="3396FE94" w14:textId="77777777">
        <w:tc>
          <w:tcPr>
            <w:tcW w:w="1526" w:type="dxa"/>
          </w:tcPr>
          <w:p w:rsidR="00C70C5F" w:rsidP="00C70C5F" w:rsidRDefault="00C70C5F" w14:paraId="47381803" w14:textId="77777777">
            <w:pPr>
              <w:spacing w:before="60"/>
              <w:rPr>
                <w:rFonts w:ascii="Arial" w:hAnsi="Arial" w:cs="Arial"/>
              </w:rPr>
            </w:pPr>
            <w:r>
              <w:rPr>
                <w:rFonts w:ascii="Arial" w:hAnsi="Arial" w:cs="Arial"/>
              </w:rPr>
              <w:t>Method:</w:t>
            </w:r>
          </w:p>
        </w:tc>
        <w:tc>
          <w:tcPr>
            <w:tcW w:w="7716" w:type="dxa"/>
          </w:tcPr>
          <w:p w:rsidRPr="00FF30D0" w:rsidR="00C70C5F" w:rsidP="00C70C5F" w:rsidRDefault="00C70C5F" w14:paraId="7DC52D78" w14:textId="77777777">
            <w:pPr>
              <w:spacing w:before="60" w:after="120"/>
              <w:rPr>
                <w:rFonts w:ascii="Arial" w:hAnsi="Arial" w:cs="Arial"/>
              </w:rPr>
            </w:pPr>
            <w:r w:rsidRPr="00FF30D0">
              <w:rPr>
                <w:rFonts w:ascii="Arial" w:hAnsi="Arial" w:cs="Arial"/>
              </w:rPr>
              <w:t>All site-based operatives should be included in the calculation. This should include directly employed contractor staff/operatives and regular sub</w:t>
            </w:r>
            <w:r>
              <w:rPr>
                <w:rFonts w:ascii="Arial" w:hAnsi="Arial" w:cs="Arial"/>
              </w:rPr>
              <w:t>-contracting operatives.</w:t>
            </w:r>
            <w:r w:rsidRPr="00FF30D0">
              <w:rPr>
                <w:rFonts w:ascii="Arial" w:hAnsi="Arial" w:cs="Arial"/>
              </w:rPr>
              <w:t xml:space="preserve"> Customer and site-based administration should be included where directly employed or sub</w:t>
            </w:r>
            <w:r>
              <w:rPr>
                <w:rFonts w:ascii="Arial" w:hAnsi="Arial" w:cs="Arial"/>
              </w:rPr>
              <w:t>-</w:t>
            </w:r>
            <w:r w:rsidRPr="00FF30D0">
              <w:rPr>
                <w:rFonts w:ascii="Arial" w:hAnsi="Arial" w:cs="Arial"/>
              </w:rPr>
              <w:t>contracting employees work between sites – in these instances an average should be applied. It is permissible to exclude short-term contracting arrangements such as delivery drivers, catering etc.</w:t>
            </w:r>
          </w:p>
          <w:p w:rsidRPr="00FF30D0" w:rsidR="00C70C5F" w:rsidP="00C70C5F" w:rsidRDefault="00C70C5F" w14:paraId="106E5A58" w14:textId="77777777">
            <w:pPr>
              <w:spacing w:before="60" w:after="120"/>
              <w:rPr>
                <w:rFonts w:ascii="Arial" w:hAnsi="Arial" w:cs="Arial"/>
              </w:rPr>
            </w:pPr>
            <w:r w:rsidRPr="00FF30D0">
              <w:rPr>
                <w:rFonts w:ascii="Arial" w:hAnsi="Arial" w:cs="Arial"/>
              </w:rPr>
              <w:t xml:space="preserve">The Contractor shall keep records of </w:t>
            </w:r>
            <w:r>
              <w:rPr>
                <w:rFonts w:ascii="Arial" w:hAnsi="Arial" w:cs="Arial"/>
              </w:rPr>
              <w:t xml:space="preserve">all accidents, injuries and near misses </w:t>
            </w:r>
            <w:r w:rsidRPr="00FF30D0">
              <w:rPr>
                <w:rFonts w:ascii="Arial" w:hAnsi="Arial" w:cs="Arial"/>
              </w:rPr>
              <w:t xml:space="preserve">at work and report </w:t>
            </w:r>
            <w:r>
              <w:rPr>
                <w:rFonts w:ascii="Arial" w:hAnsi="Arial" w:cs="Arial"/>
              </w:rPr>
              <w:t>those as defined under RIDDOR to the HSE.</w:t>
            </w:r>
          </w:p>
          <w:p w:rsidRPr="00FF30D0" w:rsidR="00C70C5F" w:rsidP="00C70C5F" w:rsidRDefault="00C70C5F" w14:paraId="748C9E48" w14:textId="77777777">
            <w:pPr>
              <w:spacing w:before="60" w:after="120"/>
              <w:rPr>
                <w:rFonts w:ascii="Arial" w:hAnsi="Arial" w:cs="Arial"/>
              </w:rPr>
            </w:pPr>
            <w:r w:rsidRPr="00FF30D0">
              <w:rPr>
                <w:rFonts w:ascii="Arial" w:hAnsi="Arial" w:cs="Arial"/>
              </w:rPr>
              <w:t>"Reportable" injuries will be used in the calculations. These include fatal and major injuries to employees, self-employed people and members of the public.</w:t>
            </w:r>
          </w:p>
          <w:p w:rsidRPr="00FF30D0" w:rsidR="00C70C5F" w:rsidP="00C70C5F" w:rsidRDefault="00C70C5F" w14:paraId="51A138D3" w14:textId="77777777">
            <w:pPr>
              <w:spacing w:before="60" w:after="120"/>
              <w:rPr>
                <w:rFonts w:ascii="Arial" w:hAnsi="Arial" w:cs="Arial"/>
              </w:rPr>
            </w:pPr>
            <w:r w:rsidRPr="00FF30D0">
              <w:rPr>
                <w:rFonts w:ascii="Arial" w:hAnsi="Arial" w:cs="Arial"/>
              </w:rPr>
              <w:t xml:space="preserve">These are classed as injuries and cause incapacity from work for more than </w:t>
            </w:r>
            <w:r>
              <w:rPr>
                <w:rFonts w:ascii="Arial" w:hAnsi="Arial" w:cs="Arial"/>
              </w:rPr>
              <w:t>7</w:t>
            </w:r>
            <w:r w:rsidRPr="00FF30D0">
              <w:rPr>
                <w:rFonts w:ascii="Arial" w:hAnsi="Arial" w:cs="Arial"/>
              </w:rPr>
              <w:t xml:space="preserve"> days to employees. Reportable major injuries are:</w:t>
            </w:r>
          </w:p>
          <w:p w:rsidRPr="00FF30D0" w:rsidR="00C70C5F" w:rsidP="00C70C5F" w:rsidRDefault="00C70C5F" w14:paraId="310DDC7B" w14:textId="77777777">
            <w:pPr>
              <w:numPr>
                <w:ilvl w:val="0"/>
                <w:numId w:val="2"/>
              </w:numPr>
              <w:ind w:left="459" w:hanging="425"/>
              <w:rPr>
                <w:rFonts w:ascii="Arial" w:hAnsi="Arial" w:cs="Arial"/>
              </w:rPr>
            </w:pPr>
            <w:r w:rsidRPr="00FF30D0">
              <w:rPr>
                <w:rFonts w:ascii="Arial" w:hAnsi="Arial" w:cs="Arial"/>
              </w:rPr>
              <w:t>fracture other than fingers or thumbs or knee amputation.</w:t>
            </w:r>
          </w:p>
          <w:p w:rsidRPr="00FF30D0" w:rsidR="00C70C5F" w:rsidP="00C70C5F" w:rsidRDefault="00C70C5F" w14:paraId="7BD02EC0" w14:textId="77777777">
            <w:pPr>
              <w:numPr>
                <w:ilvl w:val="0"/>
                <w:numId w:val="2"/>
              </w:numPr>
              <w:ind w:left="459" w:hanging="425"/>
              <w:rPr>
                <w:rFonts w:ascii="Arial" w:hAnsi="Arial" w:cs="Arial"/>
              </w:rPr>
            </w:pPr>
            <w:r w:rsidRPr="00FF30D0">
              <w:rPr>
                <w:rFonts w:ascii="Arial" w:hAnsi="Arial" w:cs="Arial"/>
              </w:rPr>
              <w:t>dislocation of shoulder, hip, knee or spine.</w:t>
            </w:r>
          </w:p>
          <w:p w:rsidRPr="00FF30D0" w:rsidR="00C70C5F" w:rsidP="00C70C5F" w:rsidRDefault="00C70C5F" w14:paraId="7C9E744E" w14:textId="77777777">
            <w:pPr>
              <w:numPr>
                <w:ilvl w:val="0"/>
                <w:numId w:val="2"/>
              </w:numPr>
              <w:ind w:left="459" w:hanging="425"/>
              <w:rPr>
                <w:rFonts w:ascii="Arial" w:hAnsi="Arial" w:cs="Arial"/>
              </w:rPr>
            </w:pPr>
            <w:r w:rsidRPr="00FF30D0">
              <w:rPr>
                <w:rFonts w:ascii="Arial" w:hAnsi="Arial" w:cs="Arial"/>
              </w:rPr>
              <w:t>loss of sight, temporary or permanent.</w:t>
            </w:r>
          </w:p>
          <w:p w:rsidRPr="00FF30D0" w:rsidR="00C70C5F" w:rsidP="00C70C5F" w:rsidRDefault="00C70C5F" w14:paraId="65E0DE94" w14:textId="77777777">
            <w:pPr>
              <w:numPr>
                <w:ilvl w:val="0"/>
                <w:numId w:val="2"/>
              </w:numPr>
              <w:ind w:left="459" w:hanging="425"/>
              <w:rPr>
                <w:rFonts w:ascii="Arial" w:hAnsi="Arial" w:cs="Arial"/>
              </w:rPr>
            </w:pPr>
            <w:r w:rsidRPr="00FF30D0">
              <w:rPr>
                <w:rFonts w:ascii="Arial" w:hAnsi="Arial" w:cs="Arial"/>
              </w:rPr>
              <w:t>chemical or hot burn to the eye.</w:t>
            </w:r>
          </w:p>
          <w:p w:rsidRPr="00FF30D0" w:rsidR="00C70C5F" w:rsidP="00C70C5F" w:rsidRDefault="00C70C5F" w14:paraId="7EC7B28C" w14:textId="77777777">
            <w:pPr>
              <w:numPr>
                <w:ilvl w:val="0"/>
                <w:numId w:val="2"/>
              </w:numPr>
              <w:ind w:left="459" w:hanging="425"/>
              <w:rPr>
                <w:rFonts w:ascii="Arial" w:hAnsi="Arial" w:cs="Arial"/>
              </w:rPr>
            </w:pPr>
            <w:r w:rsidRPr="00FF30D0">
              <w:rPr>
                <w:rFonts w:ascii="Arial" w:hAnsi="Arial" w:cs="Arial"/>
              </w:rPr>
              <w:t>electric shock leading to unconsciousness.</w:t>
            </w:r>
          </w:p>
          <w:p w:rsidRPr="00FF30D0" w:rsidR="00C70C5F" w:rsidP="00C70C5F" w:rsidRDefault="00C70C5F" w14:paraId="4E199C72" w14:textId="77777777">
            <w:pPr>
              <w:numPr>
                <w:ilvl w:val="0"/>
                <w:numId w:val="2"/>
              </w:numPr>
              <w:ind w:left="459" w:hanging="425"/>
              <w:rPr>
                <w:rFonts w:ascii="Arial" w:hAnsi="Arial" w:cs="Arial"/>
              </w:rPr>
            </w:pPr>
            <w:r w:rsidRPr="00FF30D0">
              <w:rPr>
                <w:rFonts w:ascii="Arial" w:hAnsi="Arial" w:cs="Arial"/>
              </w:rPr>
              <w:t>unconsciousness caused by asphyxia.</w:t>
            </w:r>
          </w:p>
          <w:p w:rsidR="00C70C5F" w:rsidP="00C70C5F" w:rsidRDefault="00C70C5F" w14:paraId="20C152EC" w14:textId="4793975B">
            <w:pPr>
              <w:numPr>
                <w:ilvl w:val="0"/>
                <w:numId w:val="2"/>
              </w:numPr>
              <w:spacing w:after="60"/>
              <w:ind w:left="459" w:hanging="425"/>
              <w:rPr>
                <w:rFonts w:ascii="Arial" w:hAnsi="Arial" w:cs="Arial"/>
              </w:rPr>
            </w:pPr>
            <w:r w:rsidRPr="00FF30D0">
              <w:rPr>
                <w:rFonts w:ascii="Arial" w:hAnsi="Arial" w:cs="Arial"/>
              </w:rPr>
              <w:t>acute illness requiring medical treatment.</w:t>
            </w:r>
          </w:p>
        </w:tc>
      </w:tr>
      <w:tr w:rsidR="00C70C5F" w:rsidTr="00CA12B5" w14:paraId="7D97935B" w14:textId="77777777">
        <w:tc>
          <w:tcPr>
            <w:tcW w:w="1526" w:type="dxa"/>
          </w:tcPr>
          <w:p w:rsidR="00C70C5F" w:rsidP="00C70C5F" w:rsidRDefault="00C70C5F" w14:paraId="42B13B3F" w14:textId="77777777">
            <w:pPr>
              <w:spacing w:before="60"/>
              <w:rPr>
                <w:rFonts w:ascii="Arial" w:hAnsi="Arial" w:cs="Arial"/>
              </w:rPr>
            </w:pPr>
            <w:r>
              <w:rPr>
                <w:rFonts w:ascii="Arial" w:hAnsi="Arial" w:cs="Arial"/>
              </w:rPr>
              <w:t>Target:</w:t>
            </w:r>
          </w:p>
        </w:tc>
        <w:tc>
          <w:tcPr>
            <w:tcW w:w="7716" w:type="dxa"/>
          </w:tcPr>
          <w:p w:rsidR="002B1AD2" w:rsidP="00C70C5F" w:rsidRDefault="002B1AD2" w14:paraId="7EC9EC25" w14:textId="404C3A49">
            <w:pPr>
              <w:spacing w:before="60" w:after="120"/>
              <w:rPr>
                <w:rFonts w:ascii="Arial" w:hAnsi="Arial" w:cs="Arial"/>
              </w:rPr>
            </w:pPr>
            <w:r>
              <w:rPr>
                <w:rFonts w:ascii="Arial" w:hAnsi="Arial" w:cs="Arial"/>
              </w:rPr>
              <w:t>Total number of all accidents, incidents and near misses: 0</w:t>
            </w:r>
          </w:p>
          <w:p w:rsidR="002B1AD2" w:rsidP="00C70C5F" w:rsidRDefault="002B1AD2" w14:paraId="669D876D" w14:textId="77777777">
            <w:pPr>
              <w:spacing w:before="60" w:after="120"/>
              <w:rPr>
                <w:rFonts w:ascii="Arial" w:hAnsi="Arial" w:cs="Arial"/>
              </w:rPr>
            </w:pPr>
          </w:p>
          <w:p w:rsidR="00C70C5F" w:rsidP="00C70C5F" w:rsidRDefault="00C70C5F" w14:paraId="243AC4AB" w14:textId="2375507D">
            <w:pPr>
              <w:spacing w:before="60" w:after="120"/>
              <w:rPr>
                <w:rFonts w:ascii="Arial" w:hAnsi="Arial" w:cs="Arial"/>
              </w:rPr>
            </w:pPr>
            <w:r w:rsidRPr="00FF30D0">
              <w:rPr>
                <w:rFonts w:ascii="Arial" w:hAnsi="Arial" w:cs="Arial"/>
              </w:rPr>
              <w:t>%</w:t>
            </w:r>
            <w:r>
              <w:rPr>
                <w:rFonts w:ascii="Arial" w:hAnsi="Arial" w:cs="Arial"/>
              </w:rPr>
              <w:t xml:space="preserve"> of</w:t>
            </w:r>
            <w:r w:rsidRPr="00FF30D0">
              <w:rPr>
                <w:rFonts w:ascii="Arial" w:hAnsi="Arial" w:cs="Arial"/>
              </w:rPr>
              <w:t xml:space="preserve"> </w:t>
            </w:r>
            <w:r>
              <w:rPr>
                <w:rFonts w:ascii="Arial" w:hAnsi="Arial" w:cs="Arial"/>
              </w:rPr>
              <w:t>r</w:t>
            </w:r>
            <w:r w:rsidRPr="00FF30D0">
              <w:rPr>
                <w:rFonts w:ascii="Arial" w:hAnsi="Arial" w:cs="Arial"/>
              </w:rPr>
              <w:t>eportable accidents or incidents as defined under RIDDOR</w:t>
            </w:r>
            <w:r>
              <w:rPr>
                <w:rFonts w:ascii="Arial" w:hAnsi="Arial" w:cs="Arial"/>
              </w:rPr>
              <w:t xml:space="preserve"> reported to the HSE within the required timeframe ≡ 100%</w:t>
            </w:r>
          </w:p>
        </w:tc>
      </w:tr>
    </w:tbl>
    <w:p w:rsidR="00461F7D" w:rsidP="00461F7D" w:rsidRDefault="00461F7D" w14:paraId="3AFD15F3" w14:textId="77777777">
      <w:pPr>
        <w:spacing w:after="120" w:line="240" w:lineRule="auto"/>
        <w:rPr>
          <w:rFonts w:ascii="Arial" w:hAnsi="Arial" w:cs="Arial"/>
        </w:rPr>
      </w:pPr>
    </w:p>
    <w:p w:rsidR="00D1018E" w:rsidRDefault="00D1018E" w14:paraId="1A3FE9EA" w14:textId="161C4B5B">
      <w:pPr>
        <w:rPr>
          <w:rFonts w:ascii="Arial" w:hAnsi="Arial" w:cs="Arial"/>
        </w:rPr>
      </w:pPr>
      <w:r>
        <w:rPr>
          <w:rFonts w:ascii="Arial" w:hAnsi="Arial" w:cs="Arial"/>
        </w:rPr>
        <w:br w:type="page"/>
      </w:r>
    </w:p>
    <w:p w:rsidR="00D03636" w:rsidRDefault="00D03636" w14:paraId="56839F0D" w14:textId="12798A05">
      <w:pPr>
        <w:rPr>
          <w:rFonts w:ascii="Arial" w:hAnsi="Arial" w:cs="Arial"/>
        </w:rPr>
      </w:pPr>
    </w:p>
    <w:p w:rsidRPr="00F601C8" w:rsidR="00D03636" w:rsidP="00D03636" w:rsidRDefault="00D03636" w14:paraId="2258F908" w14:textId="5552FB86">
      <w:pPr>
        <w:spacing w:after="120" w:line="240" w:lineRule="auto"/>
        <w:rPr>
          <w:rFonts w:ascii="Open Sans" w:hAnsi="Open Sans" w:cs="Open Sans"/>
          <w:sz w:val="32"/>
          <w:szCs w:val="32"/>
        </w:rPr>
      </w:pPr>
      <w:r w:rsidRPr="01794E88" w:rsidR="00D03636">
        <w:rPr>
          <w:rFonts w:ascii="Open Sans" w:hAnsi="Open Sans" w:cs="Open Sans"/>
          <w:b w:val="1"/>
          <w:bCs w:val="1"/>
          <w:sz w:val="32"/>
          <w:szCs w:val="32"/>
        </w:rPr>
        <w:t xml:space="preserve">KPI </w:t>
      </w:r>
      <w:r w:rsidRPr="01794E88" w:rsidR="36083B51">
        <w:rPr>
          <w:rFonts w:ascii="Open Sans" w:hAnsi="Open Sans" w:cs="Open Sans"/>
          <w:b w:val="1"/>
          <w:bCs w:val="1"/>
          <w:sz w:val="32"/>
          <w:szCs w:val="32"/>
        </w:rPr>
        <w:t>4</w:t>
      </w:r>
      <w:r w:rsidRPr="01794E88" w:rsidR="00D03636">
        <w:rPr>
          <w:rFonts w:ascii="Open Sans" w:hAnsi="Open Sans" w:cs="Open Sans"/>
          <w:b w:val="1"/>
          <w:bCs w:val="1"/>
          <w:sz w:val="32"/>
          <w:szCs w:val="32"/>
        </w:rPr>
        <w:t>:</w:t>
      </w:r>
      <w:r w:rsidRPr="01794E88" w:rsidR="00D03636">
        <w:rPr>
          <w:rFonts w:ascii="Open Sans" w:hAnsi="Open Sans" w:cs="Open Sans"/>
          <w:sz w:val="32"/>
          <w:szCs w:val="32"/>
        </w:rPr>
        <w:t xml:space="preserve"> C</w:t>
      </w:r>
      <w:r w:rsidRPr="01794E88" w:rsidR="00D03636">
        <w:rPr>
          <w:rFonts w:ascii="Open Sans" w:hAnsi="Open Sans" w:cs="Open Sans"/>
          <w:sz w:val="32"/>
          <w:szCs w:val="32"/>
        </w:rPr>
        <w:t>ompl</w:t>
      </w:r>
      <w:r w:rsidRPr="01794E88" w:rsidR="002B1AD2">
        <w:rPr>
          <w:rFonts w:ascii="Open Sans" w:hAnsi="Open Sans" w:cs="Open Sans"/>
          <w:sz w:val="32"/>
          <w:szCs w:val="32"/>
        </w:rPr>
        <w:t>aints</w:t>
      </w:r>
    </w:p>
    <w:tbl>
      <w:tblPr>
        <w:tblStyle w:val="TableGrid"/>
        <w:tblW w:w="0" w:type="auto"/>
        <w:tblBorders>
          <w:top w:val="none" w:color="auto" w:sz="0" w:space="0"/>
          <w:left w:val="none" w:color="auto" w:sz="0" w:space="0"/>
          <w:bottom w:val="none" w:color="auto" w:sz="0" w:space="0"/>
          <w:right w:val="none" w:color="auto" w:sz="0" w:space="0"/>
          <w:insideH w:val="single" w:color="005A70" w:sz="4" w:space="0"/>
          <w:insideV w:val="single" w:color="005A70" w:sz="4" w:space="0"/>
        </w:tblBorders>
        <w:tblLook w:val="04A0" w:firstRow="1" w:lastRow="0" w:firstColumn="1" w:lastColumn="0" w:noHBand="0" w:noVBand="1"/>
      </w:tblPr>
      <w:tblGrid>
        <w:gridCol w:w="1515"/>
        <w:gridCol w:w="7511"/>
      </w:tblGrid>
      <w:tr w:rsidR="00D03636" w:rsidTr="007F67A7" w14:paraId="73A4463D" w14:textId="77777777">
        <w:tc>
          <w:tcPr>
            <w:tcW w:w="1526" w:type="dxa"/>
          </w:tcPr>
          <w:p w:rsidR="00D03636" w:rsidP="007F67A7" w:rsidRDefault="00D03636" w14:paraId="4A565A68" w14:textId="77777777">
            <w:pPr>
              <w:spacing w:before="60" w:after="60"/>
              <w:rPr>
                <w:rFonts w:ascii="Arial" w:hAnsi="Arial" w:cs="Arial"/>
              </w:rPr>
            </w:pPr>
            <w:r>
              <w:rPr>
                <w:rFonts w:ascii="Arial" w:hAnsi="Arial" w:cs="Arial"/>
              </w:rPr>
              <w:t>Purpose:</w:t>
            </w:r>
          </w:p>
        </w:tc>
        <w:tc>
          <w:tcPr>
            <w:tcW w:w="7716" w:type="dxa"/>
          </w:tcPr>
          <w:p w:rsidR="00D03636" w:rsidP="007F67A7" w:rsidRDefault="00D03636" w14:paraId="6DD731F4" w14:textId="0C4745D0">
            <w:pPr>
              <w:spacing w:before="60" w:after="60"/>
              <w:rPr>
                <w:rFonts w:ascii="Arial" w:hAnsi="Arial" w:cs="Arial"/>
              </w:rPr>
            </w:pPr>
            <w:r w:rsidRPr="002501E7">
              <w:rPr>
                <w:rFonts w:ascii="Arial" w:hAnsi="Arial" w:cs="Arial"/>
              </w:rPr>
              <w:t xml:space="preserve">To determine </w:t>
            </w:r>
            <w:r w:rsidR="002B1AD2">
              <w:rPr>
                <w:rFonts w:ascii="Arial" w:hAnsi="Arial" w:cs="Arial"/>
              </w:rPr>
              <w:t xml:space="preserve">if there are concerns from our residents leading to complaints of the contractor leading to resolutions and improved levels of service. </w:t>
            </w:r>
          </w:p>
        </w:tc>
      </w:tr>
      <w:tr w:rsidR="00D03636" w:rsidTr="007F67A7" w14:paraId="6BD800D1" w14:textId="77777777">
        <w:tc>
          <w:tcPr>
            <w:tcW w:w="1526" w:type="dxa"/>
          </w:tcPr>
          <w:p w:rsidR="00D03636" w:rsidP="007F67A7" w:rsidRDefault="00D03636" w14:paraId="002781E2" w14:textId="77777777">
            <w:pPr>
              <w:spacing w:before="60" w:after="60"/>
              <w:rPr>
                <w:rFonts w:ascii="Arial" w:hAnsi="Arial" w:cs="Arial"/>
              </w:rPr>
            </w:pPr>
            <w:r>
              <w:rPr>
                <w:rFonts w:ascii="Arial" w:hAnsi="Arial" w:cs="Arial"/>
              </w:rPr>
              <w:t>Definition:</w:t>
            </w:r>
          </w:p>
        </w:tc>
        <w:tc>
          <w:tcPr>
            <w:tcW w:w="7716" w:type="dxa"/>
          </w:tcPr>
          <w:p w:rsidR="00D03636" w:rsidP="007F67A7" w:rsidRDefault="002B1AD2" w14:paraId="06AE67FD" w14:textId="7B1BB36D">
            <w:pPr>
              <w:spacing w:before="60" w:after="60"/>
              <w:rPr>
                <w:rFonts w:ascii="Arial" w:hAnsi="Arial" w:cs="Arial"/>
              </w:rPr>
            </w:pPr>
            <w:r>
              <w:rPr>
                <w:rFonts w:ascii="Arial" w:hAnsi="Arial" w:cs="Arial"/>
              </w:rPr>
              <w:t>Any complaint that is raised by anyone involved with contracted works to either Golding Homes or the Contractor directly.</w:t>
            </w:r>
          </w:p>
        </w:tc>
      </w:tr>
      <w:tr w:rsidR="00D03636" w:rsidTr="007F67A7" w14:paraId="0D10D2DF" w14:textId="77777777">
        <w:tc>
          <w:tcPr>
            <w:tcW w:w="1526" w:type="dxa"/>
          </w:tcPr>
          <w:p w:rsidR="00D03636" w:rsidP="007F67A7" w:rsidRDefault="00D03636" w14:paraId="58A44B13" w14:textId="77777777">
            <w:pPr>
              <w:spacing w:before="60"/>
              <w:rPr>
                <w:rFonts w:ascii="Arial" w:hAnsi="Arial" w:cs="Arial"/>
              </w:rPr>
            </w:pPr>
            <w:r>
              <w:rPr>
                <w:rFonts w:ascii="Arial" w:hAnsi="Arial" w:cs="Arial"/>
              </w:rPr>
              <w:t>Method:</w:t>
            </w:r>
          </w:p>
        </w:tc>
        <w:tc>
          <w:tcPr>
            <w:tcW w:w="7716" w:type="dxa"/>
          </w:tcPr>
          <w:p w:rsidR="000F744A" w:rsidP="0027006C" w:rsidRDefault="002B1AD2" w14:paraId="5BEE1C7D" w14:textId="43E74018">
            <w:pPr>
              <w:spacing w:before="60" w:after="120"/>
              <w:rPr>
                <w:rFonts w:ascii="Arial" w:hAnsi="Arial" w:cs="Arial"/>
              </w:rPr>
            </w:pPr>
            <w:r>
              <w:rPr>
                <w:rFonts w:ascii="Arial" w:hAnsi="Arial" w:cs="Arial"/>
              </w:rPr>
              <w:t xml:space="preserve">Any complaints raised to the contractor shall be communicated to the contract’s administrator within 1 working day, with steps taken to satisfy complaint. </w:t>
            </w:r>
          </w:p>
          <w:p w:rsidR="002B1AD2" w:rsidP="0027006C" w:rsidRDefault="002B1AD2" w14:paraId="054D0365" w14:textId="77777777">
            <w:pPr>
              <w:spacing w:before="60" w:after="120"/>
              <w:rPr>
                <w:rFonts w:ascii="Arial" w:hAnsi="Arial" w:cs="Arial"/>
              </w:rPr>
            </w:pPr>
          </w:p>
          <w:p w:rsidR="002B1AD2" w:rsidP="0027006C" w:rsidRDefault="002B1AD2" w14:paraId="04174DD0" w14:textId="1992C48B">
            <w:pPr>
              <w:spacing w:before="60" w:after="120"/>
              <w:rPr>
                <w:rFonts w:ascii="Arial" w:hAnsi="Arial" w:cs="Arial"/>
              </w:rPr>
            </w:pPr>
            <w:r>
              <w:rPr>
                <w:rFonts w:ascii="Arial" w:hAnsi="Arial" w:cs="Arial"/>
              </w:rPr>
              <w:t>Any complaint raised to Golding Homes will likewise be communicated within 1 working day to the contractor.</w:t>
            </w:r>
          </w:p>
        </w:tc>
      </w:tr>
      <w:tr w:rsidR="00D03636" w:rsidTr="007F67A7" w14:paraId="64F5A5CD" w14:textId="77777777">
        <w:tc>
          <w:tcPr>
            <w:tcW w:w="1526" w:type="dxa"/>
          </w:tcPr>
          <w:p w:rsidR="00D03636" w:rsidP="007F67A7" w:rsidRDefault="00D03636" w14:paraId="5976723A" w14:textId="77777777">
            <w:pPr>
              <w:spacing w:before="60"/>
              <w:rPr>
                <w:rFonts w:ascii="Arial" w:hAnsi="Arial" w:cs="Arial"/>
              </w:rPr>
            </w:pPr>
            <w:r>
              <w:rPr>
                <w:rFonts w:ascii="Arial" w:hAnsi="Arial" w:cs="Arial"/>
              </w:rPr>
              <w:t>Target:</w:t>
            </w:r>
          </w:p>
        </w:tc>
        <w:tc>
          <w:tcPr>
            <w:tcW w:w="7716" w:type="dxa"/>
          </w:tcPr>
          <w:p w:rsidR="00D03636" w:rsidP="007F67A7" w:rsidRDefault="002B1AD2" w14:paraId="30090445" w14:textId="6CCF4015">
            <w:pPr>
              <w:spacing w:before="60" w:after="120"/>
              <w:rPr>
                <w:rFonts w:ascii="Arial" w:hAnsi="Arial" w:cs="Arial"/>
              </w:rPr>
            </w:pPr>
            <w:r>
              <w:rPr>
                <w:rFonts w:ascii="Arial" w:hAnsi="Arial" w:cs="Arial"/>
              </w:rPr>
              <w:t xml:space="preserve">0 </w:t>
            </w:r>
          </w:p>
        </w:tc>
      </w:tr>
    </w:tbl>
    <w:p w:rsidR="00D03636" w:rsidRDefault="00D03636" w14:paraId="5BB0A28E" w14:textId="77777777">
      <w:pPr>
        <w:rPr>
          <w:rFonts w:ascii="Arial" w:hAnsi="Arial" w:cs="Arial"/>
        </w:rPr>
      </w:pPr>
    </w:p>
    <w:p w:rsidR="00D1018E" w:rsidP="001379B1" w:rsidRDefault="00D1018E" w14:paraId="28C9C293" w14:textId="77777777">
      <w:pPr>
        <w:spacing w:after="120" w:line="240" w:lineRule="auto"/>
        <w:rPr>
          <w:rFonts w:ascii="Arial" w:hAnsi="Arial" w:cs="Arial"/>
        </w:rPr>
      </w:pPr>
    </w:p>
    <w:p w:rsidR="00D1018E" w:rsidP="6A300A16" w:rsidRDefault="00D1018E" w14:paraId="1DF01889" w14:textId="689D84ED">
      <w:pPr>
        <w:spacing w:before="0" w:beforeAutospacing="off" w:after="120" w:afterAutospacing="off" w:line="240" w:lineRule="auto"/>
      </w:pPr>
      <w:r w:rsidRPr="01794E88" w:rsidR="1F2C5214">
        <w:rPr>
          <w:rFonts w:ascii="Open Sans" w:hAnsi="Open Sans" w:eastAsia="Open Sans" w:cs="Open Sans"/>
          <w:b w:val="1"/>
          <w:bCs w:val="1"/>
          <w:noProof w:val="0"/>
          <w:sz w:val="32"/>
          <w:szCs w:val="32"/>
          <w:lang w:val="en-GB"/>
        </w:rPr>
        <w:t xml:space="preserve">KPI </w:t>
      </w:r>
      <w:r w:rsidRPr="01794E88" w:rsidR="14A716DF">
        <w:rPr>
          <w:rFonts w:ascii="Open Sans" w:hAnsi="Open Sans" w:eastAsia="Open Sans" w:cs="Open Sans"/>
          <w:b w:val="1"/>
          <w:bCs w:val="1"/>
          <w:noProof w:val="0"/>
          <w:sz w:val="32"/>
          <w:szCs w:val="32"/>
          <w:lang w:val="en-GB"/>
        </w:rPr>
        <w:t>5</w:t>
      </w:r>
      <w:r w:rsidRPr="01794E88" w:rsidR="1F2C5214">
        <w:rPr>
          <w:rFonts w:ascii="Open Sans" w:hAnsi="Open Sans" w:eastAsia="Open Sans" w:cs="Open Sans"/>
          <w:b w:val="1"/>
          <w:bCs w:val="1"/>
          <w:noProof w:val="0"/>
          <w:sz w:val="32"/>
          <w:szCs w:val="32"/>
          <w:lang w:val="en-GB"/>
        </w:rPr>
        <w:t>:</w:t>
      </w:r>
      <w:r w:rsidRPr="01794E88" w:rsidR="1F2C5214">
        <w:rPr>
          <w:rFonts w:ascii="Open Sans" w:hAnsi="Open Sans" w:eastAsia="Open Sans" w:cs="Open Sans"/>
          <w:noProof w:val="0"/>
          <w:sz w:val="32"/>
          <w:szCs w:val="32"/>
          <w:lang w:val="en-GB"/>
        </w:rPr>
        <w:t xml:space="preserve"> Sustainability</w:t>
      </w:r>
    </w:p>
    <w:tbl>
      <w:tblPr>
        <w:tblStyle w:val="TableGrid"/>
        <w:bidiVisual w:val="0"/>
        <w:tblW w:w="0" w:type="auto"/>
        <w:tblLayout w:type="fixed"/>
        <w:tblLook w:val="04A0" w:firstRow="1" w:lastRow="0" w:firstColumn="1" w:lastColumn="0" w:noHBand="0" w:noVBand="1"/>
      </w:tblPr>
      <w:tblGrid>
        <w:gridCol w:w="1526"/>
        <w:gridCol w:w="7716"/>
      </w:tblGrid>
      <w:tr w:rsidR="6A300A16" w:rsidTr="6A300A16" w14:paraId="49F2258A">
        <w:trPr>
          <w:trHeight w:val="300"/>
        </w:trPr>
        <w:tc>
          <w:tcPr>
            <w:tcW w:w="1526" w:type="dxa"/>
            <w:tcBorders>
              <w:top w:val="nil"/>
              <w:left w:val="nil"/>
              <w:bottom w:val="single" w:color="005A70" w:sz="8"/>
              <w:right w:val="single" w:color="005A70" w:sz="8"/>
            </w:tcBorders>
            <w:tcMar>
              <w:left w:w="108" w:type="dxa"/>
              <w:right w:w="108" w:type="dxa"/>
            </w:tcMar>
            <w:vAlign w:val="top"/>
          </w:tcPr>
          <w:p w:rsidR="6A300A16" w:rsidP="6A300A16" w:rsidRDefault="6A300A16" w14:paraId="4D207520" w14:textId="1F6A9D66">
            <w:pPr>
              <w:spacing w:before="60" w:beforeAutospacing="off" w:after="60" w:afterAutospacing="off"/>
            </w:pPr>
            <w:r w:rsidRPr="6A300A16" w:rsidR="6A300A16">
              <w:rPr>
                <w:rFonts w:ascii="Arial" w:hAnsi="Arial" w:eastAsia="Arial" w:cs="Arial"/>
                <w:sz w:val="22"/>
                <w:szCs w:val="22"/>
              </w:rPr>
              <w:t>Purpose:</w:t>
            </w:r>
          </w:p>
        </w:tc>
        <w:tc>
          <w:tcPr>
            <w:tcW w:w="7716" w:type="dxa"/>
            <w:tcBorders>
              <w:top w:val="nil"/>
              <w:left w:val="single" w:color="005A70" w:sz="8"/>
              <w:bottom w:val="single" w:color="005A70" w:sz="8"/>
              <w:right w:val="nil"/>
            </w:tcBorders>
            <w:tcMar>
              <w:left w:w="108" w:type="dxa"/>
              <w:right w:w="108" w:type="dxa"/>
            </w:tcMar>
            <w:vAlign w:val="top"/>
          </w:tcPr>
          <w:p w:rsidR="6A300A16" w:rsidP="6A300A16" w:rsidRDefault="6A300A16" w14:paraId="523388E2" w14:textId="158B6655">
            <w:pPr>
              <w:spacing w:before="60" w:beforeAutospacing="off" w:after="60" w:afterAutospacing="off"/>
            </w:pPr>
            <w:r w:rsidRPr="6A300A16" w:rsidR="6A300A16">
              <w:rPr>
                <w:rFonts w:ascii="Arial" w:hAnsi="Arial" w:eastAsia="Arial" w:cs="Arial"/>
                <w:sz w:val="22"/>
                <w:szCs w:val="22"/>
              </w:rPr>
              <w:t>To measure the overall sustainability of the contract and ensure it aligns with Golding Homes’ sustainability strategy.</w:t>
            </w:r>
          </w:p>
        </w:tc>
      </w:tr>
      <w:tr w:rsidR="6A300A16" w:rsidTr="6A300A16" w14:paraId="6D7E90EC">
        <w:trPr>
          <w:trHeight w:val="300"/>
        </w:trPr>
        <w:tc>
          <w:tcPr>
            <w:tcW w:w="1526" w:type="dxa"/>
            <w:tcBorders>
              <w:top w:val="single" w:color="005A70" w:sz="8"/>
              <w:left w:val="nil"/>
              <w:bottom w:val="single" w:color="005A70" w:sz="8"/>
              <w:right w:val="single" w:color="005A70" w:sz="8"/>
            </w:tcBorders>
            <w:tcMar>
              <w:left w:w="108" w:type="dxa"/>
              <w:right w:w="108" w:type="dxa"/>
            </w:tcMar>
            <w:vAlign w:val="top"/>
          </w:tcPr>
          <w:p w:rsidR="6A300A16" w:rsidP="6A300A16" w:rsidRDefault="6A300A16" w14:paraId="0375666F" w14:textId="5934F89F">
            <w:pPr>
              <w:spacing w:before="60" w:beforeAutospacing="off" w:after="60" w:afterAutospacing="off"/>
            </w:pPr>
            <w:r w:rsidRPr="6A300A16" w:rsidR="6A300A16">
              <w:rPr>
                <w:rFonts w:ascii="Arial" w:hAnsi="Arial" w:eastAsia="Arial" w:cs="Arial"/>
                <w:sz w:val="22"/>
                <w:szCs w:val="22"/>
              </w:rPr>
              <w:t>Definition:</w:t>
            </w:r>
          </w:p>
        </w:tc>
        <w:tc>
          <w:tcPr>
            <w:tcW w:w="7716" w:type="dxa"/>
            <w:tcBorders>
              <w:top w:val="single" w:color="005A70" w:sz="8"/>
              <w:left w:val="single" w:color="005A70" w:sz="8"/>
              <w:bottom w:val="single" w:color="005A70" w:sz="8"/>
              <w:right w:val="nil"/>
            </w:tcBorders>
            <w:tcMar>
              <w:left w:w="108" w:type="dxa"/>
              <w:right w:w="108" w:type="dxa"/>
            </w:tcMar>
            <w:vAlign w:val="top"/>
          </w:tcPr>
          <w:p w:rsidR="6A300A16" w:rsidP="6A300A16" w:rsidRDefault="6A300A16" w14:paraId="063DBD7B" w14:textId="007270A0">
            <w:pPr>
              <w:pStyle w:val="ListParagraph"/>
              <w:numPr>
                <w:ilvl w:val="0"/>
                <w:numId w:val="3"/>
              </w:numPr>
              <w:spacing w:before="0" w:beforeAutospacing="off" w:after="0" w:afterAutospacing="off"/>
              <w:ind w:left="720" w:right="0" w:hanging="360"/>
              <w:rPr>
                <w:rFonts w:ascii="Arial" w:hAnsi="Arial" w:eastAsia="Arial" w:cs="Arial"/>
                <w:sz w:val="22"/>
                <w:szCs w:val="22"/>
              </w:rPr>
            </w:pPr>
            <w:r w:rsidRPr="6A300A16" w:rsidR="6A300A16">
              <w:rPr>
                <w:rFonts w:ascii="Arial" w:hAnsi="Arial" w:eastAsia="Arial" w:cs="Arial"/>
                <w:sz w:val="22"/>
                <w:szCs w:val="22"/>
              </w:rPr>
              <w:t>Percentage of waste generated from the contract sent to landfill.</w:t>
            </w:r>
          </w:p>
          <w:p w:rsidR="6A300A16" w:rsidP="6A300A16" w:rsidRDefault="6A300A16" w14:paraId="1A64BB72" w14:textId="06571F04">
            <w:pPr>
              <w:pStyle w:val="ListParagraph"/>
              <w:numPr>
                <w:ilvl w:val="0"/>
                <w:numId w:val="3"/>
              </w:numPr>
              <w:spacing w:before="0" w:beforeAutospacing="off" w:after="0" w:afterAutospacing="off"/>
              <w:ind w:left="720" w:right="0" w:hanging="360"/>
              <w:rPr>
                <w:rFonts w:ascii="Arial" w:hAnsi="Arial" w:eastAsia="Arial" w:cs="Arial"/>
                <w:sz w:val="22"/>
                <w:szCs w:val="22"/>
              </w:rPr>
            </w:pPr>
            <w:r w:rsidRPr="6A300A16" w:rsidR="6A300A16">
              <w:rPr>
                <w:rFonts w:ascii="Arial" w:hAnsi="Arial" w:eastAsia="Arial" w:cs="Arial"/>
                <w:sz w:val="22"/>
                <w:szCs w:val="22"/>
              </w:rPr>
              <w:t>Percentage of waste generated from the contract recycled.</w:t>
            </w:r>
          </w:p>
          <w:p w:rsidR="6A300A16" w:rsidP="6A300A16" w:rsidRDefault="6A300A16" w14:paraId="0A2D0680" w14:textId="7744C9D5">
            <w:pPr>
              <w:pStyle w:val="ListParagraph"/>
              <w:numPr>
                <w:ilvl w:val="0"/>
                <w:numId w:val="3"/>
              </w:numPr>
              <w:spacing w:before="0" w:beforeAutospacing="off" w:after="0" w:afterAutospacing="off"/>
              <w:ind w:left="720" w:right="0" w:hanging="360"/>
              <w:rPr>
                <w:rFonts w:ascii="Arial" w:hAnsi="Arial" w:eastAsia="Arial" w:cs="Arial"/>
                <w:sz w:val="22"/>
                <w:szCs w:val="22"/>
              </w:rPr>
            </w:pPr>
            <w:r w:rsidRPr="6A300A16" w:rsidR="6A300A16">
              <w:rPr>
                <w:rFonts w:ascii="Arial" w:hAnsi="Arial" w:eastAsia="Arial" w:cs="Arial"/>
                <w:sz w:val="22"/>
                <w:szCs w:val="22"/>
              </w:rPr>
              <w:t>Annual carbon emissions generated by the contract</w:t>
            </w:r>
          </w:p>
          <w:p w:rsidR="6A300A16" w:rsidP="6A300A16" w:rsidRDefault="6A300A16" w14:paraId="48783923" w14:textId="0F99F0F4">
            <w:pPr>
              <w:pStyle w:val="ListParagraph"/>
              <w:numPr>
                <w:ilvl w:val="0"/>
                <w:numId w:val="3"/>
              </w:numPr>
              <w:spacing w:before="0" w:beforeAutospacing="off" w:after="0" w:afterAutospacing="off"/>
              <w:ind w:left="720" w:right="0" w:hanging="360"/>
              <w:rPr>
                <w:rFonts w:ascii="Arial" w:hAnsi="Arial" w:eastAsia="Arial" w:cs="Arial"/>
                <w:sz w:val="22"/>
                <w:szCs w:val="22"/>
              </w:rPr>
            </w:pPr>
            <w:r w:rsidRPr="6A300A16" w:rsidR="6A300A16">
              <w:rPr>
                <w:rFonts w:ascii="Arial" w:hAnsi="Arial" w:eastAsia="Arial" w:cs="Arial"/>
                <w:sz w:val="22"/>
                <w:szCs w:val="22"/>
              </w:rPr>
              <w:t>Completion of annual sustainability survey</w:t>
            </w:r>
          </w:p>
        </w:tc>
      </w:tr>
      <w:tr w:rsidR="6A300A16" w:rsidTr="6A300A16" w14:paraId="206DC20A">
        <w:trPr>
          <w:trHeight w:val="300"/>
        </w:trPr>
        <w:tc>
          <w:tcPr>
            <w:tcW w:w="1526" w:type="dxa"/>
            <w:tcBorders>
              <w:top w:val="single" w:color="005A70" w:sz="8"/>
              <w:left w:val="nil"/>
              <w:bottom w:val="single" w:color="005A70" w:sz="8"/>
              <w:right w:val="single" w:color="005A70" w:sz="8"/>
            </w:tcBorders>
            <w:tcMar>
              <w:left w:w="108" w:type="dxa"/>
              <w:right w:w="108" w:type="dxa"/>
            </w:tcMar>
            <w:vAlign w:val="top"/>
          </w:tcPr>
          <w:p w:rsidR="6A300A16" w:rsidP="6A300A16" w:rsidRDefault="6A300A16" w14:paraId="735ABDFA" w14:textId="080EEEEB">
            <w:pPr>
              <w:spacing w:before="60" w:beforeAutospacing="off" w:after="0" w:afterAutospacing="off"/>
            </w:pPr>
            <w:r w:rsidRPr="6A300A16" w:rsidR="6A300A16">
              <w:rPr>
                <w:rFonts w:ascii="Arial" w:hAnsi="Arial" w:eastAsia="Arial" w:cs="Arial"/>
                <w:sz w:val="22"/>
                <w:szCs w:val="22"/>
              </w:rPr>
              <w:t>Method:</w:t>
            </w:r>
          </w:p>
        </w:tc>
        <w:tc>
          <w:tcPr>
            <w:tcW w:w="7716" w:type="dxa"/>
            <w:tcBorders>
              <w:top w:val="single" w:color="005A70" w:sz="8"/>
              <w:left w:val="single" w:color="005A70" w:sz="8"/>
              <w:bottom w:val="single" w:color="005A70" w:sz="8"/>
              <w:right w:val="nil"/>
            </w:tcBorders>
            <w:tcMar>
              <w:left w:w="108" w:type="dxa"/>
              <w:right w:w="108" w:type="dxa"/>
            </w:tcMar>
            <w:vAlign w:val="top"/>
          </w:tcPr>
          <w:p w:rsidR="6A300A16" w:rsidP="6A300A16" w:rsidRDefault="6A300A16" w14:paraId="56A58527" w14:textId="7D2D5845">
            <w:pPr>
              <w:spacing w:before="120" w:beforeAutospacing="off" w:after="60" w:afterAutospacing="off"/>
            </w:pPr>
            <w:r w:rsidRPr="6A300A16" w:rsidR="6A300A16">
              <w:rPr>
                <w:rFonts w:ascii="Arial" w:hAnsi="Arial" w:eastAsia="Arial" w:cs="Arial"/>
                <w:b w:val="1"/>
                <w:bCs w:val="1"/>
                <w:sz w:val="22"/>
                <w:szCs w:val="22"/>
              </w:rPr>
              <w:t>Waste</w:t>
            </w:r>
            <w:r w:rsidRPr="6A300A16" w:rsidR="6A300A16">
              <w:rPr>
                <w:rFonts w:ascii="Arial" w:hAnsi="Arial" w:eastAsia="Arial" w:cs="Arial"/>
                <w:sz w:val="22"/>
                <w:szCs w:val="22"/>
              </w:rPr>
              <w:t xml:space="preserve"> </w:t>
            </w:r>
          </w:p>
          <w:p w:rsidR="6A300A16" w:rsidP="6A300A16" w:rsidRDefault="6A300A16" w14:paraId="55292DA1" w14:textId="320AAA1A">
            <w:pPr>
              <w:spacing w:before="120" w:beforeAutospacing="off" w:after="60" w:afterAutospacing="off"/>
            </w:pPr>
            <w:r w:rsidRPr="6A300A16" w:rsidR="6A300A16">
              <w:rPr>
                <w:rFonts w:ascii="Arial" w:hAnsi="Arial" w:eastAsia="Arial" w:cs="Arial"/>
                <w:sz w:val="22"/>
                <w:szCs w:val="22"/>
              </w:rPr>
              <w:t xml:space="preserve">Record the total quantity of waste being generated by the contract and the percentages sent to landfill and recycled. This information should be provided by waste disposal contractors. </w:t>
            </w:r>
          </w:p>
          <w:p w:rsidR="6A300A16" w:rsidP="6A300A16" w:rsidRDefault="6A300A16" w14:paraId="6FD1DA22" w14:textId="109CE0B4">
            <w:pPr>
              <w:spacing w:before="120" w:beforeAutospacing="off" w:after="60" w:afterAutospacing="off"/>
            </w:pPr>
            <w:r w:rsidRPr="6A300A16" w:rsidR="6A300A16">
              <w:rPr>
                <w:rFonts w:ascii="Arial" w:hAnsi="Arial" w:eastAsia="Arial" w:cs="Arial"/>
                <w:b w:val="1"/>
                <w:bCs w:val="1"/>
                <w:sz w:val="22"/>
                <w:szCs w:val="22"/>
              </w:rPr>
              <w:t>Annual carbon emissions / mileage</w:t>
            </w:r>
          </w:p>
          <w:p w:rsidR="6A300A16" w:rsidP="6A300A16" w:rsidRDefault="6A300A16" w14:paraId="041A8B7C" w14:textId="105554B9">
            <w:pPr>
              <w:spacing w:before="120" w:beforeAutospacing="off" w:after="60" w:afterAutospacing="off"/>
            </w:pPr>
            <w:r w:rsidRPr="6A300A16" w:rsidR="6A300A16">
              <w:rPr>
                <w:rFonts w:ascii="Arial" w:hAnsi="Arial" w:eastAsia="Arial" w:cs="Arial"/>
                <w:sz w:val="22"/>
                <w:szCs w:val="22"/>
                <w:u w:val="single"/>
              </w:rPr>
              <w:t>Method A (where carbon emissions (CO</w:t>
            </w:r>
            <w:r w:rsidRPr="6A300A16" w:rsidR="6A300A16">
              <w:rPr>
                <w:rFonts w:ascii="Arial" w:hAnsi="Arial" w:eastAsia="Arial" w:cs="Arial"/>
                <w:sz w:val="22"/>
                <w:szCs w:val="22"/>
                <w:u w:val="single"/>
                <w:vertAlign w:val="subscript"/>
              </w:rPr>
              <w:t>2</w:t>
            </w:r>
            <w:r w:rsidRPr="6A300A16" w:rsidR="6A300A16">
              <w:rPr>
                <w:rFonts w:ascii="Arial" w:hAnsi="Arial" w:eastAsia="Arial" w:cs="Arial"/>
                <w:sz w:val="22"/>
                <w:szCs w:val="22"/>
                <w:u w:val="single"/>
              </w:rPr>
              <w:t>e) are calculated corporately, eg. for SECR or ESG reporting)</w:t>
            </w:r>
            <w:r w:rsidRPr="6A300A16" w:rsidR="6A300A16">
              <w:rPr>
                <w:rFonts w:ascii="Arial" w:hAnsi="Arial" w:eastAsia="Arial" w:cs="Arial"/>
                <w:sz w:val="22"/>
                <w:szCs w:val="22"/>
              </w:rPr>
              <w:t xml:space="preserve"> – Total annual Scope 1 and 2 emissions should be apportioned according to the percentage value of the Golding Homes contract, compared to overall turnover value.</w:t>
            </w:r>
          </w:p>
          <w:p w:rsidR="6A300A16" w:rsidP="6A300A16" w:rsidRDefault="6A300A16" w14:paraId="1DF2AE7F" w14:textId="439F3B2F">
            <w:pPr>
              <w:spacing w:before="120" w:beforeAutospacing="off" w:after="60" w:afterAutospacing="off"/>
            </w:pPr>
            <w:r w:rsidRPr="6A300A16" w:rsidR="6A300A16">
              <w:rPr>
                <w:rFonts w:ascii="Arial" w:hAnsi="Arial" w:eastAsia="Arial" w:cs="Arial"/>
                <w:sz w:val="22"/>
                <w:szCs w:val="22"/>
                <w:u w:val="single"/>
              </w:rPr>
              <w:t>Method B (if no corporate carbon reporting is undertaken</w:t>
            </w:r>
            <w:r w:rsidRPr="6A300A16" w:rsidR="6A300A16">
              <w:rPr>
                <w:rFonts w:ascii="Arial" w:hAnsi="Arial" w:eastAsia="Arial" w:cs="Arial"/>
                <w:sz w:val="22"/>
                <w:szCs w:val="22"/>
              </w:rPr>
              <w:t>) – The contractor should record the total mileage travelled to deliver the contract. If actual mileage is not available, then total mileage should be apportioned according to the percentage value of the Golding Homes contract, compared to overall turnover value. Vehicle engine type (eg. petrol, diesel, electric) should also be recorded as a percentage of the fleet.</w:t>
            </w:r>
          </w:p>
          <w:p w:rsidR="6A300A16" w:rsidP="6A300A16" w:rsidRDefault="6A300A16" w14:paraId="47C136B3" w14:textId="328FCA3A">
            <w:pPr>
              <w:spacing w:before="120" w:beforeAutospacing="off" w:after="60" w:afterAutospacing="off"/>
            </w:pPr>
            <w:r w:rsidRPr="6A300A16" w:rsidR="6A300A16">
              <w:rPr>
                <w:rFonts w:ascii="Arial" w:hAnsi="Arial" w:eastAsia="Arial" w:cs="Arial"/>
                <w:sz w:val="22"/>
                <w:szCs w:val="22"/>
              </w:rPr>
              <w:t xml:space="preserve">The relevant government </w:t>
            </w:r>
            <w:hyperlink r:id="Re2d30474ddb340c9">
              <w:r w:rsidRPr="6A300A16" w:rsidR="6A300A16">
                <w:rPr>
                  <w:rStyle w:val="Hyperlink"/>
                  <w:rFonts w:ascii="Arial" w:hAnsi="Arial" w:eastAsia="Arial" w:cs="Arial"/>
                  <w:strike w:val="0"/>
                  <w:dstrike w:val="0"/>
                  <w:color w:val="0000FF"/>
                  <w:sz w:val="22"/>
                  <w:szCs w:val="22"/>
                  <w:u w:val="single"/>
                </w:rPr>
                <w:t>Greenhouse gas conversion factors</w:t>
              </w:r>
            </w:hyperlink>
            <w:r w:rsidRPr="6A300A16" w:rsidR="6A300A16">
              <w:rPr>
                <w:rFonts w:ascii="Arial" w:hAnsi="Arial" w:eastAsia="Arial" w:cs="Arial"/>
                <w:sz w:val="22"/>
                <w:szCs w:val="22"/>
              </w:rPr>
              <w:t xml:space="preserve"> should be used to calculate the greenhouse gas emission from mileage.</w:t>
            </w:r>
          </w:p>
          <w:p w:rsidR="6A300A16" w:rsidP="6A300A16" w:rsidRDefault="6A300A16" w14:paraId="19CF9031" w14:textId="0D962839">
            <w:pPr>
              <w:spacing w:before="120" w:beforeAutospacing="off" w:after="60" w:afterAutospacing="off"/>
            </w:pPr>
            <w:r w:rsidRPr="6A300A16" w:rsidR="6A300A16">
              <w:rPr>
                <w:rFonts w:ascii="Arial" w:hAnsi="Arial" w:eastAsia="Arial" w:cs="Arial"/>
                <w:sz w:val="22"/>
                <w:szCs w:val="22"/>
              </w:rPr>
              <w:t xml:space="preserve"> </w:t>
            </w:r>
          </w:p>
        </w:tc>
      </w:tr>
      <w:tr w:rsidR="6A300A16" w:rsidTr="6A300A16" w14:paraId="2EBD7CC7">
        <w:trPr>
          <w:trHeight w:val="300"/>
        </w:trPr>
        <w:tc>
          <w:tcPr>
            <w:tcW w:w="1526" w:type="dxa"/>
            <w:tcBorders>
              <w:top w:val="single" w:color="005A70" w:sz="8"/>
              <w:left w:val="nil"/>
              <w:bottom w:val="single" w:color="005A70" w:sz="8"/>
              <w:right w:val="single" w:color="005A70" w:sz="8"/>
            </w:tcBorders>
            <w:tcMar>
              <w:left w:w="108" w:type="dxa"/>
              <w:right w:w="108" w:type="dxa"/>
            </w:tcMar>
            <w:vAlign w:val="top"/>
          </w:tcPr>
          <w:p w:rsidR="6A300A16" w:rsidP="6A300A16" w:rsidRDefault="6A300A16" w14:paraId="45655803" w14:textId="60D4AD6E">
            <w:pPr>
              <w:spacing w:before="60" w:beforeAutospacing="off" w:after="0" w:afterAutospacing="off"/>
            </w:pPr>
            <w:r w:rsidRPr="6A300A16" w:rsidR="6A300A16">
              <w:rPr>
                <w:rFonts w:ascii="Arial" w:hAnsi="Arial" w:eastAsia="Arial" w:cs="Arial"/>
                <w:sz w:val="22"/>
                <w:szCs w:val="22"/>
              </w:rPr>
              <w:t>Example:</w:t>
            </w:r>
          </w:p>
        </w:tc>
        <w:tc>
          <w:tcPr>
            <w:tcW w:w="7716" w:type="dxa"/>
            <w:tcBorders>
              <w:top w:val="single" w:color="005A70" w:sz="8"/>
              <w:left w:val="single" w:color="005A70" w:sz="8"/>
              <w:bottom w:val="single" w:color="005A70" w:sz="8"/>
              <w:right w:val="nil"/>
            </w:tcBorders>
            <w:tcMar>
              <w:left w:w="108" w:type="dxa"/>
              <w:right w:w="108" w:type="dxa"/>
            </w:tcMar>
            <w:vAlign w:val="top"/>
          </w:tcPr>
          <w:p w:rsidR="6A300A16" w:rsidP="6A300A16" w:rsidRDefault="6A300A16" w14:paraId="3569248A" w14:textId="46E248C9">
            <w:pPr>
              <w:spacing w:before="120" w:beforeAutospacing="off" w:after="60" w:afterAutospacing="off"/>
            </w:pPr>
            <w:r w:rsidRPr="6A300A16" w:rsidR="6A300A16">
              <w:rPr>
                <w:rFonts w:ascii="Arial" w:hAnsi="Arial" w:eastAsia="Arial" w:cs="Arial"/>
                <w:b w:val="1"/>
                <w:bCs w:val="1"/>
                <w:sz w:val="22"/>
                <w:szCs w:val="22"/>
              </w:rPr>
              <w:t>Annual carbon emissions</w:t>
            </w:r>
          </w:p>
          <w:p w:rsidR="6A300A16" w:rsidP="6A300A16" w:rsidRDefault="6A300A16" w14:paraId="2697CE3D" w14:textId="4BBEC913">
            <w:pPr>
              <w:spacing w:before="120" w:beforeAutospacing="off" w:after="60" w:afterAutospacing="off"/>
            </w:pPr>
            <w:r w:rsidRPr="6A300A16" w:rsidR="6A300A16">
              <w:rPr>
                <w:rFonts w:ascii="Arial" w:hAnsi="Arial" w:eastAsia="Arial" w:cs="Arial"/>
                <w:sz w:val="22"/>
                <w:szCs w:val="22"/>
              </w:rPr>
              <w:t>Example A - The contractor’s annual Scope 1 and 2 emissions are 100 tonnes, annual turnover is £50m and the annual contract value is £2m. The apportioned emissions attributable to Golding Homes would be 4 tonnes.</w:t>
            </w:r>
            <w:r w:rsidRPr="6A300A16" w:rsidR="6A300A16">
              <w:rPr>
                <w:rFonts w:ascii="Segoe UI" w:hAnsi="Segoe UI" w:eastAsia="Segoe UI" w:cs="Segoe UI"/>
                <w:color w:val="000000" w:themeColor="text1" w:themeTint="FF" w:themeShade="FF"/>
                <w:sz w:val="21"/>
                <w:szCs w:val="21"/>
              </w:rPr>
              <w:t xml:space="preserve"> </w:t>
            </w:r>
          </w:p>
          <w:p w:rsidR="6A300A16" w:rsidP="6A300A16" w:rsidRDefault="6A300A16" w14:paraId="06143FAC" w14:textId="5B296505">
            <w:pPr>
              <w:spacing w:before="120" w:beforeAutospacing="off" w:after="60" w:afterAutospacing="off"/>
            </w:pPr>
            <w:r w:rsidRPr="6A300A16" w:rsidR="6A300A16">
              <w:rPr>
                <w:rFonts w:ascii="Segoe UI" w:hAnsi="Segoe UI" w:eastAsia="Segoe UI" w:cs="Segoe UI"/>
                <w:color w:val="000000" w:themeColor="text1" w:themeTint="FF" w:themeShade="FF"/>
                <w:sz w:val="21"/>
                <w:szCs w:val="21"/>
                <w:u w:val="single"/>
              </w:rPr>
              <w:t>Total Scope 1+2 emissions</w:t>
            </w:r>
            <w:r w:rsidRPr="6A300A16" w:rsidR="6A300A16">
              <w:rPr>
                <w:rFonts w:ascii="Segoe UI" w:hAnsi="Segoe UI" w:eastAsia="Segoe UI" w:cs="Segoe UI"/>
                <w:color w:val="000000" w:themeColor="text1" w:themeTint="FF" w:themeShade="FF"/>
                <w:sz w:val="21"/>
                <w:szCs w:val="21"/>
              </w:rPr>
              <w:t xml:space="preserve">  x  Contract value</w:t>
            </w:r>
          </w:p>
          <w:p w:rsidR="6A300A16" w:rsidP="6A300A16" w:rsidRDefault="6A300A16" w14:paraId="60D6244A" w14:textId="10D6CA1E">
            <w:pPr>
              <w:spacing w:before="120" w:beforeAutospacing="off" w:after="60" w:afterAutospacing="off"/>
            </w:pPr>
            <w:r w:rsidRPr="6A300A16" w:rsidR="6A300A16">
              <w:rPr>
                <w:rFonts w:ascii="Segoe UI" w:hAnsi="Segoe UI" w:eastAsia="Segoe UI" w:cs="Segoe UI"/>
                <w:color w:val="000000" w:themeColor="text1" w:themeTint="FF" w:themeShade="FF"/>
                <w:sz w:val="21"/>
                <w:szCs w:val="21"/>
              </w:rPr>
              <w:t xml:space="preserve">        Annual turnover </w:t>
            </w:r>
          </w:p>
          <w:p w:rsidR="6A300A16" w:rsidP="6A300A16" w:rsidRDefault="6A300A16" w14:paraId="5E3FF78A" w14:textId="01D570ED">
            <w:pPr>
              <w:spacing w:before="120" w:beforeAutospacing="off" w:after="60" w:afterAutospacing="off"/>
            </w:pPr>
            <w:r w:rsidRPr="6A300A16" w:rsidR="6A300A16">
              <w:rPr>
                <w:rFonts w:ascii="Segoe UI" w:hAnsi="Segoe UI" w:eastAsia="Segoe UI" w:cs="Segoe UI"/>
                <w:color w:val="000000" w:themeColor="text1" w:themeTint="FF" w:themeShade="FF"/>
                <w:sz w:val="21"/>
                <w:szCs w:val="21"/>
              </w:rPr>
              <w:t xml:space="preserve">Example B – </w:t>
            </w:r>
            <w:r w:rsidRPr="6A300A16" w:rsidR="6A300A16">
              <w:rPr>
                <w:rFonts w:ascii="Arial" w:hAnsi="Arial" w:eastAsia="Arial" w:cs="Arial"/>
                <w:sz w:val="22"/>
                <w:szCs w:val="22"/>
              </w:rPr>
              <w:t>The contractor’s fleet travels a total of 100,000 miles. They have 45 diesel vans and 5 electric vehicles in their fleet. Their annual turnover is £50m and the annual contract value is £2m per year.</w:t>
            </w:r>
          </w:p>
          <w:p w:rsidR="6A300A16" w:rsidP="6A300A16" w:rsidRDefault="6A300A16" w14:paraId="296D6D57" w14:textId="01A9D805">
            <w:pPr>
              <w:spacing w:before="120" w:beforeAutospacing="off" w:after="60" w:afterAutospacing="off"/>
            </w:pPr>
            <w:r w:rsidRPr="6A300A16" w:rsidR="6A300A16">
              <w:rPr>
                <w:rFonts w:ascii="Arial" w:hAnsi="Arial" w:eastAsia="Arial" w:cs="Arial"/>
                <w:sz w:val="22"/>
                <w:szCs w:val="22"/>
              </w:rPr>
              <w:t xml:space="preserve"> </w:t>
            </w:r>
          </w:p>
        </w:tc>
      </w:tr>
      <w:tr w:rsidR="6A300A16" w:rsidTr="6A300A16" w14:paraId="715DB0FF">
        <w:trPr>
          <w:trHeight w:val="300"/>
        </w:trPr>
        <w:tc>
          <w:tcPr>
            <w:tcW w:w="1526" w:type="dxa"/>
            <w:tcBorders>
              <w:top w:val="single" w:color="005A70" w:sz="8"/>
              <w:left w:val="nil"/>
              <w:bottom w:val="nil"/>
              <w:right w:val="single" w:color="005A70" w:sz="8"/>
            </w:tcBorders>
            <w:tcMar>
              <w:left w:w="108" w:type="dxa"/>
              <w:right w:w="108" w:type="dxa"/>
            </w:tcMar>
            <w:vAlign w:val="top"/>
          </w:tcPr>
          <w:p w:rsidR="6A300A16" w:rsidP="6A300A16" w:rsidRDefault="6A300A16" w14:paraId="3DC9FDFC" w14:textId="37D36F3D">
            <w:pPr>
              <w:spacing w:before="60" w:beforeAutospacing="off" w:after="0" w:afterAutospacing="off"/>
            </w:pPr>
            <w:r w:rsidRPr="6A300A16" w:rsidR="6A300A16">
              <w:rPr>
                <w:rFonts w:ascii="Arial" w:hAnsi="Arial" w:eastAsia="Arial" w:cs="Arial"/>
                <w:sz w:val="22"/>
                <w:szCs w:val="22"/>
              </w:rPr>
              <w:t>Target:</w:t>
            </w:r>
          </w:p>
        </w:tc>
        <w:tc>
          <w:tcPr>
            <w:tcW w:w="7716" w:type="dxa"/>
            <w:tcBorders>
              <w:top w:val="single" w:color="005A70" w:sz="8"/>
              <w:left w:val="single" w:color="005A70" w:sz="8"/>
              <w:bottom w:val="nil"/>
              <w:right w:val="nil"/>
            </w:tcBorders>
            <w:tcMar>
              <w:left w:w="108" w:type="dxa"/>
              <w:right w:w="108" w:type="dxa"/>
            </w:tcMar>
            <w:vAlign w:val="top"/>
          </w:tcPr>
          <w:p w:rsidR="6A300A16" w:rsidP="6A300A16" w:rsidRDefault="6A300A16" w14:paraId="192762DE" w14:textId="47AE2C4B">
            <w:pPr>
              <w:spacing w:before="0" w:beforeAutospacing="off" w:after="120" w:afterAutospacing="off"/>
            </w:pPr>
            <w:r w:rsidRPr="6A300A16" w:rsidR="6A300A16">
              <w:rPr>
                <w:rFonts w:ascii="Arial" w:hAnsi="Arial" w:eastAsia="Arial" w:cs="Arial"/>
                <w:sz w:val="22"/>
                <w:szCs w:val="22"/>
              </w:rPr>
              <w:t>% waste sent to landfill</w:t>
            </w:r>
          </w:p>
          <w:p w:rsidR="6A300A16" w:rsidP="6A300A16" w:rsidRDefault="6A300A16" w14:paraId="3F5A44AF" w14:textId="2AC24637">
            <w:pPr>
              <w:spacing w:before="0" w:beforeAutospacing="off" w:after="120" w:afterAutospacing="off"/>
            </w:pPr>
            <w:r w:rsidRPr="6A300A16" w:rsidR="6A300A16">
              <w:rPr>
                <w:rFonts w:ascii="Arial" w:hAnsi="Arial" w:eastAsia="Arial" w:cs="Arial"/>
                <w:sz w:val="22"/>
                <w:szCs w:val="22"/>
              </w:rPr>
              <w:t xml:space="preserve">% of waste recycled </w:t>
            </w:r>
          </w:p>
          <w:p w:rsidR="6A300A16" w:rsidP="6A300A16" w:rsidRDefault="6A300A16" w14:paraId="0D1BDAB0" w14:textId="3D685BB6">
            <w:pPr>
              <w:spacing w:before="0" w:beforeAutospacing="off" w:after="120" w:afterAutospacing="off"/>
            </w:pPr>
            <w:r w:rsidRPr="6A300A16" w:rsidR="6A300A16">
              <w:rPr>
                <w:rFonts w:ascii="Arial" w:hAnsi="Arial" w:eastAsia="Arial" w:cs="Arial"/>
                <w:sz w:val="22"/>
                <w:szCs w:val="22"/>
              </w:rPr>
              <w:t>% reduction in carbon emissions generated by the contract (year on year)</w:t>
            </w:r>
          </w:p>
          <w:p w:rsidR="6A300A16" w:rsidP="6A300A16" w:rsidRDefault="6A300A16" w14:paraId="3E267363" w14:textId="0FA2FA84">
            <w:pPr>
              <w:spacing w:before="0" w:beforeAutospacing="off" w:after="120" w:afterAutospacing="off"/>
            </w:pPr>
            <w:r w:rsidRPr="6A300A16" w:rsidR="6A300A16">
              <w:rPr>
                <w:rFonts w:ascii="Arial" w:hAnsi="Arial" w:eastAsia="Arial" w:cs="Arial"/>
                <w:sz w:val="22"/>
                <w:szCs w:val="22"/>
              </w:rPr>
              <w:t>Annual completion of supplier sustainability survey</w:t>
            </w:r>
          </w:p>
        </w:tc>
      </w:tr>
    </w:tbl>
    <w:p w:rsidR="00D1018E" w:rsidP="6A300A16" w:rsidRDefault="00D1018E" w14:paraId="4697FA1F" w14:textId="3FB4A931">
      <w:pPr>
        <w:bidi w:val="0"/>
        <w:spacing w:before="0" w:beforeAutospacing="off" w:after="120" w:afterAutospacing="off" w:line="240" w:lineRule="auto"/>
      </w:pPr>
      <w:r w:rsidRPr="6A300A16" w:rsidR="1F2C5214">
        <w:rPr>
          <w:rFonts w:ascii="Arial" w:hAnsi="Arial" w:eastAsia="Arial" w:cs="Arial"/>
          <w:noProof w:val="0"/>
          <w:sz w:val="22"/>
          <w:szCs w:val="22"/>
          <w:lang w:val="en-GB"/>
        </w:rPr>
        <w:t xml:space="preserve"> </w:t>
      </w:r>
    </w:p>
    <w:p w:rsidR="00D1018E" w:rsidP="6A300A16" w:rsidRDefault="00D1018E" w14:paraId="481BE6C8" w14:textId="5B06300B">
      <w:pPr>
        <w:bidi w:val="0"/>
        <w:spacing w:before="0" w:beforeAutospacing="off" w:after="200" w:afterAutospacing="off" w:line="276" w:lineRule="auto"/>
        <w:rPr>
          <w:rFonts w:ascii="Arial" w:hAnsi="Arial" w:eastAsia="Arial" w:cs="Arial"/>
          <w:noProof w:val="0"/>
          <w:sz w:val="20"/>
          <w:szCs w:val="20"/>
          <w:lang w:val="en-GB"/>
        </w:rPr>
      </w:pPr>
    </w:p>
    <w:p w:rsidR="00D1018E" w:rsidP="001379B1" w:rsidRDefault="00D1018E" w14:paraId="5F3A5432" w14:textId="7FF1B0BC">
      <w:pPr>
        <w:spacing w:after="120" w:line="240" w:lineRule="auto"/>
        <w:rPr>
          <w:rFonts w:ascii="Arial" w:hAnsi="Arial" w:cs="Arial"/>
        </w:rPr>
      </w:pPr>
    </w:p>
    <w:p w:rsidR="00F06EE9" w:rsidP="001379B1" w:rsidRDefault="00F06EE9" w14:paraId="36E8AF75" w14:textId="179FF113">
      <w:pPr>
        <w:spacing w:after="120" w:line="240" w:lineRule="auto"/>
        <w:rPr>
          <w:rFonts w:ascii="Arial" w:hAnsi="Arial" w:cs="Arial"/>
        </w:rPr>
      </w:pPr>
    </w:p>
    <w:p w:rsidR="00F06EE9" w:rsidP="001379B1" w:rsidRDefault="00F06EE9" w14:paraId="6DF02A02" w14:textId="31889333">
      <w:pPr>
        <w:spacing w:after="120" w:line="240" w:lineRule="auto"/>
        <w:rPr>
          <w:rFonts w:ascii="Arial" w:hAnsi="Arial" w:cs="Arial"/>
        </w:rPr>
      </w:pPr>
    </w:p>
    <w:p w:rsidR="00F06EE9" w:rsidP="001379B1" w:rsidRDefault="00F06EE9" w14:paraId="5F83EAC2" w14:textId="62D20F82">
      <w:pPr>
        <w:spacing w:after="120" w:line="240" w:lineRule="auto"/>
        <w:rPr>
          <w:rFonts w:ascii="Arial" w:hAnsi="Arial" w:cs="Arial"/>
        </w:rPr>
      </w:pPr>
    </w:p>
    <w:p w:rsidR="00F06EE9" w:rsidP="001379B1" w:rsidRDefault="00F06EE9" w14:paraId="2FA9D1CF" w14:textId="20E2B50A">
      <w:pPr>
        <w:spacing w:after="120" w:line="240" w:lineRule="auto"/>
        <w:rPr>
          <w:rFonts w:ascii="Arial" w:hAnsi="Arial" w:cs="Arial"/>
        </w:rPr>
      </w:pPr>
    </w:p>
    <w:p w:rsidR="00F06EE9" w:rsidP="001379B1" w:rsidRDefault="00F06EE9" w14:paraId="3447F502" w14:textId="478F264B">
      <w:pPr>
        <w:spacing w:after="120" w:line="240" w:lineRule="auto"/>
        <w:rPr>
          <w:rFonts w:ascii="Arial" w:hAnsi="Arial" w:cs="Arial"/>
        </w:rPr>
      </w:pPr>
    </w:p>
    <w:p w:rsidR="00F06EE9" w:rsidP="001379B1" w:rsidRDefault="00F06EE9" w14:paraId="59BCD98B" w14:textId="3CF2A295">
      <w:pPr>
        <w:spacing w:after="120" w:line="240" w:lineRule="auto"/>
        <w:rPr>
          <w:rFonts w:ascii="Arial" w:hAnsi="Arial" w:cs="Arial"/>
        </w:rPr>
      </w:pPr>
    </w:p>
    <w:p w:rsidR="00F06EE9" w:rsidP="001379B1" w:rsidRDefault="00F06EE9" w14:paraId="4353F5FC" w14:textId="0710A5CF">
      <w:pPr>
        <w:spacing w:after="120" w:line="240" w:lineRule="auto"/>
        <w:rPr>
          <w:rFonts w:ascii="Arial" w:hAnsi="Arial" w:cs="Arial"/>
        </w:rPr>
      </w:pPr>
    </w:p>
    <w:p w:rsidR="00F06EE9" w:rsidP="001379B1" w:rsidRDefault="00F06EE9" w14:paraId="24B5A0D6" w14:textId="66E7F2C7">
      <w:pPr>
        <w:spacing w:after="120" w:line="240" w:lineRule="auto"/>
        <w:rPr>
          <w:rFonts w:ascii="Arial" w:hAnsi="Arial" w:cs="Arial"/>
        </w:rPr>
      </w:pPr>
    </w:p>
    <w:p w:rsidR="00F06EE9" w:rsidP="001379B1" w:rsidRDefault="00F06EE9" w14:paraId="6B59AF9B" w14:textId="6AB2BC0D">
      <w:pPr>
        <w:spacing w:after="120" w:line="240" w:lineRule="auto"/>
        <w:rPr>
          <w:rFonts w:ascii="Arial" w:hAnsi="Arial" w:cs="Arial"/>
        </w:rPr>
      </w:pPr>
    </w:p>
    <w:p w:rsidR="00F06EE9" w:rsidP="001379B1" w:rsidRDefault="00F06EE9" w14:paraId="65E52A8B" w14:textId="239DFEF3">
      <w:pPr>
        <w:spacing w:after="120" w:line="240" w:lineRule="auto"/>
        <w:rPr>
          <w:rFonts w:ascii="Arial" w:hAnsi="Arial" w:cs="Arial"/>
        </w:rPr>
      </w:pPr>
    </w:p>
    <w:p w:rsidR="00F06EE9" w:rsidP="001379B1" w:rsidRDefault="00F06EE9" w14:paraId="7F4A6BB1" w14:textId="65126713">
      <w:pPr>
        <w:spacing w:after="120" w:line="240" w:lineRule="auto"/>
        <w:rPr>
          <w:rFonts w:ascii="Arial" w:hAnsi="Arial" w:cs="Arial"/>
        </w:rPr>
      </w:pPr>
    </w:p>
    <w:p w:rsidR="00F06EE9" w:rsidP="001379B1" w:rsidRDefault="00F06EE9" w14:paraId="0E0934D3" w14:textId="123C2BDE">
      <w:pPr>
        <w:spacing w:after="120" w:line="240" w:lineRule="auto"/>
        <w:rPr>
          <w:rFonts w:ascii="Arial" w:hAnsi="Arial" w:cs="Arial"/>
        </w:rPr>
      </w:pPr>
    </w:p>
    <w:p w:rsidR="00F06EE9" w:rsidP="001379B1" w:rsidRDefault="00F06EE9" w14:paraId="296B9361" w14:textId="1F01BEC4">
      <w:pPr>
        <w:spacing w:after="120" w:line="240" w:lineRule="auto"/>
        <w:rPr>
          <w:rFonts w:ascii="Arial" w:hAnsi="Arial" w:cs="Arial"/>
        </w:rPr>
      </w:pPr>
    </w:p>
    <w:p w:rsidR="00F06EE9" w:rsidP="001379B1" w:rsidRDefault="00F06EE9" w14:paraId="21002678" w14:textId="1DD08517">
      <w:pPr>
        <w:spacing w:after="120" w:line="240" w:lineRule="auto"/>
        <w:rPr>
          <w:rFonts w:ascii="Arial" w:hAnsi="Arial" w:cs="Arial"/>
        </w:rPr>
      </w:pPr>
    </w:p>
    <w:p w:rsidR="00F06EE9" w:rsidP="001379B1" w:rsidRDefault="00F06EE9" w14:paraId="638E7F5F" w14:textId="6CB94C4E">
      <w:pPr>
        <w:spacing w:after="120" w:line="240" w:lineRule="auto"/>
        <w:rPr>
          <w:rFonts w:ascii="Arial" w:hAnsi="Arial" w:cs="Arial"/>
        </w:rPr>
      </w:pPr>
    </w:p>
    <w:p w:rsidR="00F06EE9" w:rsidP="001379B1" w:rsidRDefault="00F06EE9" w14:paraId="1BB142A6" w14:textId="7A56ACF3">
      <w:pPr>
        <w:spacing w:after="120" w:line="240" w:lineRule="auto"/>
        <w:rPr>
          <w:rFonts w:ascii="Arial" w:hAnsi="Arial" w:cs="Arial"/>
        </w:rPr>
      </w:pPr>
    </w:p>
    <w:p w:rsidR="00F06EE9" w:rsidP="001379B1" w:rsidRDefault="00F06EE9" w14:paraId="6A35CD87" w14:textId="2D1A9993">
      <w:pPr>
        <w:spacing w:after="120" w:line="240" w:lineRule="auto"/>
        <w:rPr>
          <w:rFonts w:ascii="Arial" w:hAnsi="Arial" w:cs="Arial"/>
        </w:rPr>
      </w:pPr>
    </w:p>
    <w:p w:rsidR="00F06EE9" w:rsidP="001379B1" w:rsidRDefault="00F06EE9" w14:paraId="70825499" w14:textId="52F45443">
      <w:pPr>
        <w:spacing w:after="120" w:line="240" w:lineRule="auto"/>
        <w:rPr>
          <w:rFonts w:ascii="Arial" w:hAnsi="Arial" w:cs="Arial"/>
        </w:rPr>
      </w:pPr>
    </w:p>
    <w:p w:rsidR="00F06EE9" w:rsidP="001379B1" w:rsidRDefault="00F06EE9" w14:paraId="025170BA" w14:textId="095E2FA5">
      <w:pPr>
        <w:spacing w:after="120" w:line="240" w:lineRule="auto"/>
        <w:rPr>
          <w:rFonts w:ascii="Arial" w:hAnsi="Arial" w:cs="Arial"/>
        </w:rPr>
      </w:pPr>
    </w:p>
    <w:p w:rsidR="00F06EE9" w:rsidP="4F793D28" w:rsidRDefault="00F06EE9" w14:paraId="5C2BC7AE" w14:textId="44729F90">
      <w:pPr>
        <w:spacing w:before="0" w:beforeAutospacing="off" w:after="120" w:afterAutospacing="off" w:line="240" w:lineRule="auto"/>
      </w:pPr>
      <w:r w:rsidRPr="01794E88" w:rsidR="0F9BA116">
        <w:rPr>
          <w:rFonts w:ascii="Open Sans" w:hAnsi="Open Sans" w:eastAsia="Open Sans" w:cs="Open Sans"/>
          <w:b w:val="1"/>
          <w:bCs w:val="1"/>
          <w:noProof w:val="0"/>
          <w:sz w:val="32"/>
          <w:szCs w:val="32"/>
          <w:lang w:val="en-GB"/>
        </w:rPr>
        <w:t xml:space="preserve">KPI </w:t>
      </w:r>
      <w:r w:rsidRPr="01794E88" w:rsidR="614D30DA">
        <w:rPr>
          <w:rFonts w:ascii="Open Sans" w:hAnsi="Open Sans" w:eastAsia="Open Sans" w:cs="Open Sans"/>
          <w:b w:val="1"/>
          <w:bCs w:val="1"/>
          <w:noProof w:val="0"/>
          <w:sz w:val="32"/>
          <w:szCs w:val="32"/>
          <w:lang w:val="en-GB"/>
        </w:rPr>
        <w:t>6</w:t>
      </w:r>
      <w:r w:rsidRPr="01794E88" w:rsidR="0F9BA116">
        <w:rPr>
          <w:rFonts w:ascii="Open Sans" w:hAnsi="Open Sans" w:eastAsia="Open Sans" w:cs="Open Sans"/>
          <w:b w:val="1"/>
          <w:bCs w:val="1"/>
          <w:noProof w:val="0"/>
          <w:sz w:val="32"/>
          <w:szCs w:val="32"/>
          <w:lang w:val="en-GB"/>
        </w:rPr>
        <w:t>:</w:t>
      </w:r>
      <w:r w:rsidRPr="01794E88" w:rsidR="0F9BA116">
        <w:rPr>
          <w:rFonts w:ascii="Open Sans" w:hAnsi="Open Sans" w:eastAsia="Open Sans" w:cs="Open Sans"/>
          <w:noProof w:val="0"/>
          <w:sz w:val="32"/>
          <w:szCs w:val="32"/>
          <w:lang w:val="en-GB"/>
        </w:rPr>
        <w:t xml:space="preserve"> Social Value</w:t>
      </w:r>
    </w:p>
    <w:tbl>
      <w:tblPr>
        <w:tblStyle w:val="TableGrid"/>
        <w:tblW w:w="0" w:type="auto"/>
        <w:tblLayout w:type="fixed"/>
        <w:tblLook w:val="04A0" w:firstRow="1" w:lastRow="0" w:firstColumn="1" w:lastColumn="0" w:noHBand="0" w:noVBand="1"/>
      </w:tblPr>
      <w:tblGrid>
        <w:gridCol w:w="1488"/>
        <w:gridCol w:w="7527"/>
      </w:tblGrid>
      <w:tr w:rsidR="4F793D28" w:rsidTr="4F793D28" w14:paraId="6F0D84BE">
        <w:trPr>
          <w:trHeight w:val="300"/>
        </w:trPr>
        <w:tc>
          <w:tcPr>
            <w:tcW w:w="1488" w:type="dxa"/>
            <w:tcBorders>
              <w:top w:val="nil"/>
              <w:left w:val="nil"/>
              <w:bottom w:val="single" w:color="005A70" w:sz="8"/>
              <w:right w:val="single" w:color="005A70" w:sz="8"/>
            </w:tcBorders>
            <w:tcMar>
              <w:left w:w="108" w:type="dxa"/>
              <w:right w:w="108" w:type="dxa"/>
            </w:tcMar>
            <w:vAlign w:val="top"/>
          </w:tcPr>
          <w:p w:rsidR="4F793D28" w:rsidP="4F793D28" w:rsidRDefault="4F793D28" w14:paraId="5F29C118" w14:textId="5A586003">
            <w:pPr>
              <w:spacing w:before="60" w:beforeAutospacing="off" w:after="60" w:afterAutospacing="off"/>
            </w:pPr>
            <w:r w:rsidRPr="4F793D28" w:rsidR="4F793D28">
              <w:rPr>
                <w:rFonts w:ascii="Arial" w:hAnsi="Arial" w:eastAsia="Arial" w:cs="Arial"/>
                <w:sz w:val="22"/>
                <w:szCs w:val="22"/>
              </w:rPr>
              <w:t>Purpose:</w:t>
            </w:r>
          </w:p>
        </w:tc>
        <w:tc>
          <w:tcPr>
            <w:tcW w:w="7527" w:type="dxa"/>
            <w:tcBorders>
              <w:top w:val="nil"/>
              <w:left w:val="single" w:color="005A70" w:sz="8"/>
              <w:bottom w:val="single" w:color="005A70" w:sz="8"/>
              <w:right w:val="nil"/>
            </w:tcBorders>
            <w:tcMar>
              <w:left w:w="108" w:type="dxa"/>
              <w:right w:w="108" w:type="dxa"/>
            </w:tcMar>
            <w:vAlign w:val="top"/>
          </w:tcPr>
          <w:p w:rsidR="4F793D28" w:rsidP="4F793D28" w:rsidRDefault="4F793D28" w14:paraId="63956E3F" w14:textId="0A0AA4E7">
            <w:pPr>
              <w:spacing w:before="60" w:beforeAutospacing="off" w:after="60" w:afterAutospacing="off"/>
            </w:pPr>
            <w:r w:rsidRPr="4F793D28" w:rsidR="4F793D28">
              <w:rPr>
                <w:rFonts w:ascii="Arial" w:hAnsi="Arial" w:eastAsia="Arial" w:cs="Arial"/>
                <w:sz w:val="22"/>
                <w:szCs w:val="22"/>
              </w:rPr>
              <w:t xml:space="preserve">To determine the overall level of social value </w:t>
            </w:r>
          </w:p>
        </w:tc>
      </w:tr>
      <w:tr w:rsidR="4F793D28" w:rsidTr="4F793D28" w14:paraId="5BE56135">
        <w:trPr>
          <w:trHeight w:val="300"/>
        </w:trPr>
        <w:tc>
          <w:tcPr>
            <w:tcW w:w="1488" w:type="dxa"/>
            <w:tcBorders>
              <w:top w:val="single" w:color="005A70" w:sz="8"/>
              <w:left w:val="nil"/>
              <w:bottom w:val="single" w:color="005A70" w:sz="8"/>
              <w:right w:val="single" w:color="005A70" w:sz="8"/>
            </w:tcBorders>
            <w:tcMar>
              <w:left w:w="108" w:type="dxa"/>
              <w:right w:w="108" w:type="dxa"/>
            </w:tcMar>
            <w:vAlign w:val="top"/>
          </w:tcPr>
          <w:p w:rsidR="4F793D28" w:rsidP="4F793D28" w:rsidRDefault="4F793D28" w14:paraId="6A31E2CF" w14:textId="464D0CA2">
            <w:pPr>
              <w:spacing w:before="60" w:beforeAutospacing="off" w:after="60" w:afterAutospacing="off"/>
            </w:pPr>
            <w:r w:rsidRPr="4F793D28" w:rsidR="4F793D28">
              <w:rPr>
                <w:rFonts w:ascii="Arial" w:hAnsi="Arial" w:eastAsia="Arial" w:cs="Arial"/>
                <w:sz w:val="22"/>
                <w:szCs w:val="22"/>
              </w:rPr>
              <w:t>Definition:</w:t>
            </w:r>
          </w:p>
        </w:tc>
        <w:tc>
          <w:tcPr>
            <w:tcW w:w="7527" w:type="dxa"/>
            <w:tcBorders>
              <w:top w:val="single" w:color="005A70" w:sz="8"/>
              <w:left w:val="single" w:color="005A70" w:sz="8"/>
              <w:bottom w:val="single" w:color="005A70" w:sz="8"/>
              <w:right w:val="nil"/>
            </w:tcBorders>
            <w:tcMar>
              <w:left w:w="108" w:type="dxa"/>
              <w:right w:w="108" w:type="dxa"/>
            </w:tcMar>
            <w:vAlign w:val="top"/>
          </w:tcPr>
          <w:p w:rsidR="4F793D28" w:rsidP="4F793D28" w:rsidRDefault="4F793D28" w14:paraId="6F021959" w14:textId="4A27B3B3">
            <w:pPr>
              <w:spacing w:before="60" w:beforeAutospacing="off" w:after="60" w:afterAutospacing="off"/>
            </w:pPr>
            <w:r w:rsidRPr="4F793D28" w:rsidR="4F793D28">
              <w:rPr>
                <w:rFonts w:ascii="Arial" w:hAnsi="Arial" w:eastAsia="Arial" w:cs="Arial"/>
                <w:sz w:val="22"/>
                <w:szCs w:val="22"/>
              </w:rPr>
              <w:t>The agreed level of social value contribution is delivered annually</w:t>
            </w:r>
          </w:p>
        </w:tc>
      </w:tr>
      <w:tr w:rsidR="4F793D28" w:rsidTr="4F793D28" w14:paraId="6EA335B4">
        <w:trPr>
          <w:trHeight w:val="300"/>
        </w:trPr>
        <w:tc>
          <w:tcPr>
            <w:tcW w:w="1488" w:type="dxa"/>
            <w:tcBorders>
              <w:top w:val="single" w:color="005A70" w:sz="8"/>
              <w:left w:val="nil"/>
              <w:bottom w:val="single" w:color="005A70" w:sz="8"/>
              <w:right w:val="single" w:color="005A70" w:sz="8"/>
            </w:tcBorders>
            <w:tcMar>
              <w:left w:w="108" w:type="dxa"/>
              <w:right w:w="108" w:type="dxa"/>
            </w:tcMar>
            <w:vAlign w:val="top"/>
          </w:tcPr>
          <w:p w:rsidR="4F793D28" w:rsidP="4F793D28" w:rsidRDefault="4F793D28" w14:paraId="3298BCF4" w14:textId="209CAA05">
            <w:pPr>
              <w:spacing w:before="60" w:beforeAutospacing="off" w:after="0" w:afterAutospacing="off"/>
            </w:pPr>
            <w:r w:rsidRPr="4F793D28" w:rsidR="4F793D28">
              <w:rPr>
                <w:rFonts w:ascii="Arial" w:hAnsi="Arial" w:eastAsia="Arial" w:cs="Arial"/>
                <w:sz w:val="22"/>
                <w:szCs w:val="22"/>
              </w:rPr>
              <w:t>Method:</w:t>
            </w:r>
          </w:p>
        </w:tc>
        <w:tc>
          <w:tcPr>
            <w:tcW w:w="7527" w:type="dxa"/>
            <w:tcBorders>
              <w:top w:val="single" w:color="005A70" w:sz="8"/>
              <w:left w:val="single" w:color="005A70" w:sz="8"/>
              <w:bottom w:val="single" w:color="005A70" w:sz="8"/>
              <w:right w:val="nil"/>
            </w:tcBorders>
            <w:tcMar>
              <w:left w:w="108" w:type="dxa"/>
              <w:right w:w="108" w:type="dxa"/>
            </w:tcMar>
            <w:vAlign w:val="top"/>
          </w:tcPr>
          <w:p w:rsidR="4F793D28" w:rsidP="4F793D28" w:rsidRDefault="4F793D28" w14:paraId="3838A410" w14:textId="3926D061">
            <w:pPr>
              <w:spacing w:before="60" w:beforeAutospacing="off" w:after="120" w:afterAutospacing="off"/>
            </w:pPr>
            <w:r w:rsidRPr="4F793D28" w:rsidR="4F793D28">
              <w:rPr>
                <w:rFonts w:ascii="Arial" w:hAnsi="Arial" w:eastAsia="Arial" w:cs="Arial"/>
                <w:sz w:val="22"/>
                <w:szCs w:val="22"/>
              </w:rPr>
              <w:t>Agreed social value contribution is calculated against the total value of works delivered in the contract.</w:t>
            </w:r>
          </w:p>
        </w:tc>
      </w:tr>
      <w:tr w:rsidR="4F793D28" w:rsidTr="4F793D28" w14:paraId="713CCE89">
        <w:trPr>
          <w:trHeight w:val="300"/>
        </w:trPr>
        <w:tc>
          <w:tcPr>
            <w:tcW w:w="1488" w:type="dxa"/>
            <w:tcBorders>
              <w:top w:val="single" w:color="005A70" w:sz="8"/>
              <w:left w:val="nil"/>
              <w:bottom w:val="single" w:color="005A70" w:sz="8"/>
              <w:right w:val="single" w:color="005A70" w:sz="8"/>
            </w:tcBorders>
            <w:tcMar>
              <w:left w:w="108" w:type="dxa"/>
              <w:right w:w="108" w:type="dxa"/>
            </w:tcMar>
            <w:vAlign w:val="top"/>
          </w:tcPr>
          <w:p w:rsidR="4F793D28" w:rsidP="4F793D28" w:rsidRDefault="4F793D28" w14:paraId="7F1FBFA2" w14:textId="1C71FB2E">
            <w:pPr>
              <w:spacing w:before="60" w:beforeAutospacing="off" w:after="0" w:afterAutospacing="off"/>
            </w:pPr>
            <w:r w:rsidRPr="4F793D28" w:rsidR="4F793D28">
              <w:rPr>
                <w:rFonts w:ascii="Arial" w:hAnsi="Arial" w:eastAsia="Arial" w:cs="Arial"/>
                <w:sz w:val="22"/>
                <w:szCs w:val="22"/>
              </w:rPr>
              <w:t>Example:</w:t>
            </w:r>
          </w:p>
        </w:tc>
        <w:tc>
          <w:tcPr>
            <w:tcW w:w="7527" w:type="dxa"/>
            <w:tcBorders>
              <w:top w:val="single" w:color="005A70" w:sz="8"/>
              <w:left w:val="single" w:color="005A70" w:sz="8"/>
              <w:bottom w:val="single" w:color="005A70" w:sz="8"/>
              <w:right w:val="nil"/>
            </w:tcBorders>
            <w:tcMar>
              <w:left w:w="108" w:type="dxa"/>
              <w:right w:w="108" w:type="dxa"/>
            </w:tcMar>
            <w:vAlign w:val="top"/>
          </w:tcPr>
          <w:p w:rsidR="4F793D28" w:rsidP="4F793D28" w:rsidRDefault="4F793D28" w14:paraId="26D83BBA" w14:textId="486AB4F2">
            <w:pPr>
              <w:spacing w:before="120" w:beforeAutospacing="off" w:after="60" w:afterAutospacing="off"/>
            </w:pPr>
            <w:r w:rsidRPr="4F793D28" w:rsidR="4F793D28">
              <w:rPr>
                <w:rFonts w:ascii="Arial" w:hAnsi="Arial" w:eastAsia="Arial" w:cs="Arial"/>
                <w:sz w:val="22"/>
                <w:szCs w:val="22"/>
              </w:rPr>
              <w:t xml:space="preserve">1% Social Value contribution agreed annually. </w:t>
            </w:r>
          </w:p>
          <w:p w:rsidR="4F793D28" w:rsidP="4F793D28" w:rsidRDefault="4F793D28" w14:paraId="3A40B5BE" w14:textId="4D565510">
            <w:pPr>
              <w:spacing w:before="120" w:beforeAutospacing="off" w:after="60" w:afterAutospacing="off"/>
            </w:pPr>
            <w:r w:rsidRPr="4F793D28" w:rsidR="4F793D28">
              <w:rPr>
                <w:rFonts w:ascii="Arial" w:hAnsi="Arial" w:eastAsia="Arial" w:cs="Arial"/>
                <w:sz w:val="22"/>
                <w:szCs w:val="22"/>
              </w:rPr>
              <w:t xml:space="preserve">For example, </w:t>
            </w:r>
          </w:p>
          <w:p w:rsidR="4F793D28" w:rsidP="4F793D28" w:rsidRDefault="4F793D28" w14:paraId="41AB4E88" w14:textId="79B4BB1E">
            <w:pPr>
              <w:spacing w:before="120" w:beforeAutospacing="off" w:after="60" w:afterAutospacing="off"/>
            </w:pPr>
            <w:r w:rsidRPr="4F793D28" w:rsidR="4F793D28">
              <w:rPr>
                <w:rFonts w:ascii="Arial" w:hAnsi="Arial" w:eastAsia="Arial" w:cs="Arial"/>
                <w:sz w:val="22"/>
                <w:szCs w:val="22"/>
              </w:rPr>
              <w:t>£1,000,000 works deliver in a year equals £10,000 social value</w:t>
            </w:r>
          </w:p>
          <w:p w:rsidR="4F793D28" w:rsidP="4F793D28" w:rsidRDefault="4F793D28" w14:paraId="5D4A2D2B" w14:textId="4B07D107">
            <w:pPr>
              <w:spacing w:before="120" w:beforeAutospacing="off" w:after="60" w:afterAutospacing="off"/>
            </w:pPr>
            <w:r w:rsidRPr="4F793D28" w:rsidR="4F793D28">
              <w:rPr>
                <w:rFonts w:ascii="Arial" w:hAnsi="Arial" w:eastAsia="Arial" w:cs="Arial"/>
                <w:sz w:val="22"/>
                <w:szCs w:val="22"/>
              </w:rPr>
              <w:t>£2,000,000 works deliver in a year equals £20,000 social value</w:t>
            </w:r>
          </w:p>
          <w:p w:rsidR="4F793D28" w:rsidP="4F793D28" w:rsidRDefault="4F793D28" w14:paraId="38E3F513" w14:textId="3A8E863C">
            <w:pPr>
              <w:spacing w:before="120" w:beforeAutospacing="off" w:after="60" w:afterAutospacing="off"/>
            </w:pPr>
            <w:r w:rsidRPr="4F793D28" w:rsidR="4F793D28">
              <w:rPr>
                <w:rFonts w:ascii="Arial" w:hAnsi="Arial" w:eastAsia="Arial" w:cs="Arial"/>
                <w:sz w:val="22"/>
                <w:szCs w:val="22"/>
              </w:rPr>
              <w:t xml:space="preserve"> </w:t>
            </w:r>
          </w:p>
        </w:tc>
      </w:tr>
      <w:tr w:rsidR="4F793D28" w:rsidTr="4F793D28" w14:paraId="0C665C28">
        <w:trPr>
          <w:trHeight w:val="300"/>
        </w:trPr>
        <w:tc>
          <w:tcPr>
            <w:tcW w:w="1488" w:type="dxa"/>
            <w:tcBorders>
              <w:top w:val="single" w:color="005A70" w:sz="8"/>
              <w:left w:val="nil"/>
              <w:bottom w:val="nil"/>
              <w:right w:val="single" w:color="005A70" w:sz="8"/>
            </w:tcBorders>
            <w:tcMar>
              <w:left w:w="108" w:type="dxa"/>
              <w:right w:w="108" w:type="dxa"/>
            </w:tcMar>
            <w:vAlign w:val="top"/>
          </w:tcPr>
          <w:p w:rsidR="4F793D28" w:rsidP="4F793D28" w:rsidRDefault="4F793D28" w14:paraId="2C961C02" w14:textId="1639DD00">
            <w:pPr>
              <w:spacing w:before="60" w:beforeAutospacing="off" w:after="0" w:afterAutospacing="off"/>
            </w:pPr>
            <w:r w:rsidRPr="4F793D28" w:rsidR="4F793D28">
              <w:rPr>
                <w:rFonts w:ascii="Arial" w:hAnsi="Arial" w:eastAsia="Arial" w:cs="Arial"/>
                <w:sz w:val="22"/>
                <w:szCs w:val="22"/>
              </w:rPr>
              <w:t>Target:</w:t>
            </w:r>
          </w:p>
        </w:tc>
        <w:tc>
          <w:tcPr>
            <w:tcW w:w="7527" w:type="dxa"/>
            <w:tcBorders>
              <w:top w:val="single" w:color="005A70" w:sz="8"/>
              <w:left w:val="single" w:color="005A70" w:sz="8"/>
              <w:bottom w:val="nil"/>
              <w:right w:val="nil"/>
            </w:tcBorders>
            <w:tcMar>
              <w:left w:w="108" w:type="dxa"/>
              <w:right w:w="108" w:type="dxa"/>
            </w:tcMar>
            <w:vAlign w:val="top"/>
          </w:tcPr>
          <w:p w:rsidR="4F793D28" w:rsidP="4F793D28" w:rsidRDefault="4F793D28" w14:paraId="77FEF1DB" w14:textId="49DB2F2F">
            <w:pPr>
              <w:spacing w:before="60" w:beforeAutospacing="off" w:after="120" w:afterAutospacing="off"/>
            </w:pPr>
            <w:r w:rsidRPr="4F793D28" w:rsidR="4F793D28">
              <w:rPr>
                <w:rFonts w:ascii="Arial" w:hAnsi="Arial" w:eastAsia="Arial" w:cs="Arial"/>
                <w:sz w:val="22"/>
                <w:szCs w:val="22"/>
              </w:rPr>
              <w:t>1%</w:t>
            </w:r>
          </w:p>
        </w:tc>
      </w:tr>
    </w:tbl>
    <w:p w:rsidR="00F06EE9" w:rsidP="001379B1" w:rsidRDefault="00F06EE9" w14:paraId="7D567687" w14:textId="1352BBE2">
      <w:pPr>
        <w:spacing w:after="120" w:line="240" w:lineRule="auto"/>
        <w:rPr>
          <w:rFonts w:ascii="Arial" w:hAnsi="Arial" w:cs="Arial"/>
        </w:rPr>
      </w:pPr>
    </w:p>
    <w:p w:rsidR="00F06EE9" w:rsidP="001379B1" w:rsidRDefault="00F06EE9" w14:paraId="2986E2AE" w14:textId="36B2F61E">
      <w:pPr>
        <w:spacing w:after="120" w:line="240" w:lineRule="auto"/>
        <w:rPr>
          <w:rFonts w:ascii="Arial" w:hAnsi="Arial" w:cs="Arial"/>
        </w:rPr>
      </w:pPr>
    </w:p>
    <w:sectPr w:rsidR="00F06EE9" w:rsidSect="001379B1">
      <w:headerReference w:type="default" r:id="rId11"/>
      <w:footerReference w:type="default" r:id="rId12"/>
      <w:headerReference w:type="first" r:id="rId13"/>
      <w:footerReference w:type="first" r:id="rId14"/>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0FFF" w:rsidP="008438CE" w:rsidRDefault="00F90FFF" w14:paraId="3D1E11CE" w14:textId="77777777">
      <w:pPr>
        <w:spacing w:after="0" w:line="240" w:lineRule="auto"/>
      </w:pPr>
      <w:r>
        <w:separator/>
      </w:r>
    </w:p>
  </w:endnote>
  <w:endnote w:type="continuationSeparator" w:id="0">
    <w:p w:rsidR="00F90FFF" w:rsidP="008438CE" w:rsidRDefault="00F90FFF" w14:paraId="52F74C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Arial"/>
    <w:charset w:val="00"/>
    <w:family w:val="auto"/>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005A70" w:sz="4" w:space="0"/>
      </w:tblBorders>
      <w:tblLook w:val="01E0" w:firstRow="1" w:lastRow="1" w:firstColumn="1" w:lastColumn="1" w:noHBand="0" w:noVBand="0"/>
    </w:tblPr>
    <w:tblGrid>
      <w:gridCol w:w="7834"/>
      <w:gridCol w:w="1192"/>
    </w:tblGrid>
    <w:tr w:rsidRPr="00D64953" w:rsidR="00724677" w:rsidTr="00D64953" w14:paraId="6E264DA1" w14:textId="77777777">
      <w:tc>
        <w:tcPr>
          <w:tcW w:w="8028" w:type="dxa"/>
        </w:tcPr>
        <w:p w:rsidRPr="00D64953" w:rsidR="00724677" w:rsidP="00C41382" w:rsidRDefault="00724677" w14:paraId="684401D4" w14:textId="001ACDD0">
          <w:pPr>
            <w:pStyle w:val="Footer"/>
            <w:spacing w:before="120"/>
            <w:ind w:right="360"/>
            <w:rPr>
              <w:rFonts w:ascii="Arial" w:hAnsi="Arial" w:cs="Arial"/>
              <w:sz w:val="20"/>
              <w:szCs w:val="20"/>
            </w:rPr>
          </w:pPr>
        </w:p>
      </w:tc>
      <w:tc>
        <w:tcPr>
          <w:tcW w:w="1214" w:type="dxa"/>
        </w:tcPr>
        <w:p w:rsidRPr="00D64953" w:rsidR="00724677" w:rsidP="00C41382" w:rsidRDefault="00724677" w14:paraId="14071110" w14:textId="77777777">
          <w:pPr>
            <w:pStyle w:val="Footer"/>
            <w:spacing w:before="120"/>
            <w:jc w:val="right"/>
            <w:rPr>
              <w:rFonts w:ascii="Arial" w:hAnsi="Arial" w:cs="Arial"/>
            </w:rPr>
          </w:pPr>
          <w:r w:rsidRPr="00D64953">
            <w:rPr>
              <w:rStyle w:val="PageNumber"/>
              <w:rFonts w:ascii="Arial" w:hAnsi="Arial" w:cs="Arial"/>
            </w:rPr>
            <w:fldChar w:fldCharType="begin"/>
          </w:r>
          <w:r w:rsidRPr="00D64953">
            <w:rPr>
              <w:rStyle w:val="PageNumber"/>
              <w:rFonts w:ascii="Arial" w:hAnsi="Arial" w:cs="Arial"/>
            </w:rPr>
            <w:instrText xml:space="preserve"> PAGE </w:instrText>
          </w:r>
          <w:r w:rsidRPr="00D64953">
            <w:rPr>
              <w:rStyle w:val="PageNumber"/>
              <w:rFonts w:ascii="Arial" w:hAnsi="Arial" w:cs="Arial"/>
            </w:rPr>
            <w:fldChar w:fldCharType="separate"/>
          </w:r>
          <w:r w:rsidR="006464B4">
            <w:rPr>
              <w:rStyle w:val="PageNumber"/>
              <w:rFonts w:ascii="Arial" w:hAnsi="Arial" w:cs="Arial"/>
              <w:noProof/>
            </w:rPr>
            <w:t>1</w:t>
          </w:r>
          <w:r w:rsidRPr="00D64953">
            <w:rPr>
              <w:rStyle w:val="PageNumber"/>
              <w:rFonts w:ascii="Arial" w:hAnsi="Arial" w:cs="Arial"/>
            </w:rPr>
            <w:fldChar w:fldCharType="end"/>
          </w:r>
        </w:p>
      </w:tc>
    </w:tr>
  </w:tbl>
  <w:p w:rsidRPr="00D64953" w:rsidR="00724677" w:rsidRDefault="00F601C8" w14:paraId="4E7D09E1" w14:textId="743A3043">
    <w:pPr>
      <w:pStyle w:val="Footer"/>
      <w:rPr>
        <w:rFonts w:ascii="Arial" w:hAnsi="Arial" w:cs="Arial"/>
        <w:sz w:val="16"/>
        <w:szCs w:val="16"/>
      </w:rPr>
    </w:pPr>
    <w:r>
      <w:rPr>
        <w:noProof/>
      </w:rPr>
      <w:drawing>
        <wp:anchor distT="0" distB="0" distL="114300" distR="114300" simplePos="0" relativeHeight="251659264" behindDoc="0" locked="0" layoutInCell="1" allowOverlap="1" wp14:anchorId="775A7F42" wp14:editId="37E62A4B">
          <wp:simplePos x="0" y="0"/>
          <wp:positionH relativeFrom="column">
            <wp:posOffset>5615940</wp:posOffset>
          </wp:positionH>
          <wp:positionV relativeFrom="paragraph">
            <wp:posOffset>-434340</wp:posOffset>
          </wp:positionV>
          <wp:extent cx="1085850" cy="987136"/>
          <wp:effectExtent l="0" t="0" r="0" b="3810"/>
          <wp:wrapNone/>
          <wp:docPr id="7"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98713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601C8" w:rsidRDefault="00F601C8" w14:paraId="4591D4A1" w14:textId="4F1D708C">
    <w:pPr>
      <w:pStyle w:val="Footer"/>
    </w:pPr>
    <w:r>
      <w:rPr>
        <w:noProof/>
      </w:rPr>
      <w:drawing>
        <wp:anchor distT="0" distB="0" distL="114300" distR="114300" simplePos="0" relativeHeight="251658240" behindDoc="0" locked="0" layoutInCell="1" allowOverlap="1" wp14:anchorId="3773811A" wp14:editId="71262BEF">
          <wp:simplePos x="0" y="0"/>
          <wp:positionH relativeFrom="column">
            <wp:posOffset>5509260</wp:posOffset>
          </wp:positionH>
          <wp:positionV relativeFrom="paragraph">
            <wp:posOffset>-382905</wp:posOffset>
          </wp:positionV>
          <wp:extent cx="1085850" cy="987136"/>
          <wp:effectExtent l="0" t="0" r="0" b="3810"/>
          <wp:wrapNone/>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9871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0FFF" w:rsidP="008438CE" w:rsidRDefault="00F90FFF" w14:paraId="5D161F2A" w14:textId="77777777">
      <w:pPr>
        <w:spacing w:after="0" w:line="240" w:lineRule="auto"/>
      </w:pPr>
      <w:r>
        <w:separator/>
      </w:r>
    </w:p>
  </w:footnote>
  <w:footnote w:type="continuationSeparator" w:id="0">
    <w:p w:rsidR="00F90FFF" w:rsidP="008438CE" w:rsidRDefault="00F90FFF" w14:paraId="56DB00B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single" w:color="005A70" w:sz="4" w:space="0"/>
        <w:right w:val="none" w:color="auto" w:sz="0" w:space="0"/>
        <w:insideH w:val="none" w:color="auto" w:sz="0" w:space="0"/>
        <w:insideV w:val="none" w:color="auto" w:sz="0" w:space="0"/>
      </w:tblBorders>
      <w:tblLook w:val="04A0" w:firstRow="1" w:lastRow="0" w:firstColumn="1" w:lastColumn="0" w:noHBand="0" w:noVBand="1"/>
    </w:tblPr>
    <w:tblGrid>
      <w:gridCol w:w="6333"/>
      <w:gridCol w:w="2693"/>
    </w:tblGrid>
    <w:tr w:rsidR="008438CE" w:rsidTr="00D64953" w14:paraId="19128A11" w14:textId="77777777">
      <w:tc>
        <w:tcPr>
          <w:tcW w:w="6487" w:type="dxa"/>
          <w:vAlign w:val="center"/>
        </w:tcPr>
        <w:p w:rsidRPr="00D64953" w:rsidR="008438CE" w:rsidP="002F4C71" w:rsidRDefault="008438CE" w14:paraId="13DBBB56" w14:textId="661D1BD8">
          <w:pPr>
            <w:pStyle w:val="Header"/>
            <w:spacing w:after="60"/>
            <w:rPr>
              <w:rFonts w:ascii="Arial" w:hAnsi="Arial" w:cs="Arial"/>
              <w:sz w:val="32"/>
              <w:szCs w:val="32"/>
            </w:rPr>
          </w:pPr>
        </w:p>
      </w:tc>
      <w:tc>
        <w:tcPr>
          <w:tcW w:w="2755" w:type="dxa"/>
        </w:tcPr>
        <w:p w:rsidR="008438CE" w:rsidP="00D64953" w:rsidRDefault="008438CE" w14:paraId="6FAE9EE4" w14:textId="165215DA">
          <w:pPr>
            <w:pStyle w:val="Header"/>
            <w:spacing w:after="60"/>
            <w:jc w:val="right"/>
          </w:pPr>
        </w:p>
      </w:tc>
    </w:tr>
  </w:tbl>
  <w:p w:rsidR="008438CE" w:rsidRDefault="008438CE" w14:paraId="77475DC1" w14:textId="05C2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601C8" w:rsidRDefault="00F601C8" w14:paraId="6FB97962" w14:textId="3972A362">
    <w:pPr>
      <w:pStyle w:val="Header"/>
    </w:pPr>
    <w:r w:rsidRPr="00B15C3D">
      <w:rPr>
        <w:rFonts w:cs="Arial"/>
        <w:noProof/>
        <w:sz w:val="40"/>
        <w:szCs w:val="40"/>
      </w:rPr>
      <w:drawing>
        <wp:inline distT="0" distB="0" distL="0" distR="0" wp14:anchorId="7DF2A6F6" wp14:editId="514DFD60">
          <wp:extent cx="5731510" cy="1614170"/>
          <wp:effectExtent l="0" t="0" r="2540" b="508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614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22a0bb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CD06E1F"/>
    <w:multiLevelType w:val="hybridMultilevel"/>
    <w:tmpl w:val="CCFA3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8943CC"/>
    <w:multiLevelType w:val="multilevel"/>
    <w:tmpl w:val="9D56655E"/>
    <w:lvl w:ilvl="0">
      <w:start w:val="1"/>
      <w:numFmt w:val="decimal"/>
      <w:pStyle w:val="Anna1"/>
      <w:lvlText w:val="%1."/>
      <w:lvlJc w:val="left"/>
      <w:pPr>
        <w:ind w:left="360" w:hanging="360"/>
      </w:pPr>
      <w:rPr>
        <w:rFonts w:hint="default" w:ascii="Arial" w:hAnsi="Arial" w:eastAsia="Calibri" w:cs="Arial"/>
        <w:b/>
        <w:sz w:val="20"/>
        <w:szCs w:val="20"/>
      </w:rPr>
    </w:lvl>
    <w:lvl w:ilvl="1">
      <w:start w:val="1"/>
      <w:numFmt w:val="decimal"/>
      <w:pStyle w:val="Anna2"/>
      <w:lvlText w:val="%1.%2."/>
      <w:lvlJc w:val="left"/>
      <w:pPr>
        <w:ind w:left="857"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abicLevel3"/>
      <w:lvlText w:val="%1.%2.%3."/>
      <w:lvlJc w:val="left"/>
      <w:pPr>
        <w:ind w:left="1224" w:hanging="504"/>
      </w:pPr>
      <w:rPr>
        <w:rFonts w:hint="default"/>
        <w:b w:val="0"/>
      </w:rPr>
    </w:lvl>
    <w:lvl w:ilvl="3">
      <w:start w:val="1"/>
      <w:numFmt w:val="decimal"/>
      <w:pStyle w:val="ArabicLevel4"/>
      <w:lvlText w:val="%1.%2.%3.%4."/>
      <w:lvlJc w:val="left"/>
      <w:pPr>
        <w:ind w:left="1728" w:hanging="648"/>
      </w:pPr>
      <w:rPr>
        <w:rFonts w:hint="default"/>
      </w:rPr>
    </w:lvl>
    <w:lvl w:ilvl="4">
      <w:start w:val="1"/>
      <w:numFmt w:val="decimal"/>
      <w:pStyle w:val="ArabicLevel5"/>
      <w:lvlText w:val="%1.%2.%3.%4.%5."/>
      <w:lvlJc w:val="left"/>
      <w:pPr>
        <w:ind w:left="2232" w:hanging="792"/>
      </w:pPr>
      <w:rPr>
        <w:rFonts w:hint="default"/>
      </w:rPr>
    </w:lvl>
    <w:lvl w:ilvl="5">
      <w:start w:val="1"/>
      <w:numFmt w:val="decimal"/>
      <w:pStyle w:val="ArabicLevel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3">
    <w:abstractNumId w:val="2"/>
  </w:num>
  <w:num w:numId="1" w16cid:durableId="1179005957">
    <w:abstractNumId w:val="1"/>
  </w:num>
  <w:num w:numId="2" w16cid:durableId="195509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CE"/>
    <w:rsid w:val="000705D6"/>
    <w:rsid w:val="0007790A"/>
    <w:rsid w:val="000A3AAE"/>
    <w:rsid w:val="000F744A"/>
    <w:rsid w:val="001379B1"/>
    <w:rsid w:val="001C6EE1"/>
    <w:rsid w:val="001D7B9C"/>
    <w:rsid w:val="002000E1"/>
    <w:rsid w:val="002501E7"/>
    <w:rsid w:val="00250C4A"/>
    <w:rsid w:val="0027006C"/>
    <w:rsid w:val="002A0B36"/>
    <w:rsid w:val="002B1AD2"/>
    <w:rsid w:val="002F4C71"/>
    <w:rsid w:val="003E637E"/>
    <w:rsid w:val="00434015"/>
    <w:rsid w:val="00461F7D"/>
    <w:rsid w:val="0050554E"/>
    <w:rsid w:val="00581CE1"/>
    <w:rsid w:val="00582A4B"/>
    <w:rsid w:val="005B0DE9"/>
    <w:rsid w:val="005C372A"/>
    <w:rsid w:val="005C3B1F"/>
    <w:rsid w:val="005C7A00"/>
    <w:rsid w:val="006464B4"/>
    <w:rsid w:val="006F231D"/>
    <w:rsid w:val="00724677"/>
    <w:rsid w:val="007436B4"/>
    <w:rsid w:val="00782695"/>
    <w:rsid w:val="007A6CA5"/>
    <w:rsid w:val="007E7F72"/>
    <w:rsid w:val="007F6175"/>
    <w:rsid w:val="00811A09"/>
    <w:rsid w:val="0082309B"/>
    <w:rsid w:val="008438CE"/>
    <w:rsid w:val="008B4B4F"/>
    <w:rsid w:val="009127EC"/>
    <w:rsid w:val="009B6C8D"/>
    <w:rsid w:val="009E3E04"/>
    <w:rsid w:val="00A45DEF"/>
    <w:rsid w:val="00B15C3D"/>
    <w:rsid w:val="00B50D51"/>
    <w:rsid w:val="00B87B97"/>
    <w:rsid w:val="00C03F4F"/>
    <w:rsid w:val="00C70C5F"/>
    <w:rsid w:val="00C734A7"/>
    <w:rsid w:val="00C7528C"/>
    <w:rsid w:val="00C917E4"/>
    <w:rsid w:val="00CB44A9"/>
    <w:rsid w:val="00CB64C2"/>
    <w:rsid w:val="00CD4F14"/>
    <w:rsid w:val="00CF09A7"/>
    <w:rsid w:val="00D03636"/>
    <w:rsid w:val="00D1018E"/>
    <w:rsid w:val="00D260FF"/>
    <w:rsid w:val="00D646B4"/>
    <w:rsid w:val="00D64953"/>
    <w:rsid w:val="00D76F5A"/>
    <w:rsid w:val="00DC4F61"/>
    <w:rsid w:val="00E70791"/>
    <w:rsid w:val="00EF599A"/>
    <w:rsid w:val="00F06EDD"/>
    <w:rsid w:val="00F06EE9"/>
    <w:rsid w:val="00F1147E"/>
    <w:rsid w:val="00F601C8"/>
    <w:rsid w:val="00F6332D"/>
    <w:rsid w:val="00F700EC"/>
    <w:rsid w:val="00F90FFF"/>
    <w:rsid w:val="00FF30D0"/>
    <w:rsid w:val="00FF66E0"/>
    <w:rsid w:val="011043A5"/>
    <w:rsid w:val="01794E88"/>
    <w:rsid w:val="04F2DF20"/>
    <w:rsid w:val="06B379B8"/>
    <w:rsid w:val="0A7B715A"/>
    <w:rsid w:val="0C25A41E"/>
    <w:rsid w:val="0EF660AB"/>
    <w:rsid w:val="0F9BA116"/>
    <w:rsid w:val="14A716DF"/>
    <w:rsid w:val="15B69F3C"/>
    <w:rsid w:val="1DCCA851"/>
    <w:rsid w:val="1F2C5214"/>
    <w:rsid w:val="22F8F6D2"/>
    <w:rsid w:val="2419CFA9"/>
    <w:rsid w:val="2A4DA26C"/>
    <w:rsid w:val="2E653074"/>
    <w:rsid w:val="32984867"/>
    <w:rsid w:val="34DD4D92"/>
    <w:rsid w:val="36083B51"/>
    <w:rsid w:val="4E56B2EE"/>
    <w:rsid w:val="4F793D28"/>
    <w:rsid w:val="614D30DA"/>
    <w:rsid w:val="66EFFE81"/>
    <w:rsid w:val="6A300A16"/>
    <w:rsid w:val="6A690D31"/>
    <w:rsid w:val="6BEA617B"/>
    <w:rsid w:val="6FC77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DD7A"/>
  <w15:docId w15:val="{A31B0B58-3186-4092-BA92-7448D239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000E1"/>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438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38CE"/>
  </w:style>
  <w:style w:type="paragraph" w:styleId="Footer">
    <w:name w:val="footer"/>
    <w:basedOn w:val="Normal"/>
    <w:link w:val="FooterChar"/>
    <w:unhideWhenUsed/>
    <w:rsid w:val="008438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38CE"/>
  </w:style>
  <w:style w:type="table" w:styleId="TableGrid">
    <w:name w:val="Table Grid"/>
    <w:basedOn w:val="TableNormal"/>
    <w:uiPriority w:val="59"/>
    <w:rsid w:val="008438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438C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438CE"/>
    <w:rPr>
      <w:rFonts w:ascii="Tahoma" w:hAnsi="Tahoma" w:cs="Tahoma"/>
      <w:sz w:val="16"/>
      <w:szCs w:val="16"/>
    </w:rPr>
  </w:style>
  <w:style w:type="character" w:styleId="PageNumber">
    <w:name w:val="page number"/>
    <w:basedOn w:val="DefaultParagraphFont"/>
    <w:rsid w:val="00724677"/>
  </w:style>
  <w:style w:type="paragraph" w:styleId="Anna1" w:customStyle="1">
    <w:name w:val="Anna 1"/>
    <w:basedOn w:val="Normal"/>
    <w:link w:val="Anna1Char"/>
    <w:qFormat/>
    <w:rsid w:val="001379B1"/>
    <w:pPr>
      <w:numPr>
        <w:numId w:val="1"/>
      </w:numPr>
      <w:tabs>
        <w:tab w:val="left" w:pos="851"/>
      </w:tabs>
      <w:spacing w:before="240" w:after="240" w:line="360" w:lineRule="auto"/>
    </w:pPr>
    <w:rPr>
      <w:rFonts w:ascii="Calibri" w:hAnsi="Calibri" w:eastAsia="Calibri" w:cs="Times New Roman"/>
      <w:b/>
      <w:sz w:val="24"/>
    </w:rPr>
  </w:style>
  <w:style w:type="character" w:styleId="Anna1Char" w:customStyle="1">
    <w:name w:val="Anna 1 Char"/>
    <w:link w:val="Anna1"/>
    <w:rsid w:val="001379B1"/>
    <w:rPr>
      <w:rFonts w:ascii="Calibri" w:hAnsi="Calibri" w:eastAsia="Calibri" w:cs="Times New Roman"/>
      <w:b/>
      <w:sz w:val="24"/>
    </w:rPr>
  </w:style>
  <w:style w:type="paragraph" w:styleId="Anna2" w:customStyle="1">
    <w:name w:val="Anna2"/>
    <w:basedOn w:val="Anna1"/>
    <w:qFormat/>
    <w:rsid w:val="001379B1"/>
    <w:pPr>
      <w:numPr>
        <w:ilvl w:val="1"/>
      </w:numPr>
      <w:tabs>
        <w:tab w:val="num" w:pos="360"/>
        <w:tab w:val="num" w:pos="1080"/>
      </w:tabs>
      <w:ind w:left="1080" w:hanging="360"/>
    </w:pPr>
    <w:rPr>
      <w:szCs w:val="24"/>
    </w:rPr>
  </w:style>
  <w:style w:type="paragraph" w:styleId="ArabicLevel3" w:customStyle="1">
    <w:name w:val="Arabic_Level 3"/>
    <w:basedOn w:val="Normal"/>
    <w:next w:val="Normal"/>
    <w:uiPriority w:val="99"/>
    <w:rsid w:val="001379B1"/>
    <w:pPr>
      <w:numPr>
        <w:ilvl w:val="2"/>
        <w:numId w:val="1"/>
      </w:numPr>
      <w:tabs>
        <w:tab w:val="left" w:pos="2016"/>
        <w:tab w:val="left" w:pos="3024"/>
        <w:tab w:val="left" w:pos="4032"/>
        <w:tab w:val="left" w:pos="5040"/>
        <w:tab w:val="left" w:pos="6048"/>
        <w:tab w:val="left" w:pos="7056"/>
        <w:tab w:val="left" w:pos="8064"/>
        <w:tab w:val="right" w:pos="9029"/>
      </w:tabs>
      <w:bidi/>
      <w:spacing w:after="240"/>
      <w:jc w:val="both"/>
      <w:outlineLvl w:val="2"/>
    </w:pPr>
    <w:rPr>
      <w:rFonts w:ascii="Arial" w:hAnsi="Arial" w:eastAsia="Times New Roman" w:cs="Arial"/>
      <w:sz w:val="24"/>
      <w:szCs w:val="24"/>
      <w:lang w:eastAsia="en-GB" w:bidi="ar-EG"/>
    </w:rPr>
  </w:style>
  <w:style w:type="paragraph" w:styleId="ArabicLevel4" w:customStyle="1">
    <w:name w:val="Arabic_Level 4"/>
    <w:basedOn w:val="Normal"/>
    <w:next w:val="Normal"/>
    <w:uiPriority w:val="99"/>
    <w:rsid w:val="001379B1"/>
    <w:pPr>
      <w:numPr>
        <w:ilvl w:val="3"/>
        <w:numId w:val="1"/>
      </w:numPr>
      <w:tabs>
        <w:tab w:val="num" w:pos="2693"/>
        <w:tab w:val="left" w:pos="3024"/>
        <w:tab w:val="left" w:pos="4032"/>
        <w:tab w:val="left" w:pos="5040"/>
        <w:tab w:val="left" w:pos="6048"/>
        <w:tab w:val="left" w:pos="7056"/>
        <w:tab w:val="left" w:pos="8064"/>
        <w:tab w:val="right" w:pos="9029"/>
      </w:tabs>
      <w:bidi/>
      <w:spacing w:after="240"/>
      <w:ind w:left="360" w:hanging="708"/>
      <w:jc w:val="both"/>
      <w:outlineLvl w:val="3"/>
    </w:pPr>
    <w:rPr>
      <w:rFonts w:ascii="Arial" w:hAnsi="Arial" w:eastAsia="Times New Roman" w:cs="Arial"/>
      <w:sz w:val="24"/>
      <w:szCs w:val="24"/>
      <w:lang w:eastAsia="en-GB" w:bidi="ar-EG"/>
    </w:rPr>
  </w:style>
  <w:style w:type="paragraph" w:styleId="ArabicLevel5" w:customStyle="1">
    <w:name w:val="Arabic_Level 5"/>
    <w:basedOn w:val="Normal"/>
    <w:next w:val="Normal"/>
    <w:uiPriority w:val="99"/>
    <w:rsid w:val="001379B1"/>
    <w:pPr>
      <w:numPr>
        <w:ilvl w:val="4"/>
        <w:numId w:val="1"/>
      </w:numPr>
      <w:tabs>
        <w:tab w:val="num" w:pos="2693"/>
        <w:tab w:val="left" w:pos="3024"/>
        <w:tab w:val="left" w:pos="4032"/>
        <w:tab w:val="left" w:pos="5040"/>
        <w:tab w:val="left" w:pos="6048"/>
        <w:tab w:val="left" w:pos="7056"/>
        <w:tab w:val="left" w:pos="8064"/>
        <w:tab w:val="right" w:pos="9029"/>
      </w:tabs>
      <w:bidi/>
      <w:spacing w:after="240"/>
      <w:ind w:left="360" w:hanging="708"/>
      <w:jc w:val="both"/>
      <w:outlineLvl w:val="4"/>
    </w:pPr>
    <w:rPr>
      <w:rFonts w:ascii="Arial" w:hAnsi="Arial" w:eastAsia="Times New Roman" w:cs="Arial"/>
      <w:sz w:val="24"/>
      <w:szCs w:val="24"/>
      <w:lang w:eastAsia="en-GB" w:bidi="ar-EG"/>
    </w:rPr>
  </w:style>
  <w:style w:type="paragraph" w:styleId="ArabicLevel6" w:customStyle="1">
    <w:name w:val="Arabic_Level 6"/>
    <w:basedOn w:val="Normal"/>
    <w:next w:val="Normal"/>
    <w:uiPriority w:val="99"/>
    <w:rsid w:val="001379B1"/>
    <w:pPr>
      <w:numPr>
        <w:ilvl w:val="5"/>
        <w:numId w:val="1"/>
      </w:numPr>
      <w:tabs>
        <w:tab w:val="num" w:pos="2693"/>
        <w:tab w:val="left" w:pos="3024"/>
        <w:tab w:val="left" w:pos="4032"/>
        <w:tab w:val="left" w:pos="5040"/>
        <w:tab w:val="left" w:pos="6048"/>
        <w:tab w:val="left" w:pos="7056"/>
        <w:tab w:val="left" w:pos="8064"/>
        <w:tab w:val="right" w:pos="9029"/>
      </w:tabs>
      <w:bidi/>
      <w:spacing w:after="240"/>
      <w:ind w:left="360" w:hanging="708"/>
      <w:jc w:val="both"/>
      <w:outlineLvl w:val="5"/>
    </w:pPr>
    <w:rPr>
      <w:rFonts w:ascii="Arial" w:hAnsi="Arial" w:eastAsia="Times New Roman" w:cs="Arial"/>
      <w:sz w:val="24"/>
      <w:szCs w:val="24"/>
      <w:lang w:eastAsia="en-GB" w:bidi="ar-EG"/>
    </w:rPr>
  </w:style>
  <w:style w:type="character" w:styleId="Heading1Char" w:customStyle="1">
    <w:name w:val="Heading 1 Char"/>
    <w:basedOn w:val="DefaultParagraphFont"/>
    <w:link w:val="Heading1"/>
    <w:uiPriority w:val="9"/>
    <w:rsid w:val="002000E1"/>
    <w:rPr>
      <w:rFonts w:asciiTheme="majorHAnsi" w:hAnsiTheme="majorHAnsi" w:eastAsiaTheme="majorEastAsia"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000E1"/>
    <w:pPr>
      <w:outlineLvl w:val="9"/>
    </w:pPr>
    <w:rPr>
      <w:lang w:val="en-US" w:eastAsia="ja-JP"/>
    </w:rPr>
  </w:style>
  <w:style w:type="paragraph" w:styleId="NormalNoSpace" w:customStyle="1">
    <w:name w:val="NormalNoSpace"/>
    <w:basedOn w:val="Normal"/>
    <w:rsid w:val="00F06EE9"/>
    <w:pPr>
      <w:spacing w:after="0" w:line="240" w:lineRule="auto"/>
    </w:pPr>
    <w:rPr>
      <w:rFonts w:ascii="HelveticaNeueLT Std" w:hAnsi="HelveticaNeueLT Std" w:cs="Calibri"/>
    </w:rPr>
  </w:style>
  <w:style w:type="paragraph" w:styleId="ListParagraph">
    <w:uiPriority w:val="34"/>
    <w:name w:val="List Paragraph"/>
    <w:basedOn w:val="Normal"/>
    <w:qFormat/>
    <w:rsid w:val="6A300A16"/>
    <w:pPr>
      <w:spacing/>
      <w:ind w:left="720"/>
      <w:contextualSpacing/>
    </w:pPr>
  </w:style>
  <w:style w:type="character" w:styleId="Hyperlink">
    <w:uiPriority w:val="99"/>
    <w:name w:val="Hyperlink"/>
    <w:basedOn w:val="DefaultParagraphFont"/>
    <w:unhideWhenUsed/>
    <w:rsid w:val="6A300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471481">
      <w:bodyDiv w:val="1"/>
      <w:marLeft w:val="0"/>
      <w:marRight w:val="0"/>
      <w:marTop w:val="0"/>
      <w:marBottom w:val="0"/>
      <w:divBdr>
        <w:top w:val="none" w:sz="0" w:space="0" w:color="auto"/>
        <w:left w:val="none" w:sz="0" w:space="0" w:color="auto"/>
        <w:bottom w:val="none" w:sz="0" w:space="0" w:color="auto"/>
        <w:right w:val="none" w:sz="0" w:space="0" w:color="auto"/>
      </w:divBdr>
    </w:div>
    <w:div w:id="565801319">
      <w:bodyDiv w:val="1"/>
      <w:marLeft w:val="0"/>
      <w:marRight w:val="0"/>
      <w:marTop w:val="0"/>
      <w:marBottom w:val="0"/>
      <w:divBdr>
        <w:top w:val="none" w:sz="0" w:space="0" w:color="auto"/>
        <w:left w:val="none" w:sz="0" w:space="0" w:color="auto"/>
        <w:bottom w:val="none" w:sz="0" w:space="0" w:color="auto"/>
        <w:right w:val="none" w:sz="0" w:space="0" w:color="auto"/>
      </w:divBdr>
      <w:divsChild>
        <w:div w:id="1498422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gov.uk/government/collections/government-conversion-factors-for-company-reporting" TargetMode="External" Id="Re2d30474ddb340c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actManager xmlns="d3d269cf-b6c8-43e0-82a4-e9bf94681cc1" xsi:nil="true"/>
    <ContractTerm xmlns="d3d269cf-b6c8-43e0-82a4-e9bf94681cc1" xsi:nil="true"/>
    <lcf76f155ced4ddcb4097134ff3c332f xmlns="d3d269cf-b6c8-43e0-82a4-e9bf94681cc1">
      <Terms xmlns="http://schemas.microsoft.com/office/infopath/2007/PartnerControls"/>
    </lcf76f155ced4ddcb4097134ff3c332f>
    <TaxCatchAll xmlns="afcb81ba-c16e-479e-8f37-07984e2441d5" xsi:nil="true"/>
    <StartDate xmlns="d3d269cf-b6c8-43e0-82a4-e9bf94681cc1" xsi:nil="true"/>
    <Complete xmlns="d3d269cf-b6c8-43e0-82a4-e9bf94681cc1">false</Complete>
    <Value xmlns="d3d269cf-b6c8-43e0-82a4-e9bf94681cc1" xsi:nil="true"/>
    <Extensions xmlns="d3d269cf-b6c8-43e0-82a4-e9bf94681cc1" xsi:nil="true"/>
    <EndDate xmlns="d3d269cf-b6c8-43e0-82a4-e9bf94681cc1" xsi:nil="true"/>
    <ExtensionDate xmlns="d3d269cf-b6c8-43e0-82a4-e9bf94681cc1" xsi:nil="true"/>
    <Description xmlns="d3d269cf-b6c8-43e0-82a4-e9bf94681cc1" xsi:nil="true"/>
    <Department xmlns="d3d269cf-b6c8-43e0-82a4-e9bf94681cc1" xsi:nil="true"/>
    <SocialValue xmlns="d3d269cf-b6c8-43e0-82a4-e9bf94681c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912854A667144AA5D5A77AE116D91C" ma:contentTypeVersion="29" ma:contentTypeDescription="Create a new document." ma:contentTypeScope="" ma:versionID="8a463d807a8a4d50ca04ce6f3e0f1863">
  <xsd:schema xmlns:xsd="http://www.w3.org/2001/XMLSchema" xmlns:xs="http://www.w3.org/2001/XMLSchema" xmlns:p="http://schemas.microsoft.com/office/2006/metadata/properties" xmlns:ns2="62fcff84-2818-4eb9-83f0-f19cd3edcf80" xmlns:ns3="d3d269cf-b6c8-43e0-82a4-e9bf94681cc1" xmlns:ns4="afcb81ba-c16e-479e-8f37-07984e2441d5" targetNamespace="http://schemas.microsoft.com/office/2006/metadata/properties" ma:root="true" ma:fieldsID="f70102802d96092688d1a57bf655ff21" ns2:_="" ns3:_="" ns4:_="">
    <xsd:import namespace="62fcff84-2818-4eb9-83f0-f19cd3edcf80"/>
    <xsd:import namespace="d3d269cf-b6c8-43e0-82a4-e9bf94681cc1"/>
    <xsd:import namespace="afcb81ba-c16e-479e-8f37-07984e2441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StartDate" minOccurs="0"/>
                <xsd:element ref="ns3:EndDate" minOccurs="0"/>
                <xsd:element ref="ns3:ContractManager" minOccurs="0"/>
                <xsd:element ref="ns3:Extensions" minOccurs="0"/>
                <xsd:element ref="ns3:ExtensionDate" minOccurs="0"/>
                <xsd:element ref="ns3:ContractTerm" minOccurs="0"/>
                <xsd:element ref="ns3:Description" minOccurs="0"/>
                <xsd:element ref="ns3:lcf76f155ced4ddcb4097134ff3c332f" minOccurs="0"/>
                <xsd:element ref="ns4:TaxCatchAll" minOccurs="0"/>
                <xsd:element ref="ns3:Complete" minOccurs="0"/>
                <xsd:element ref="ns3:Value" minOccurs="0"/>
                <xsd:element ref="ns3:MediaServiceObjectDetectorVersions" minOccurs="0"/>
                <xsd:element ref="ns3:MediaServiceLocation" minOccurs="0"/>
                <xsd:element ref="ns3:MediaServiceSearchProperties" minOccurs="0"/>
                <xsd:element ref="ns3:MediaLengthInSeconds" minOccurs="0"/>
                <xsd:element ref="ns3:SocialValue"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cff84-2818-4eb9-83f0-f19cd3edcf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269cf-b6c8-43e0-82a4-e9bf94681c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tartDate" ma:index="19" nillable="true" ma:displayName="Start Date" ma:description="111" ma:format="Dropdown" ma:internalName="StartDate">
      <xsd:simpleType>
        <xsd:restriction base="dms:Text">
          <xsd:maxLength value="255"/>
        </xsd:restriction>
      </xsd:simpleType>
    </xsd:element>
    <xsd:element name="EndDate" ma:index="20" nillable="true" ma:displayName="End Date" ma:format="Dropdown" ma:internalName="EndDate">
      <xsd:simpleType>
        <xsd:restriction base="dms:Text">
          <xsd:maxLength value="255"/>
        </xsd:restriction>
      </xsd:simpleType>
    </xsd:element>
    <xsd:element name="ContractManager" ma:index="21" nillable="true" ma:displayName="Contract Manager" ma:format="Dropdown" ma:internalName="ContractManager">
      <xsd:simpleType>
        <xsd:restriction base="dms:Text">
          <xsd:maxLength value="255"/>
        </xsd:restriction>
      </xsd:simpleType>
    </xsd:element>
    <xsd:element name="Extensions" ma:index="22" nillable="true" ma:displayName="Extensions" ma:description="Yes No" ma:format="Dropdown" ma:internalName="Extensions">
      <xsd:simpleType>
        <xsd:restriction base="dms:Text">
          <xsd:maxLength value="255"/>
        </xsd:restriction>
      </xsd:simpleType>
    </xsd:element>
    <xsd:element name="ExtensionDate" ma:index="23" nillable="true" ma:displayName="Extension Date" ma:format="Dropdown" ma:internalName="ExtensionDate">
      <xsd:simpleType>
        <xsd:restriction base="dms:Text">
          <xsd:maxLength value="255"/>
        </xsd:restriction>
      </xsd:simpleType>
    </xsd:element>
    <xsd:element name="ContractTerm" ma:index="24" nillable="true" ma:displayName="Contract Term" ma:format="Dropdown" ma:internalName="ContractTerm">
      <xsd:simpleType>
        <xsd:restriction base="dms:Text">
          <xsd:maxLength value="255"/>
        </xsd:restriction>
      </xsd:simpleType>
    </xsd:element>
    <xsd:element name="Description" ma:index="25" nillable="true" ma:displayName="Contract Description" ma:format="Dropdown" ma:internalName="Description">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d1ae370-2db4-4081-9d40-bdd7cb26b10f" ma:termSetId="09814cd3-568e-fe90-9814-8d621ff8fb84" ma:anchorId="fba54fb3-c3e1-fe81-a776-ca4b69148c4d" ma:open="true" ma:isKeyword="false">
      <xsd:complexType>
        <xsd:sequence>
          <xsd:element ref="pc:Terms" minOccurs="0" maxOccurs="1"/>
        </xsd:sequence>
      </xsd:complexType>
    </xsd:element>
    <xsd:element name="Complete" ma:index="29" nillable="true" ma:displayName="Complete" ma:default="0" ma:description="Contract Has Ended And Now Not Required " ma:format="Dropdown" ma:internalName="Complete">
      <xsd:simpleType>
        <xsd:restriction base="dms:Boolean"/>
      </xsd:simpleType>
    </xsd:element>
    <xsd:element name="Value" ma:index="30" nillable="true" ma:displayName="Value " ma:format="£123,456.00 (United Kingdom)" ma:LCID="2057" ma:internalName="Value">
      <xsd:simpleType>
        <xsd:restriction base="dms:Currency"/>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LengthInSeconds" ma:index="34" nillable="true" ma:displayName="MediaLengthInSeconds" ma:hidden="true" ma:internalName="MediaLengthInSeconds" ma:readOnly="true">
      <xsd:simpleType>
        <xsd:restriction base="dms:Unknown"/>
      </xsd:simpleType>
    </xsd:element>
    <xsd:element name="SocialValue" ma:index="35" nillable="true" ma:displayName="Social Value" ma:format="Dropdown" ma:internalName="SocialValue">
      <xsd:simpleType>
        <xsd:restriction base="dms:Text">
          <xsd:maxLength value="255"/>
        </xsd:restriction>
      </xsd:simpleType>
    </xsd:element>
    <xsd:element name="Department" ma:index="36" nillable="true" ma:displayName="Department" ma:description="Department Name" ma:format="Dropdown"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cb81ba-c16e-479e-8f37-07984e2441d5"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d39f017-c8bf-463f-a7c6-2de2d512d0d7}" ma:internalName="TaxCatchAll" ma:showField="CatchAllData" ma:web="62fcff84-2818-4eb9-83f0-f19cd3edc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714F0-D38C-4DE3-8C45-F988AA1939E1}">
  <ds:schemaRefs>
    <ds:schemaRef ds:uri="http://schemas.microsoft.com/office/2006/metadata/properties"/>
    <ds:schemaRef ds:uri="http://schemas.microsoft.com/office/infopath/2007/PartnerControls"/>
    <ds:schemaRef ds:uri="d3d269cf-b6c8-43e0-82a4-e9bf94681cc1"/>
    <ds:schemaRef ds:uri="afcb81ba-c16e-479e-8f37-07984e2441d5"/>
  </ds:schemaRefs>
</ds:datastoreItem>
</file>

<file path=customXml/itemProps2.xml><?xml version="1.0" encoding="utf-8"?>
<ds:datastoreItem xmlns:ds="http://schemas.openxmlformats.org/officeDocument/2006/customXml" ds:itemID="{21AD3920-FE7B-44C1-8AE3-E9206DB87D18}"/>
</file>

<file path=customXml/itemProps3.xml><?xml version="1.0" encoding="utf-8"?>
<ds:datastoreItem xmlns:ds="http://schemas.openxmlformats.org/officeDocument/2006/customXml" ds:itemID="{A39A36F1-F122-47FF-95C4-706115B913BC}">
  <ds:schemaRefs>
    <ds:schemaRef ds:uri="http://schemas.microsoft.com/sharepoint/v3/contenttype/forms"/>
  </ds:schemaRefs>
</ds:datastoreItem>
</file>

<file path=customXml/itemProps4.xml><?xml version="1.0" encoding="utf-8"?>
<ds:datastoreItem xmlns:ds="http://schemas.openxmlformats.org/officeDocument/2006/customXml" ds:itemID="{C86825E7-96CD-45E7-8193-4E59292585F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Pease</dc:creator>
  <cp:lastModifiedBy>Lewis Brookes</cp:lastModifiedBy>
  <cp:revision>6</cp:revision>
  <dcterms:created xsi:type="dcterms:W3CDTF">2025-03-28T12:58:00Z</dcterms:created>
  <dcterms:modified xsi:type="dcterms:W3CDTF">2025-08-14T09:54:50Z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0x0101009B912854A667144AA5D5A77AE116D91C</vt:lpwstr>
  </property>
  <property fmtid="{D5CDD505-2E9C-101B-9397-08002B2CF9AE}" pid="3" name="MediaServiceImageTags">
    <vt:lpwstr/>
  </property>
</Properties>
</file>