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4C6D3" w14:textId="4DE1AA39" w:rsidR="00005058" w:rsidRPr="00182EC7" w:rsidRDefault="00005058" w:rsidP="006A3954">
      <w:pPr>
        <w:jc w:val="both"/>
        <w:rPr>
          <w:rFonts w:ascii="Arial" w:hAnsi="Arial" w:cs="Arial"/>
          <w:sz w:val="24"/>
          <w:szCs w:val="24"/>
        </w:rPr>
      </w:pPr>
      <w:r w:rsidRPr="00182EC7">
        <w:rPr>
          <w:noProof/>
        </w:rPr>
        <w:drawing>
          <wp:inline distT="0" distB="0" distL="0" distR="0" wp14:anchorId="6C1187CF" wp14:editId="365E2FCC">
            <wp:extent cx="3607966" cy="1600200"/>
            <wp:effectExtent l="0" t="0" r="0" b="0"/>
            <wp:docPr id="880874773"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874773" name="Picture 1" descr="A logo with text on it&#10;&#10;AI-generated content may be incorrect."/>
                    <pic:cNvPicPr/>
                  </pic:nvPicPr>
                  <pic:blipFill>
                    <a:blip r:embed="rId11"/>
                    <a:stretch>
                      <a:fillRect/>
                    </a:stretch>
                  </pic:blipFill>
                  <pic:spPr>
                    <a:xfrm>
                      <a:off x="0" y="0"/>
                      <a:ext cx="3630706" cy="1610286"/>
                    </a:xfrm>
                    <a:prstGeom prst="rect">
                      <a:avLst/>
                    </a:prstGeom>
                  </pic:spPr>
                </pic:pic>
              </a:graphicData>
            </a:graphic>
          </wp:inline>
        </w:drawing>
      </w:r>
    </w:p>
    <w:p w14:paraId="37F7284E" w14:textId="06E02865" w:rsidR="00005058" w:rsidRPr="00182EC7" w:rsidRDefault="00005058" w:rsidP="006A3954">
      <w:pPr>
        <w:jc w:val="both"/>
        <w:rPr>
          <w:rFonts w:ascii="Arial" w:hAnsi="Arial" w:cs="Arial"/>
          <w:sz w:val="72"/>
          <w:szCs w:val="72"/>
        </w:rPr>
      </w:pPr>
    </w:p>
    <w:p w14:paraId="6C7B994D" w14:textId="638643A4" w:rsidR="00005058" w:rsidRPr="00182EC7" w:rsidRDefault="004E2FBA" w:rsidP="004E2FBA">
      <w:pPr>
        <w:spacing w:line="240" w:lineRule="auto"/>
        <w:rPr>
          <w:rFonts w:ascii="Arial" w:hAnsi="Arial" w:cs="Arial"/>
          <w:sz w:val="72"/>
          <w:szCs w:val="72"/>
        </w:rPr>
      </w:pPr>
      <w:r w:rsidRPr="00182EC7">
        <w:rPr>
          <w:b/>
          <w:bCs/>
          <w:noProof/>
        </w:rPr>
        <w:drawing>
          <wp:anchor distT="0" distB="0" distL="114300" distR="114300" simplePos="0" relativeHeight="251658240" behindDoc="0" locked="0" layoutInCell="1" allowOverlap="1" wp14:anchorId="516BCA16" wp14:editId="5536DAF7">
            <wp:simplePos x="0" y="0"/>
            <wp:positionH relativeFrom="column">
              <wp:posOffset>1142876</wp:posOffset>
            </wp:positionH>
            <wp:positionV relativeFrom="paragraph">
              <wp:posOffset>1164788</wp:posOffset>
            </wp:positionV>
            <wp:extent cx="3169242" cy="3762375"/>
            <wp:effectExtent l="0" t="0" r="0" b="0"/>
            <wp:wrapNone/>
            <wp:docPr id="1574185259" name="Picture 2" descr="A logo with colorful circles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185259" name="Picture 2" descr="A logo with colorful circles and white text&#10;&#10;AI-generated content may be incorrect."/>
                    <pic:cNvPicPr/>
                  </pic:nvPicPr>
                  <pic:blipFill>
                    <a:blip r:embed="rId12"/>
                    <a:stretch>
                      <a:fillRect/>
                    </a:stretch>
                  </pic:blipFill>
                  <pic:spPr>
                    <a:xfrm>
                      <a:off x="0" y="0"/>
                      <a:ext cx="3169242" cy="3762375"/>
                    </a:xfrm>
                    <a:prstGeom prst="rect">
                      <a:avLst/>
                    </a:prstGeom>
                  </pic:spPr>
                </pic:pic>
              </a:graphicData>
            </a:graphic>
          </wp:anchor>
        </w:drawing>
      </w:r>
      <w:r w:rsidR="00B95252" w:rsidRPr="00182EC7">
        <w:rPr>
          <w:rFonts w:ascii="Arial" w:hAnsi="Arial" w:cs="Arial"/>
          <w:b/>
          <w:bCs/>
          <w:sz w:val="72"/>
          <w:szCs w:val="72"/>
        </w:rPr>
        <w:t>Taunton Together</w:t>
      </w:r>
      <w:r w:rsidR="00B95252" w:rsidRPr="00182EC7">
        <w:rPr>
          <w:rFonts w:ascii="Arial" w:hAnsi="Arial" w:cs="Arial"/>
          <w:sz w:val="72"/>
          <w:szCs w:val="72"/>
        </w:rPr>
        <w:t xml:space="preserve">  </w:t>
      </w:r>
      <w:r w:rsidR="00B95252" w:rsidRPr="00182EC7">
        <w:rPr>
          <w:rFonts w:ascii="Arial" w:hAnsi="Arial" w:cs="Arial"/>
          <w:sz w:val="72"/>
          <w:szCs w:val="72"/>
        </w:rPr>
        <w:br/>
        <w:t>Specification for Tender</w:t>
      </w:r>
    </w:p>
    <w:p w14:paraId="34505B45" w14:textId="77C1DE9E" w:rsidR="00005058" w:rsidRPr="00182EC7" w:rsidRDefault="00005058" w:rsidP="006A3954">
      <w:pPr>
        <w:pStyle w:val="Heading1"/>
        <w:jc w:val="both"/>
        <w:rPr>
          <w:rFonts w:ascii="Arial" w:hAnsi="Arial" w:cs="Arial"/>
          <w:color w:val="auto"/>
          <w:sz w:val="24"/>
          <w:szCs w:val="24"/>
        </w:rPr>
      </w:pPr>
    </w:p>
    <w:p w14:paraId="3F738A7C" w14:textId="7952C731" w:rsidR="00B95252" w:rsidRPr="00182EC7" w:rsidRDefault="00B95252" w:rsidP="006A3954">
      <w:pPr>
        <w:jc w:val="both"/>
      </w:pPr>
    </w:p>
    <w:p w14:paraId="322B814C" w14:textId="77777777" w:rsidR="00B95252" w:rsidRPr="00182EC7" w:rsidRDefault="00B95252" w:rsidP="006A3954">
      <w:pPr>
        <w:jc w:val="both"/>
      </w:pPr>
    </w:p>
    <w:p w14:paraId="4AC49D74" w14:textId="77777777" w:rsidR="00B95252" w:rsidRPr="00182EC7" w:rsidRDefault="00B95252" w:rsidP="006A3954">
      <w:pPr>
        <w:jc w:val="both"/>
      </w:pPr>
    </w:p>
    <w:p w14:paraId="70B3E8CD" w14:textId="77777777" w:rsidR="00B95252" w:rsidRPr="00182EC7" w:rsidRDefault="00B95252" w:rsidP="006A3954">
      <w:pPr>
        <w:jc w:val="both"/>
      </w:pPr>
    </w:p>
    <w:p w14:paraId="043A3484" w14:textId="77777777" w:rsidR="00B65B58" w:rsidRPr="00182EC7" w:rsidRDefault="00B65B58" w:rsidP="006A3954">
      <w:pPr>
        <w:jc w:val="both"/>
      </w:pPr>
    </w:p>
    <w:p w14:paraId="5DCFD5CE" w14:textId="77777777" w:rsidR="00B65B58" w:rsidRPr="00182EC7" w:rsidRDefault="00B65B58" w:rsidP="006A3954">
      <w:pPr>
        <w:jc w:val="both"/>
      </w:pPr>
    </w:p>
    <w:p w14:paraId="5E7A4340" w14:textId="77777777" w:rsidR="00B95252" w:rsidRPr="00182EC7" w:rsidRDefault="00B95252" w:rsidP="006A3954">
      <w:pPr>
        <w:jc w:val="both"/>
      </w:pPr>
    </w:p>
    <w:p w14:paraId="215C0FE7" w14:textId="77777777" w:rsidR="00B95252" w:rsidRPr="00182EC7" w:rsidRDefault="00B95252" w:rsidP="006A3954">
      <w:pPr>
        <w:jc w:val="both"/>
      </w:pPr>
    </w:p>
    <w:p w14:paraId="6D5879A7" w14:textId="77777777" w:rsidR="00005058" w:rsidRPr="00182EC7" w:rsidRDefault="00005058" w:rsidP="006A3954">
      <w:pPr>
        <w:jc w:val="both"/>
        <w:rPr>
          <w:rFonts w:ascii="Arial" w:hAnsi="Arial" w:cs="Arial"/>
        </w:rPr>
      </w:pPr>
    </w:p>
    <w:p w14:paraId="0C729102" w14:textId="5BC8185A" w:rsidR="00005058" w:rsidRPr="00182EC7" w:rsidRDefault="00B95252" w:rsidP="004E2FBA">
      <w:pPr>
        <w:jc w:val="right"/>
        <w:rPr>
          <w:rFonts w:ascii="Arial" w:hAnsi="Arial" w:cs="Arial"/>
        </w:rPr>
      </w:pPr>
      <w:r w:rsidRPr="00182EC7">
        <w:rPr>
          <w:rFonts w:ascii="Arial" w:hAnsi="Arial" w:cs="Arial"/>
        </w:rPr>
        <w:t xml:space="preserve">Produced by </w:t>
      </w:r>
      <w:r w:rsidRPr="00182EC7">
        <w:rPr>
          <w:rFonts w:ascii="Arial" w:hAnsi="Arial" w:cs="Arial"/>
        </w:rPr>
        <w:br/>
      </w:r>
      <w:r w:rsidR="009B340B">
        <w:rPr>
          <w:rFonts w:ascii="Arial" w:hAnsi="Arial" w:cs="Arial"/>
        </w:rPr>
        <w:t>Community and Place Team</w:t>
      </w:r>
    </w:p>
    <w:p w14:paraId="3CEF7C9E" w14:textId="7863D920" w:rsidR="00B95252" w:rsidRPr="00182EC7" w:rsidRDefault="002D5846" w:rsidP="004E2FBA">
      <w:pPr>
        <w:jc w:val="right"/>
        <w:rPr>
          <w:rFonts w:ascii="Arial" w:hAnsi="Arial" w:cs="Arial"/>
        </w:rPr>
      </w:pPr>
      <w:r>
        <w:rPr>
          <w:rFonts w:ascii="Arial" w:hAnsi="Arial" w:cs="Arial"/>
        </w:rPr>
        <w:t>Taunton Town Council</w:t>
      </w:r>
    </w:p>
    <w:p w14:paraId="40A6509F" w14:textId="02FD46E2" w:rsidR="00B95252" w:rsidRPr="00182EC7" w:rsidRDefault="00B95252" w:rsidP="004E2FBA">
      <w:pPr>
        <w:jc w:val="right"/>
        <w:rPr>
          <w:rFonts w:ascii="Arial" w:hAnsi="Arial" w:cs="Arial"/>
        </w:rPr>
      </w:pPr>
      <w:r w:rsidRPr="00182EC7">
        <w:rPr>
          <w:rFonts w:ascii="Arial" w:hAnsi="Arial" w:cs="Arial"/>
        </w:rPr>
        <w:t>June 2025</w:t>
      </w:r>
    </w:p>
    <w:p w14:paraId="676F6E51" w14:textId="77777777" w:rsidR="00005058" w:rsidRPr="00182EC7" w:rsidRDefault="00005058" w:rsidP="006A3954">
      <w:pPr>
        <w:jc w:val="both"/>
        <w:rPr>
          <w:rFonts w:ascii="Arial" w:hAnsi="Arial" w:cs="Arial"/>
        </w:rPr>
      </w:pPr>
    </w:p>
    <w:p w14:paraId="3B03C8F9" w14:textId="77777777" w:rsidR="00005058" w:rsidRPr="00182EC7" w:rsidRDefault="00005058" w:rsidP="006A3954">
      <w:pPr>
        <w:jc w:val="both"/>
        <w:rPr>
          <w:rFonts w:ascii="Arial" w:hAnsi="Arial" w:cs="Arial"/>
        </w:rPr>
      </w:pPr>
    </w:p>
    <w:p w14:paraId="444220E8" w14:textId="77777777" w:rsidR="00005058" w:rsidRPr="00182EC7" w:rsidRDefault="00005058" w:rsidP="006A3954">
      <w:pPr>
        <w:jc w:val="both"/>
        <w:rPr>
          <w:rFonts w:ascii="Arial" w:hAnsi="Arial" w:cs="Arial"/>
        </w:rPr>
      </w:pPr>
    </w:p>
    <w:p w14:paraId="55E4425D" w14:textId="77777777" w:rsidR="00005058" w:rsidRPr="00182EC7" w:rsidRDefault="00005058" w:rsidP="006A3954">
      <w:pPr>
        <w:jc w:val="both"/>
        <w:rPr>
          <w:rFonts w:ascii="Arial" w:hAnsi="Arial" w:cs="Arial"/>
        </w:rPr>
      </w:pPr>
    </w:p>
    <w:p w14:paraId="238781B1" w14:textId="77777777" w:rsidR="00005058" w:rsidRPr="00182EC7" w:rsidRDefault="00005058" w:rsidP="006A3954">
      <w:pPr>
        <w:jc w:val="both"/>
        <w:rPr>
          <w:rFonts w:ascii="Arial" w:hAnsi="Arial" w:cs="Arial"/>
        </w:rPr>
      </w:pPr>
    </w:p>
    <w:p w14:paraId="7C5041A1" w14:textId="77777777" w:rsidR="00005058" w:rsidRPr="00182EC7" w:rsidRDefault="00005058" w:rsidP="006A3954">
      <w:pPr>
        <w:jc w:val="both"/>
        <w:rPr>
          <w:rFonts w:ascii="Arial" w:hAnsi="Arial" w:cs="Arial"/>
        </w:rPr>
      </w:pPr>
    </w:p>
    <w:p w14:paraId="55277841" w14:textId="77777777" w:rsidR="00005058" w:rsidRPr="00182EC7" w:rsidRDefault="00005058" w:rsidP="006A3954">
      <w:pPr>
        <w:jc w:val="both"/>
        <w:rPr>
          <w:rFonts w:ascii="Arial" w:hAnsi="Arial" w:cs="Arial"/>
        </w:rPr>
      </w:pPr>
    </w:p>
    <w:p w14:paraId="538BEFBC" w14:textId="77777777" w:rsidR="00005058" w:rsidRPr="00182EC7" w:rsidRDefault="00005058" w:rsidP="006A3954">
      <w:pPr>
        <w:jc w:val="both"/>
        <w:rPr>
          <w:rFonts w:ascii="Arial" w:hAnsi="Arial" w:cs="Arial"/>
        </w:rPr>
      </w:pPr>
    </w:p>
    <w:p w14:paraId="01751C51" w14:textId="77777777" w:rsidR="00005058" w:rsidRPr="00182EC7" w:rsidRDefault="00005058" w:rsidP="006A3954">
      <w:pPr>
        <w:jc w:val="both"/>
        <w:rPr>
          <w:rFonts w:ascii="Arial" w:hAnsi="Arial" w:cs="Arial"/>
        </w:rPr>
      </w:pPr>
    </w:p>
    <w:p w14:paraId="5FC90D85" w14:textId="77777777" w:rsidR="00B95252" w:rsidRPr="00182EC7" w:rsidRDefault="00B95252" w:rsidP="006A3954">
      <w:pPr>
        <w:jc w:val="both"/>
        <w:rPr>
          <w:rFonts w:ascii="Arial" w:hAnsi="Arial" w:cs="Arial"/>
        </w:rPr>
      </w:pPr>
    </w:p>
    <w:p w14:paraId="2AC385D5" w14:textId="77777777" w:rsidR="00B95252" w:rsidRPr="00182EC7" w:rsidRDefault="00B95252" w:rsidP="006A3954">
      <w:pPr>
        <w:jc w:val="both"/>
        <w:rPr>
          <w:rFonts w:ascii="Arial" w:hAnsi="Arial" w:cs="Arial"/>
        </w:rPr>
      </w:pPr>
    </w:p>
    <w:p w14:paraId="1DF32CFC" w14:textId="77777777" w:rsidR="00005058" w:rsidRPr="00182EC7" w:rsidRDefault="00005058" w:rsidP="006A3954">
      <w:pPr>
        <w:jc w:val="both"/>
        <w:rPr>
          <w:rFonts w:ascii="Arial" w:hAnsi="Arial" w:cs="Arial"/>
        </w:rPr>
      </w:pPr>
    </w:p>
    <w:p w14:paraId="5C423EA6" w14:textId="77777777" w:rsidR="00005058" w:rsidRPr="00182EC7" w:rsidRDefault="00005058" w:rsidP="006A3954">
      <w:pPr>
        <w:jc w:val="both"/>
        <w:rPr>
          <w:rFonts w:ascii="Arial" w:hAnsi="Arial" w:cs="Arial"/>
        </w:rPr>
      </w:pPr>
    </w:p>
    <w:p w14:paraId="2C8D2D35" w14:textId="77777777" w:rsidR="00005058" w:rsidRPr="00182EC7" w:rsidRDefault="00005058" w:rsidP="006A3954">
      <w:pPr>
        <w:jc w:val="both"/>
        <w:rPr>
          <w:rFonts w:ascii="Arial" w:hAnsi="Arial" w:cs="Arial"/>
        </w:rPr>
      </w:pPr>
    </w:p>
    <w:p w14:paraId="4E89CD22" w14:textId="77777777" w:rsidR="00005058" w:rsidRPr="00182EC7" w:rsidRDefault="00005058" w:rsidP="006A3954">
      <w:pPr>
        <w:jc w:val="both"/>
        <w:rPr>
          <w:rFonts w:ascii="Arial" w:hAnsi="Arial" w:cs="Arial"/>
        </w:rPr>
      </w:pPr>
    </w:p>
    <w:p w14:paraId="7568F8F3" w14:textId="77777777" w:rsidR="00005058" w:rsidRPr="00182EC7" w:rsidRDefault="00005058" w:rsidP="006A3954">
      <w:pPr>
        <w:jc w:val="both"/>
        <w:rPr>
          <w:rFonts w:ascii="Arial" w:hAnsi="Arial" w:cs="Arial"/>
        </w:rPr>
      </w:pPr>
    </w:p>
    <w:p w14:paraId="2F0838B2" w14:textId="178F742F" w:rsidR="00005058" w:rsidRPr="00182EC7" w:rsidRDefault="00005058" w:rsidP="004E2FBA">
      <w:pPr>
        <w:jc w:val="center"/>
        <w:rPr>
          <w:rFonts w:ascii="Arial" w:hAnsi="Arial" w:cs="Arial"/>
        </w:rPr>
      </w:pPr>
      <w:r w:rsidRPr="00182EC7">
        <w:rPr>
          <w:rFonts w:ascii="Arial" w:hAnsi="Arial" w:cs="Arial"/>
        </w:rPr>
        <w:t>This page has deliberately been left blank</w:t>
      </w:r>
    </w:p>
    <w:p w14:paraId="1BDE5B8A" w14:textId="77777777" w:rsidR="00005058" w:rsidRPr="00182EC7" w:rsidRDefault="00005058" w:rsidP="006A3954">
      <w:pPr>
        <w:jc w:val="both"/>
      </w:pPr>
    </w:p>
    <w:p w14:paraId="01032AAD" w14:textId="77777777" w:rsidR="00005058" w:rsidRPr="00182EC7" w:rsidRDefault="00005058" w:rsidP="006A3954">
      <w:pPr>
        <w:jc w:val="both"/>
      </w:pPr>
    </w:p>
    <w:p w14:paraId="5B38195E" w14:textId="77777777" w:rsidR="00005058" w:rsidRDefault="00005058" w:rsidP="006A3954">
      <w:pPr>
        <w:jc w:val="both"/>
      </w:pPr>
    </w:p>
    <w:p w14:paraId="1C911605" w14:textId="77777777" w:rsidR="004E2FBA" w:rsidRPr="00182EC7" w:rsidRDefault="004E2FBA" w:rsidP="006A3954">
      <w:pPr>
        <w:jc w:val="both"/>
      </w:pPr>
    </w:p>
    <w:p w14:paraId="740C6337" w14:textId="77777777" w:rsidR="00B95252" w:rsidRPr="00182EC7" w:rsidRDefault="00B95252" w:rsidP="006A3954">
      <w:pPr>
        <w:jc w:val="both"/>
      </w:pPr>
    </w:p>
    <w:p w14:paraId="28B05923" w14:textId="77777777" w:rsidR="00005058" w:rsidRPr="00182EC7" w:rsidRDefault="00005058" w:rsidP="006A3954">
      <w:pPr>
        <w:jc w:val="both"/>
      </w:pPr>
    </w:p>
    <w:p w14:paraId="2A13E1E8" w14:textId="77777777" w:rsidR="00005058" w:rsidRPr="00182EC7" w:rsidRDefault="00005058" w:rsidP="006A3954">
      <w:pPr>
        <w:jc w:val="both"/>
      </w:pPr>
    </w:p>
    <w:p w14:paraId="497F6EAB" w14:textId="77777777" w:rsidR="00005058" w:rsidRPr="00182EC7" w:rsidRDefault="00005058" w:rsidP="006A3954">
      <w:pPr>
        <w:jc w:val="both"/>
      </w:pPr>
    </w:p>
    <w:sdt>
      <w:sdtPr>
        <w:rPr>
          <w:rFonts w:ascii="Arial" w:eastAsiaTheme="minorEastAsia" w:hAnsi="Arial" w:cs="Arial"/>
          <w:b w:val="0"/>
          <w:bCs w:val="0"/>
          <w:color w:val="auto"/>
          <w:sz w:val="56"/>
          <w:szCs w:val="56"/>
        </w:rPr>
        <w:id w:val="-1208179325"/>
        <w:docPartObj>
          <w:docPartGallery w:val="Table of Contents"/>
          <w:docPartUnique/>
        </w:docPartObj>
      </w:sdtPr>
      <w:sdtEndPr>
        <w:rPr>
          <w:rFonts w:asciiTheme="minorHAnsi" w:hAnsiTheme="minorHAnsi" w:cstheme="minorBidi"/>
          <w:sz w:val="22"/>
          <w:szCs w:val="22"/>
        </w:rPr>
      </w:sdtEndPr>
      <w:sdtContent>
        <w:p w14:paraId="4894CDB7" w14:textId="77777777" w:rsidR="002D5846" w:rsidRDefault="002D5846" w:rsidP="006A3954">
          <w:pPr>
            <w:pStyle w:val="TOCHeading"/>
            <w:jc w:val="both"/>
            <w:rPr>
              <w:rFonts w:ascii="Arial" w:hAnsi="Arial" w:cs="Arial"/>
              <w:color w:val="auto"/>
              <w:sz w:val="56"/>
              <w:szCs w:val="56"/>
            </w:rPr>
          </w:pPr>
        </w:p>
        <w:p w14:paraId="227666D7" w14:textId="30F1749F" w:rsidR="00005058" w:rsidRPr="00182EC7" w:rsidRDefault="00005058" w:rsidP="002D5846">
          <w:pPr>
            <w:pStyle w:val="TOCHeading"/>
            <w:jc w:val="center"/>
            <w:rPr>
              <w:rFonts w:ascii="Arial" w:hAnsi="Arial" w:cs="Arial"/>
              <w:color w:val="auto"/>
              <w:sz w:val="56"/>
              <w:szCs w:val="56"/>
            </w:rPr>
          </w:pPr>
          <w:r w:rsidRPr="00182EC7">
            <w:rPr>
              <w:rFonts w:ascii="Arial" w:hAnsi="Arial" w:cs="Arial"/>
              <w:color w:val="auto"/>
              <w:sz w:val="56"/>
              <w:szCs w:val="56"/>
            </w:rPr>
            <w:t>Contents</w:t>
          </w:r>
        </w:p>
        <w:p w14:paraId="29ACDBE2" w14:textId="0A565244" w:rsidR="002D5846" w:rsidRDefault="00005058">
          <w:pPr>
            <w:pStyle w:val="TOC1"/>
            <w:tabs>
              <w:tab w:val="right" w:leader="dot" w:pos="8630"/>
            </w:tabs>
            <w:rPr>
              <w:noProof/>
              <w:kern w:val="2"/>
              <w:sz w:val="24"/>
              <w:szCs w:val="24"/>
              <w:lang w:eastAsia="en-GB"/>
              <w14:ligatures w14:val="standardContextual"/>
            </w:rPr>
          </w:pPr>
          <w:r w:rsidRPr="00182EC7">
            <w:rPr>
              <w:rFonts w:ascii="Arial" w:hAnsi="Arial" w:cs="Arial"/>
              <w:sz w:val="24"/>
              <w:szCs w:val="24"/>
            </w:rPr>
            <w:fldChar w:fldCharType="begin"/>
          </w:r>
          <w:r w:rsidRPr="00182EC7">
            <w:rPr>
              <w:rFonts w:ascii="Arial" w:hAnsi="Arial" w:cs="Arial"/>
              <w:sz w:val="24"/>
              <w:szCs w:val="24"/>
            </w:rPr>
            <w:instrText xml:space="preserve"> TOC \o "1-3" \h \z \u </w:instrText>
          </w:r>
          <w:r w:rsidRPr="00182EC7">
            <w:rPr>
              <w:rFonts w:ascii="Arial" w:hAnsi="Arial" w:cs="Arial"/>
              <w:sz w:val="24"/>
              <w:szCs w:val="24"/>
            </w:rPr>
            <w:fldChar w:fldCharType="separate"/>
          </w:r>
          <w:hyperlink w:anchor="_Toc201258667" w:history="1">
            <w:r w:rsidR="002D5846" w:rsidRPr="00A072F1">
              <w:rPr>
                <w:rStyle w:val="Hyperlink"/>
                <w:rFonts w:ascii="Arial" w:hAnsi="Arial" w:cs="Arial"/>
                <w:noProof/>
              </w:rPr>
              <w:t>1. Overview</w:t>
            </w:r>
            <w:r w:rsidR="002D5846">
              <w:rPr>
                <w:noProof/>
                <w:webHidden/>
              </w:rPr>
              <w:tab/>
            </w:r>
            <w:r w:rsidR="002D5846">
              <w:rPr>
                <w:noProof/>
                <w:webHidden/>
              </w:rPr>
              <w:fldChar w:fldCharType="begin"/>
            </w:r>
            <w:r w:rsidR="002D5846">
              <w:rPr>
                <w:noProof/>
                <w:webHidden/>
              </w:rPr>
              <w:instrText xml:space="preserve"> PAGEREF _Toc201258667 \h </w:instrText>
            </w:r>
            <w:r w:rsidR="002D5846">
              <w:rPr>
                <w:noProof/>
                <w:webHidden/>
              </w:rPr>
            </w:r>
            <w:r w:rsidR="002D5846">
              <w:rPr>
                <w:noProof/>
                <w:webHidden/>
              </w:rPr>
              <w:fldChar w:fldCharType="separate"/>
            </w:r>
            <w:r w:rsidR="002D5846">
              <w:rPr>
                <w:noProof/>
                <w:webHidden/>
              </w:rPr>
              <w:t>4</w:t>
            </w:r>
            <w:r w:rsidR="002D5846">
              <w:rPr>
                <w:noProof/>
                <w:webHidden/>
              </w:rPr>
              <w:fldChar w:fldCharType="end"/>
            </w:r>
          </w:hyperlink>
        </w:p>
        <w:p w14:paraId="677C3C9A" w14:textId="5C5F4578" w:rsidR="002D5846" w:rsidRDefault="002D5846">
          <w:pPr>
            <w:pStyle w:val="TOC1"/>
            <w:tabs>
              <w:tab w:val="right" w:leader="dot" w:pos="8630"/>
            </w:tabs>
            <w:rPr>
              <w:noProof/>
              <w:kern w:val="2"/>
              <w:sz w:val="24"/>
              <w:szCs w:val="24"/>
              <w:lang w:eastAsia="en-GB"/>
              <w14:ligatures w14:val="standardContextual"/>
            </w:rPr>
          </w:pPr>
          <w:hyperlink w:anchor="_Toc201258668" w:history="1">
            <w:r w:rsidRPr="00A072F1">
              <w:rPr>
                <w:rStyle w:val="Hyperlink"/>
                <w:rFonts w:ascii="Arial" w:hAnsi="Arial" w:cs="Arial"/>
                <w:noProof/>
              </w:rPr>
              <w:t>2. Contract Duration and Value</w:t>
            </w:r>
            <w:r>
              <w:rPr>
                <w:noProof/>
                <w:webHidden/>
              </w:rPr>
              <w:tab/>
            </w:r>
            <w:r>
              <w:rPr>
                <w:noProof/>
                <w:webHidden/>
              </w:rPr>
              <w:fldChar w:fldCharType="begin"/>
            </w:r>
            <w:r>
              <w:rPr>
                <w:noProof/>
                <w:webHidden/>
              </w:rPr>
              <w:instrText xml:space="preserve"> PAGEREF _Toc201258668 \h </w:instrText>
            </w:r>
            <w:r>
              <w:rPr>
                <w:noProof/>
                <w:webHidden/>
              </w:rPr>
            </w:r>
            <w:r>
              <w:rPr>
                <w:noProof/>
                <w:webHidden/>
              </w:rPr>
              <w:fldChar w:fldCharType="separate"/>
            </w:r>
            <w:r>
              <w:rPr>
                <w:noProof/>
                <w:webHidden/>
              </w:rPr>
              <w:t>5</w:t>
            </w:r>
            <w:r>
              <w:rPr>
                <w:noProof/>
                <w:webHidden/>
              </w:rPr>
              <w:fldChar w:fldCharType="end"/>
            </w:r>
          </w:hyperlink>
        </w:p>
        <w:p w14:paraId="242DC613" w14:textId="656FCB29" w:rsidR="002D5846" w:rsidRDefault="002D5846">
          <w:pPr>
            <w:pStyle w:val="TOC1"/>
            <w:tabs>
              <w:tab w:val="right" w:leader="dot" w:pos="8630"/>
            </w:tabs>
            <w:rPr>
              <w:noProof/>
              <w:kern w:val="2"/>
              <w:sz w:val="24"/>
              <w:szCs w:val="24"/>
              <w:lang w:eastAsia="en-GB"/>
              <w14:ligatures w14:val="standardContextual"/>
            </w:rPr>
          </w:pPr>
          <w:hyperlink w:anchor="_Toc201258669" w:history="1">
            <w:r w:rsidRPr="00A072F1">
              <w:rPr>
                <w:rStyle w:val="Hyperlink"/>
                <w:rFonts w:ascii="Arial" w:hAnsi="Arial" w:cs="Arial"/>
                <w:noProof/>
              </w:rPr>
              <w:t>3. Key Deliverables</w:t>
            </w:r>
            <w:r>
              <w:rPr>
                <w:noProof/>
                <w:webHidden/>
              </w:rPr>
              <w:tab/>
            </w:r>
            <w:r>
              <w:rPr>
                <w:noProof/>
                <w:webHidden/>
              </w:rPr>
              <w:fldChar w:fldCharType="begin"/>
            </w:r>
            <w:r>
              <w:rPr>
                <w:noProof/>
                <w:webHidden/>
              </w:rPr>
              <w:instrText xml:space="preserve"> PAGEREF _Toc201258669 \h </w:instrText>
            </w:r>
            <w:r>
              <w:rPr>
                <w:noProof/>
                <w:webHidden/>
              </w:rPr>
            </w:r>
            <w:r>
              <w:rPr>
                <w:noProof/>
                <w:webHidden/>
              </w:rPr>
              <w:fldChar w:fldCharType="separate"/>
            </w:r>
            <w:r>
              <w:rPr>
                <w:noProof/>
                <w:webHidden/>
              </w:rPr>
              <w:t>5</w:t>
            </w:r>
            <w:r>
              <w:rPr>
                <w:noProof/>
                <w:webHidden/>
              </w:rPr>
              <w:fldChar w:fldCharType="end"/>
            </w:r>
          </w:hyperlink>
        </w:p>
        <w:p w14:paraId="0B14907C" w14:textId="67F249BD" w:rsidR="002D5846" w:rsidRDefault="002D5846">
          <w:pPr>
            <w:pStyle w:val="TOC2"/>
            <w:tabs>
              <w:tab w:val="right" w:leader="dot" w:pos="8630"/>
            </w:tabs>
            <w:rPr>
              <w:noProof/>
              <w:kern w:val="2"/>
              <w:sz w:val="24"/>
              <w:szCs w:val="24"/>
              <w:lang w:eastAsia="en-GB"/>
              <w14:ligatures w14:val="standardContextual"/>
            </w:rPr>
          </w:pPr>
          <w:hyperlink w:anchor="_Toc201258670" w:history="1">
            <w:r w:rsidRPr="00A072F1">
              <w:rPr>
                <w:rStyle w:val="Hyperlink"/>
                <w:rFonts w:ascii="Arial" w:hAnsi="Arial" w:cs="Arial"/>
                <w:noProof/>
              </w:rPr>
              <w:t>a. Event Management</w:t>
            </w:r>
            <w:r>
              <w:rPr>
                <w:noProof/>
                <w:webHidden/>
              </w:rPr>
              <w:tab/>
            </w:r>
            <w:r>
              <w:rPr>
                <w:noProof/>
                <w:webHidden/>
              </w:rPr>
              <w:fldChar w:fldCharType="begin"/>
            </w:r>
            <w:r>
              <w:rPr>
                <w:noProof/>
                <w:webHidden/>
              </w:rPr>
              <w:instrText xml:space="preserve"> PAGEREF _Toc201258670 \h </w:instrText>
            </w:r>
            <w:r>
              <w:rPr>
                <w:noProof/>
                <w:webHidden/>
              </w:rPr>
            </w:r>
            <w:r>
              <w:rPr>
                <w:noProof/>
                <w:webHidden/>
              </w:rPr>
              <w:fldChar w:fldCharType="separate"/>
            </w:r>
            <w:r>
              <w:rPr>
                <w:noProof/>
                <w:webHidden/>
              </w:rPr>
              <w:t>5</w:t>
            </w:r>
            <w:r>
              <w:rPr>
                <w:noProof/>
                <w:webHidden/>
              </w:rPr>
              <w:fldChar w:fldCharType="end"/>
            </w:r>
          </w:hyperlink>
        </w:p>
        <w:p w14:paraId="2EF7A6C3" w14:textId="0DD39E1A" w:rsidR="002D5846" w:rsidRDefault="002D5846">
          <w:pPr>
            <w:pStyle w:val="TOC2"/>
            <w:tabs>
              <w:tab w:val="right" w:leader="dot" w:pos="8630"/>
            </w:tabs>
            <w:rPr>
              <w:noProof/>
              <w:kern w:val="2"/>
              <w:sz w:val="24"/>
              <w:szCs w:val="24"/>
              <w:lang w:eastAsia="en-GB"/>
              <w14:ligatures w14:val="standardContextual"/>
            </w:rPr>
          </w:pPr>
          <w:hyperlink w:anchor="_Toc201258671" w:history="1">
            <w:r w:rsidRPr="00A072F1">
              <w:rPr>
                <w:rStyle w:val="Hyperlink"/>
                <w:rFonts w:ascii="Arial" w:hAnsi="Arial" w:cs="Arial"/>
                <w:noProof/>
              </w:rPr>
              <w:t>b. Programming and Themes</w:t>
            </w:r>
            <w:r>
              <w:rPr>
                <w:noProof/>
                <w:webHidden/>
              </w:rPr>
              <w:tab/>
            </w:r>
            <w:r>
              <w:rPr>
                <w:noProof/>
                <w:webHidden/>
              </w:rPr>
              <w:fldChar w:fldCharType="begin"/>
            </w:r>
            <w:r>
              <w:rPr>
                <w:noProof/>
                <w:webHidden/>
              </w:rPr>
              <w:instrText xml:space="preserve"> PAGEREF _Toc201258671 \h </w:instrText>
            </w:r>
            <w:r>
              <w:rPr>
                <w:noProof/>
                <w:webHidden/>
              </w:rPr>
            </w:r>
            <w:r>
              <w:rPr>
                <w:noProof/>
                <w:webHidden/>
              </w:rPr>
              <w:fldChar w:fldCharType="separate"/>
            </w:r>
            <w:r>
              <w:rPr>
                <w:noProof/>
                <w:webHidden/>
              </w:rPr>
              <w:t>5</w:t>
            </w:r>
            <w:r>
              <w:rPr>
                <w:noProof/>
                <w:webHidden/>
              </w:rPr>
              <w:fldChar w:fldCharType="end"/>
            </w:r>
          </w:hyperlink>
        </w:p>
        <w:p w14:paraId="6DC545C7" w14:textId="5EEDBCE8" w:rsidR="002D5846" w:rsidRDefault="002D5846">
          <w:pPr>
            <w:pStyle w:val="TOC2"/>
            <w:tabs>
              <w:tab w:val="right" w:leader="dot" w:pos="8630"/>
            </w:tabs>
            <w:rPr>
              <w:noProof/>
              <w:kern w:val="2"/>
              <w:sz w:val="24"/>
              <w:szCs w:val="24"/>
              <w:lang w:eastAsia="en-GB"/>
              <w14:ligatures w14:val="standardContextual"/>
            </w:rPr>
          </w:pPr>
          <w:hyperlink w:anchor="_Toc201258672" w:history="1">
            <w:r w:rsidRPr="00A072F1">
              <w:rPr>
                <w:rStyle w:val="Hyperlink"/>
                <w:rFonts w:ascii="Arial" w:hAnsi="Arial" w:cs="Arial"/>
                <w:noProof/>
              </w:rPr>
              <w:t>c. Stakeholder Engagement</w:t>
            </w:r>
            <w:r>
              <w:rPr>
                <w:noProof/>
                <w:webHidden/>
              </w:rPr>
              <w:tab/>
            </w:r>
            <w:r>
              <w:rPr>
                <w:noProof/>
                <w:webHidden/>
              </w:rPr>
              <w:fldChar w:fldCharType="begin"/>
            </w:r>
            <w:r>
              <w:rPr>
                <w:noProof/>
                <w:webHidden/>
              </w:rPr>
              <w:instrText xml:space="preserve"> PAGEREF _Toc201258672 \h </w:instrText>
            </w:r>
            <w:r>
              <w:rPr>
                <w:noProof/>
                <w:webHidden/>
              </w:rPr>
            </w:r>
            <w:r>
              <w:rPr>
                <w:noProof/>
                <w:webHidden/>
              </w:rPr>
              <w:fldChar w:fldCharType="separate"/>
            </w:r>
            <w:r>
              <w:rPr>
                <w:noProof/>
                <w:webHidden/>
              </w:rPr>
              <w:t>6</w:t>
            </w:r>
            <w:r>
              <w:rPr>
                <w:noProof/>
                <w:webHidden/>
              </w:rPr>
              <w:fldChar w:fldCharType="end"/>
            </w:r>
          </w:hyperlink>
        </w:p>
        <w:p w14:paraId="4412D350" w14:textId="5E886A73" w:rsidR="002D5846" w:rsidRDefault="002D5846">
          <w:pPr>
            <w:pStyle w:val="TOC2"/>
            <w:tabs>
              <w:tab w:val="right" w:leader="dot" w:pos="8630"/>
            </w:tabs>
            <w:rPr>
              <w:noProof/>
              <w:kern w:val="2"/>
              <w:sz w:val="24"/>
              <w:szCs w:val="24"/>
              <w:lang w:eastAsia="en-GB"/>
              <w14:ligatures w14:val="standardContextual"/>
            </w:rPr>
          </w:pPr>
          <w:hyperlink w:anchor="_Toc201258673" w:history="1">
            <w:r w:rsidRPr="00A072F1">
              <w:rPr>
                <w:rStyle w:val="Hyperlink"/>
                <w:rFonts w:ascii="Arial" w:hAnsi="Arial" w:cs="Arial"/>
                <w:noProof/>
              </w:rPr>
              <w:t>d. Governance and Decision-Making</w:t>
            </w:r>
            <w:r>
              <w:rPr>
                <w:noProof/>
                <w:webHidden/>
              </w:rPr>
              <w:tab/>
            </w:r>
            <w:r>
              <w:rPr>
                <w:noProof/>
                <w:webHidden/>
              </w:rPr>
              <w:fldChar w:fldCharType="begin"/>
            </w:r>
            <w:r>
              <w:rPr>
                <w:noProof/>
                <w:webHidden/>
              </w:rPr>
              <w:instrText xml:space="preserve"> PAGEREF _Toc201258673 \h </w:instrText>
            </w:r>
            <w:r>
              <w:rPr>
                <w:noProof/>
                <w:webHidden/>
              </w:rPr>
            </w:r>
            <w:r>
              <w:rPr>
                <w:noProof/>
                <w:webHidden/>
              </w:rPr>
              <w:fldChar w:fldCharType="separate"/>
            </w:r>
            <w:r>
              <w:rPr>
                <w:noProof/>
                <w:webHidden/>
              </w:rPr>
              <w:t>7</w:t>
            </w:r>
            <w:r>
              <w:rPr>
                <w:noProof/>
                <w:webHidden/>
              </w:rPr>
              <w:fldChar w:fldCharType="end"/>
            </w:r>
          </w:hyperlink>
        </w:p>
        <w:p w14:paraId="21416CD2" w14:textId="714E1CEA" w:rsidR="002D5846" w:rsidRDefault="002D5846">
          <w:pPr>
            <w:pStyle w:val="TOC2"/>
            <w:tabs>
              <w:tab w:val="right" w:leader="dot" w:pos="8630"/>
            </w:tabs>
            <w:rPr>
              <w:noProof/>
              <w:kern w:val="2"/>
              <w:sz w:val="24"/>
              <w:szCs w:val="24"/>
              <w:lang w:eastAsia="en-GB"/>
              <w14:ligatures w14:val="standardContextual"/>
            </w:rPr>
          </w:pPr>
          <w:hyperlink w:anchor="_Toc201258674" w:history="1">
            <w:r w:rsidRPr="00A072F1">
              <w:rPr>
                <w:rStyle w:val="Hyperlink"/>
                <w:rFonts w:ascii="Arial" w:hAnsi="Arial" w:cs="Arial"/>
                <w:noProof/>
              </w:rPr>
              <w:t>e. Marketing and Communications</w:t>
            </w:r>
            <w:r>
              <w:rPr>
                <w:noProof/>
                <w:webHidden/>
              </w:rPr>
              <w:tab/>
            </w:r>
            <w:r>
              <w:rPr>
                <w:noProof/>
                <w:webHidden/>
              </w:rPr>
              <w:fldChar w:fldCharType="begin"/>
            </w:r>
            <w:r>
              <w:rPr>
                <w:noProof/>
                <w:webHidden/>
              </w:rPr>
              <w:instrText xml:space="preserve"> PAGEREF _Toc201258674 \h </w:instrText>
            </w:r>
            <w:r>
              <w:rPr>
                <w:noProof/>
                <w:webHidden/>
              </w:rPr>
            </w:r>
            <w:r>
              <w:rPr>
                <w:noProof/>
                <w:webHidden/>
              </w:rPr>
              <w:fldChar w:fldCharType="separate"/>
            </w:r>
            <w:r>
              <w:rPr>
                <w:noProof/>
                <w:webHidden/>
              </w:rPr>
              <w:t>7</w:t>
            </w:r>
            <w:r>
              <w:rPr>
                <w:noProof/>
                <w:webHidden/>
              </w:rPr>
              <w:fldChar w:fldCharType="end"/>
            </w:r>
          </w:hyperlink>
        </w:p>
        <w:p w14:paraId="65F87613" w14:textId="1F56BD4D" w:rsidR="002D5846" w:rsidRDefault="002D5846">
          <w:pPr>
            <w:pStyle w:val="TOC2"/>
            <w:tabs>
              <w:tab w:val="right" w:leader="dot" w:pos="8630"/>
            </w:tabs>
            <w:rPr>
              <w:noProof/>
              <w:kern w:val="2"/>
              <w:sz w:val="24"/>
              <w:szCs w:val="24"/>
              <w:lang w:eastAsia="en-GB"/>
              <w14:ligatures w14:val="standardContextual"/>
            </w:rPr>
          </w:pPr>
          <w:hyperlink w:anchor="_Toc201258675" w:history="1">
            <w:r w:rsidRPr="00A072F1">
              <w:rPr>
                <w:rStyle w:val="Hyperlink"/>
                <w:rFonts w:ascii="Arial" w:hAnsi="Arial" w:cs="Arial"/>
                <w:noProof/>
              </w:rPr>
              <w:t>f. Volunteer and Workforce Management</w:t>
            </w:r>
            <w:r>
              <w:rPr>
                <w:noProof/>
                <w:webHidden/>
              </w:rPr>
              <w:tab/>
            </w:r>
            <w:r>
              <w:rPr>
                <w:noProof/>
                <w:webHidden/>
              </w:rPr>
              <w:fldChar w:fldCharType="begin"/>
            </w:r>
            <w:r>
              <w:rPr>
                <w:noProof/>
                <w:webHidden/>
              </w:rPr>
              <w:instrText xml:space="preserve"> PAGEREF _Toc201258675 \h </w:instrText>
            </w:r>
            <w:r>
              <w:rPr>
                <w:noProof/>
                <w:webHidden/>
              </w:rPr>
            </w:r>
            <w:r>
              <w:rPr>
                <w:noProof/>
                <w:webHidden/>
              </w:rPr>
              <w:fldChar w:fldCharType="separate"/>
            </w:r>
            <w:r>
              <w:rPr>
                <w:noProof/>
                <w:webHidden/>
              </w:rPr>
              <w:t>8</w:t>
            </w:r>
            <w:r>
              <w:rPr>
                <w:noProof/>
                <w:webHidden/>
              </w:rPr>
              <w:fldChar w:fldCharType="end"/>
            </w:r>
          </w:hyperlink>
        </w:p>
        <w:p w14:paraId="07D6A32D" w14:textId="3869043A" w:rsidR="002D5846" w:rsidRDefault="002D5846">
          <w:pPr>
            <w:pStyle w:val="TOC1"/>
            <w:tabs>
              <w:tab w:val="right" w:leader="dot" w:pos="8630"/>
            </w:tabs>
            <w:rPr>
              <w:noProof/>
              <w:kern w:val="2"/>
              <w:sz w:val="24"/>
              <w:szCs w:val="24"/>
              <w:lang w:eastAsia="en-GB"/>
              <w14:ligatures w14:val="standardContextual"/>
            </w:rPr>
          </w:pPr>
          <w:hyperlink w:anchor="_Toc201258676" w:history="1">
            <w:r w:rsidRPr="00A072F1">
              <w:rPr>
                <w:rStyle w:val="Hyperlink"/>
                <w:rFonts w:ascii="Arial" w:hAnsi="Arial" w:cs="Arial"/>
                <w:noProof/>
              </w:rPr>
              <w:t>4. Sustainability Requirements</w:t>
            </w:r>
            <w:r>
              <w:rPr>
                <w:noProof/>
                <w:webHidden/>
              </w:rPr>
              <w:tab/>
            </w:r>
            <w:r>
              <w:rPr>
                <w:noProof/>
                <w:webHidden/>
              </w:rPr>
              <w:fldChar w:fldCharType="begin"/>
            </w:r>
            <w:r>
              <w:rPr>
                <w:noProof/>
                <w:webHidden/>
              </w:rPr>
              <w:instrText xml:space="preserve"> PAGEREF _Toc201258676 \h </w:instrText>
            </w:r>
            <w:r>
              <w:rPr>
                <w:noProof/>
                <w:webHidden/>
              </w:rPr>
            </w:r>
            <w:r>
              <w:rPr>
                <w:noProof/>
                <w:webHidden/>
              </w:rPr>
              <w:fldChar w:fldCharType="separate"/>
            </w:r>
            <w:r>
              <w:rPr>
                <w:noProof/>
                <w:webHidden/>
              </w:rPr>
              <w:t>8</w:t>
            </w:r>
            <w:r>
              <w:rPr>
                <w:noProof/>
                <w:webHidden/>
              </w:rPr>
              <w:fldChar w:fldCharType="end"/>
            </w:r>
          </w:hyperlink>
        </w:p>
        <w:p w14:paraId="503EBAE1" w14:textId="73965A6D" w:rsidR="002D5846" w:rsidRDefault="002D5846">
          <w:pPr>
            <w:pStyle w:val="TOC2"/>
            <w:tabs>
              <w:tab w:val="right" w:leader="dot" w:pos="8630"/>
            </w:tabs>
            <w:rPr>
              <w:noProof/>
              <w:kern w:val="2"/>
              <w:sz w:val="24"/>
              <w:szCs w:val="24"/>
              <w:lang w:eastAsia="en-GB"/>
              <w14:ligatures w14:val="standardContextual"/>
            </w:rPr>
          </w:pPr>
          <w:hyperlink w:anchor="_Toc201258677" w:history="1">
            <w:r w:rsidRPr="00A072F1">
              <w:rPr>
                <w:rStyle w:val="Hyperlink"/>
                <w:rFonts w:ascii="Arial" w:hAnsi="Arial" w:cs="Arial"/>
                <w:noProof/>
              </w:rPr>
              <w:t>a. Environmental Sustainability</w:t>
            </w:r>
            <w:r>
              <w:rPr>
                <w:noProof/>
                <w:webHidden/>
              </w:rPr>
              <w:tab/>
            </w:r>
            <w:r>
              <w:rPr>
                <w:noProof/>
                <w:webHidden/>
              </w:rPr>
              <w:fldChar w:fldCharType="begin"/>
            </w:r>
            <w:r>
              <w:rPr>
                <w:noProof/>
                <w:webHidden/>
              </w:rPr>
              <w:instrText xml:space="preserve"> PAGEREF _Toc201258677 \h </w:instrText>
            </w:r>
            <w:r>
              <w:rPr>
                <w:noProof/>
                <w:webHidden/>
              </w:rPr>
            </w:r>
            <w:r>
              <w:rPr>
                <w:noProof/>
                <w:webHidden/>
              </w:rPr>
              <w:fldChar w:fldCharType="separate"/>
            </w:r>
            <w:r>
              <w:rPr>
                <w:noProof/>
                <w:webHidden/>
              </w:rPr>
              <w:t>8</w:t>
            </w:r>
            <w:r>
              <w:rPr>
                <w:noProof/>
                <w:webHidden/>
              </w:rPr>
              <w:fldChar w:fldCharType="end"/>
            </w:r>
          </w:hyperlink>
        </w:p>
        <w:p w14:paraId="11943929" w14:textId="33B15AAC" w:rsidR="002D5846" w:rsidRDefault="002D5846">
          <w:pPr>
            <w:pStyle w:val="TOC2"/>
            <w:tabs>
              <w:tab w:val="right" w:leader="dot" w:pos="8630"/>
            </w:tabs>
            <w:rPr>
              <w:noProof/>
              <w:kern w:val="2"/>
              <w:sz w:val="24"/>
              <w:szCs w:val="24"/>
              <w:lang w:eastAsia="en-GB"/>
              <w14:ligatures w14:val="standardContextual"/>
            </w:rPr>
          </w:pPr>
          <w:hyperlink w:anchor="_Toc201258678" w:history="1">
            <w:r w:rsidRPr="00A072F1">
              <w:rPr>
                <w:rStyle w:val="Hyperlink"/>
                <w:rFonts w:ascii="Arial" w:hAnsi="Arial" w:cs="Arial"/>
                <w:noProof/>
              </w:rPr>
              <w:t>b. Financial Sustainability</w:t>
            </w:r>
            <w:r>
              <w:rPr>
                <w:noProof/>
                <w:webHidden/>
              </w:rPr>
              <w:tab/>
            </w:r>
            <w:r>
              <w:rPr>
                <w:noProof/>
                <w:webHidden/>
              </w:rPr>
              <w:fldChar w:fldCharType="begin"/>
            </w:r>
            <w:r>
              <w:rPr>
                <w:noProof/>
                <w:webHidden/>
              </w:rPr>
              <w:instrText xml:space="preserve"> PAGEREF _Toc201258678 \h </w:instrText>
            </w:r>
            <w:r>
              <w:rPr>
                <w:noProof/>
                <w:webHidden/>
              </w:rPr>
            </w:r>
            <w:r>
              <w:rPr>
                <w:noProof/>
                <w:webHidden/>
              </w:rPr>
              <w:fldChar w:fldCharType="separate"/>
            </w:r>
            <w:r>
              <w:rPr>
                <w:noProof/>
                <w:webHidden/>
              </w:rPr>
              <w:t>9</w:t>
            </w:r>
            <w:r>
              <w:rPr>
                <w:noProof/>
                <w:webHidden/>
              </w:rPr>
              <w:fldChar w:fldCharType="end"/>
            </w:r>
          </w:hyperlink>
        </w:p>
        <w:p w14:paraId="7E619130" w14:textId="5C1AD3C9" w:rsidR="002D5846" w:rsidRDefault="002D5846">
          <w:pPr>
            <w:pStyle w:val="TOC1"/>
            <w:tabs>
              <w:tab w:val="right" w:leader="dot" w:pos="8630"/>
            </w:tabs>
            <w:rPr>
              <w:noProof/>
              <w:kern w:val="2"/>
              <w:sz w:val="24"/>
              <w:szCs w:val="24"/>
              <w:lang w:eastAsia="en-GB"/>
              <w14:ligatures w14:val="standardContextual"/>
            </w:rPr>
          </w:pPr>
          <w:hyperlink w:anchor="_Toc201258679" w:history="1">
            <w:r w:rsidRPr="00A072F1">
              <w:rPr>
                <w:rStyle w:val="Hyperlink"/>
                <w:rFonts w:ascii="Arial" w:hAnsi="Arial" w:cs="Arial"/>
                <w:noProof/>
              </w:rPr>
              <w:t>5. Monitoring and Evaluation</w:t>
            </w:r>
            <w:r>
              <w:rPr>
                <w:noProof/>
                <w:webHidden/>
              </w:rPr>
              <w:tab/>
            </w:r>
            <w:r>
              <w:rPr>
                <w:noProof/>
                <w:webHidden/>
              </w:rPr>
              <w:fldChar w:fldCharType="begin"/>
            </w:r>
            <w:r>
              <w:rPr>
                <w:noProof/>
                <w:webHidden/>
              </w:rPr>
              <w:instrText xml:space="preserve"> PAGEREF _Toc201258679 \h </w:instrText>
            </w:r>
            <w:r>
              <w:rPr>
                <w:noProof/>
                <w:webHidden/>
              </w:rPr>
            </w:r>
            <w:r>
              <w:rPr>
                <w:noProof/>
                <w:webHidden/>
              </w:rPr>
              <w:fldChar w:fldCharType="separate"/>
            </w:r>
            <w:r>
              <w:rPr>
                <w:noProof/>
                <w:webHidden/>
              </w:rPr>
              <w:t>9</w:t>
            </w:r>
            <w:r>
              <w:rPr>
                <w:noProof/>
                <w:webHidden/>
              </w:rPr>
              <w:fldChar w:fldCharType="end"/>
            </w:r>
          </w:hyperlink>
        </w:p>
        <w:p w14:paraId="000BE098" w14:textId="677BE090" w:rsidR="002D5846" w:rsidRDefault="002D5846">
          <w:pPr>
            <w:pStyle w:val="TOC1"/>
            <w:tabs>
              <w:tab w:val="right" w:leader="dot" w:pos="8630"/>
            </w:tabs>
            <w:rPr>
              <w:noProof/>
              <w:kern w:val="2"/>
              <w:sz w:val="24"/>
              <w:szCs w:val="24"/>
              <w:lang w:eastAsia="en-GB"/>
              <w14:ligatures w14:val="standardContextual"/>
            </w:rPr>
          </w:pPr>
          <w:hyperlink w:anchor="_Toc201258680" w:history="1">
            <w:r w:rsidRPr="00A072F1">
              <w:rPr>
                <w:rStyle w:val="Hyperlink"/>
                <w:rFonts w:ascii="Arial" w:hAnsi="Arial" w:cs="Arial"/>
                <w:noProof/>
              </w:rPr>
              <w:t>6. Governance and Collaboration</w:t>
            </w:r>
            <w:r>
              <w:rPr>
                <w:noProof/>
                <w:webHidden/>
              </w:rPr>
              <w:tab/>
            </w:r>
            <w:r>
              <w:rPr>
                <w:noProof/>
                <w:webHidden/>
              </w:rPr>
              <w:fldChar w:fldCharType="begin"/>
            </w:r>
            <w:r>
              <w:rPr>
                <w:noProof/>
                <w:webHidden/>
              </w:rPr>
              <w:instrText xml:space="preserve"> PAGEREF _Toc201258680 \h </w:instrText>
            </w:r>
            <w:r>
              <w:rPr>
                <w:noProof/>
                <w:webHidden/>
              </w:rPr>
            </w:r>
            <w:r>
              <w:rPr>
                <w:noProof/>
                <w:webHidden/>
              </w:rPr>
              <w:fldChar w:fldCharType="separate"/>
            </w:r>
            <w:r>
              <w:rPr>
                <w:noProof/>
                <w:webHidden/>
              </w:rPr>
              <w:t>10</w:t>
            </w:r>
            <w:r>
              <w:rPr>
                <w:noProof/>
                <w:webHidden/>
              </w:rPr>
              <w:fldChar w:fldCharType="end"/>
            </w:r>
          </w:hyperlink>
        </w:p>
        <w:p w14:paraId="62B3C7F6" w14:textId="6D485DC0" w:rsidR="002D5846" w:rsidRDefault="002D5846">
          <w:pPr>
            <w:pStyle w:val="TOC1"/>
            <w:tabs>
              <w:tab w:val="right" w:leader="dot" w:pos="8630"/>
            </w:tabs>
            <w:rPr>
              <w:noProof/>
              <w:kern w:val="2"/>
              <w:sz w:val="24"/>
              <w:szCs w:val="24"/>
              <w:lang w:eastAsia="en-GB"/>
              <w14:ligatures w14:val="standardContextual"/>
            </w:rPr>
          </w:pPr>
          <w:hyperlink w:anchor="_Toc201258681" w:history="1">
            <w:r w:rsidRPr="00A072F1">
              <w:rPr>
                <w:rStyle w:val="Hyperlink"/>
                <w:rFonts w:ascii="Arial" w:hAnsi="Arial" w:cs="Arial"/>
                <w:noProof/>
              </w:rPr>
              <w:t>Evaluation Matrix: Taunton Together Tender Specification (2026–2030)</w:t>
            </w:r>
            <w:r>
              <w:rPr>
                <w:noProof/>
                <w:webHidden/>
              </w:rPr>
              <w:tab/>
            </w:r>
            <w:r>
              <w:rPr>
                <w:noProof/>
                <w:webHidden/>
              </w:rPr>
              <w:fldChar w:fldCharType="begin"/>
            </w:r>
            <w:r>
              <w:rPr>
                <w:noProof/>
                <w:webHidden/>
              </w:rPr>
              <w:instrText xml:space="preserve"> PAGEREF _Toc201258681 \h </w:instrText>
            </w:r>
            <w:r>
              <w:rPr>
                <w:noProof/>
                <w:webHidden/>
              </w:rPr>
            </w:r>
            <w:r>
              <w:rPr>
                <w:noProof/>
                <w:webHidden/>
              </w:rPr>
              <w:fldChar w:fldCharType="separate"/>
            </w:r>
            <w:r>
              <w:rPr>
                <w:noProof/>
                <w:webHidden/>
              </w:rPr>
              <w:t>10</w:t>
            </w:r>
            <w:r>
              <w:rPr>
                <w:noProof/>
                <w:webHidden/>
              </w:rPr>
              <w:fldChar w:fldCharType="end"/>
            </w:r>
          </w:hyperlink>
        </w:p>
        <w:p w14:paraId="3E47311C" w14:textId="260B10AC" w:rsidR="00005058" w:rsidRPr="00182EC7" w:rsidRDefault="00005058" w:rsidP="006A3954">
          <w:pPr>
            <w:jc w:val="both"/>
          </w:pPr>
          <w:r w:rsidRPr="00182EC7">
            <w:rPr>
              <w:rFonts w:ascii="Arial" w:hAnsi="Arial" w:cs="Arial"/>
              <w:b/>
              <w:bCs/>
              <w:sz w:val="24"/>
              <w:szCs w:val="24"/>
            </w:rPr>
            <w:fldChar w:fldCharType="end"/>
          </w:r>
        </w:p>
      </w:sdtContent>
    </w:sdt>
    <w:p w14:paraId="2DBC04AD" w14:textId="77777777" w:rsidR="00005058" w:rsidRPr="00182EC7" w:rsidRDefault="00005058" w:rsidP="006A3954">
      <w:pPr>
        <w:pStyle w:val="Heading1"/>
        <w:jc w:val="both"/>
        <w:rPr>
          <w:rFonts w:ascii="Arial" w:hAnsi="Arial" w:cs="Arial"/>
          <w:color w:val="auto"/>
          <w:sz w:val="24"/>
          <w:szCs w:val="24"/>
        </w:rPr>
      </w:pPr>
    </w:p>
    <w:p w14:paraId="7E6D585A" w14:textId="77777777" w:rsidR="00B95252" w:rsidRPr="00182EC7" w:rsidRDefault="00B95252" w:rsidP="006A3954">
      <w:pPr>
        <w:jc w:val="both"/>
      </w:pPr>
    </w:p>
    <w:p w14:paraId="05848A46" w14:textId="77777777" w:rsidR="00B95252" w:rsidRDefault="00B95252" w:rsidP="006A3954">
      <w:pPr>
        <w:jc w:val="both"/>
      </w:pPr>
    </w:p>
    <w:p w14:paraId="792854EB" w14:textId="77777777" w:rsidR="00843442" w:rsidRDefault="00843442" w:rsidP="006A3954">
      <w:pPr>
        <w:jc w:val="both"/>
      </w:pPr>
    </w:p>
    <w:p w14:paraId="34DDFAFA" w14:textId="77777777" w:rsidR="00843442" w:rsidRDefault="00843442" w:rsidP="006A3954">
      <w:pPr>
        <w:jc w:val="both"/>
      </w:pPr>
    </w:p>
    <w:p w14:paraId="5DBE23DA" w14:textId="77777777" w:rsidR="00843442" w:rsidRDefault="00843442" w:rsidP="006A3954">
      <w:pPr>
        <w:jc w:val="both"/>
      </w:pPr>
    </w:p>
    <w:p w14:paraId="533F5966" w14:textId="77777777" w:rsidR="00843442" w:rsidRDefault="00843442" w:rsidP="006A3954">
      <w:pPr>
        <w:jc w:val="both"/>
      </w:pPr>
    </w:p>
    <w:p w14:paraId="2A107BED" w14:textId="77777777" w:rsidR="00843442" w:rsidRPr="00182EC7" w:rsidRDefault="00843442" w:rsidP="006A3954">
      <w:pPr>
        <w:jc w:val="both"/>
      </w:pPr>
    </w:p>
    <w:p w14:paraId="0A047091" w14:textId="77777777" w:rsidR="00B95252" w:rsidRPr="00182EC7" w:rsidRDefault="00B95252" w:rsidP="006A3954">
      <w:pPr>
        <w:jc w:val="both"/>
      </w:pPr>
    </w:p>
    <w:p w14:paraId="5EB171FA" w14:textId="09903EA2" w:rsidR="00005058" w:rsidRPr="00182EC7" w:rsidRDefault="00A80BF2" w:rsidP="006A3954">
      <w:pPr>
        <w:jc w:val="both"/>
        <w:rPr>
          <w:rFonts w:ascii="Arial" w:hAnsi="Arial" w:cs="Arial"/>
          <w:b/>
          <w:bCs/>
          <w:sz w:val="28"/>
          <w:szCs w:val="28"/>
        </w:rPr>
      </w:pPr>
      <w:r w:rsidRPr="00182EC7">
        <w:rPr>
          <w:rFonts w:ascii="Arial" w:hAnsi="Arial" w:cs="Arial"/>
          <w:b/>
          <w:bCs/>
          <w:sz w:val="28"/>
          <w:szCs w:val="28"/>
        </w:rPr>
        <w:lastRenderedPageBreak/>
        <w:t xml:space="preserve">Tender Specification Scope: </w:t>
      </w:r>
    </w:p>
    <w:p w14:paraId="74B7B4D9" w14:textId="46F5CC75" w:rsidR="00284C3F" w:rsidRPr="00182EC7" w:rsidRDefault="00A80BF2" w:rsidP="006A3954">
      <w:pPr>
        <w:jc w:val="both"/>
        <w:rPr>
          <w:rFonts w:ascii="Arial" w:hAnsi="Arial" w:cs="Arial"/>
          <w:b/>
          <w:bCs/>
          <w:sz w:val="24"/>
          <w:szCs w:val="24"/>
        </w:rPr>
      </w:pPr>
      <w:r w:rsidRPr="00182EC7">
        <w:rPr>
          <w:rFonts w:ascii="Arial" w:hAnsi="Arial" w:cs="Arial"/>
          <w:b/>
          <w:bCs/>
          <w:sz w:val="24"/>
          <w:szCs w:val="24"/>
        </w:rPr>
        <w:t>Management and Delivery of Taunton Together (2026–2030)</w:t>
      </w:r>
    </w:p>
    <w:p w14:paraId="46A1EC2E" w14:textId="44B6629E" w:rsidR="00284C3F" w:rsidRPr="00182EC7" w:rsidRDefault="00A80BF2" w:rsidP="006A3954">
      <w:pPr>
        <w:pStyle w:val="Heading1"/>
        <w:rPr>
          <w:rFonts w:ascii="Arial" w:hAnsi="Arial" w:cs="Arial"/>
          <w:color w:val="auto"/>
          <w:sz w:val="24"/>
          <w:szCs w:val="24"/>
        </w:rPr>
      </w:pPr>
      <w:bookmarkStart w:id="0" w:name="_Toc201258667"/>
      <w:r w:rsidRPr="00182EC7">
        <w:rPr>
          <w:rFonts w:ascii="Arial" w:hAnsi="Arial" w:cs="Arial"/>
          <w:color w:val="auto"/>
          <w:sz w:val="24"/>
          <w:szCs w:val="24"/>
        </w:rPr>
        <w:t>1. Overview</w:t>
      </w:r>
      <w:bookmarkEnd w:id="0"/>
      <w:r w:rsidR="006A3954" w:rsidRPr="00182EC7">
        <w:rPr>
          <w:rFonts w:ascii="Arial" w:hAnsi="Arial" w:cs="Arial"/>
          <w:color w:val="auto"/>
          <w:sz w:val="24"/>
          <w:szCs w:val="24"/>
        </w:rPr>
        <w:br/>
      </w:r>
    </w:p>
    <w:p w14:paraId="0EDD25ED" w14:textId="39A1B4D6" w:rsidR="00F1565E" w:rsidRPr="00182EC7" w:rsidRDefault="00A80BF2" w:rsidP="006A3954">
      <w:pPr>
        <w:jc w:val="both"/>
        <w:rPr>
          <w:rFonts w:ascii="Arial" w:hAnsi="Arial" w:cs="Arial"/>
          <w:sz w:val="24"/>
          <w:szCs w:val="24"/>
        </w:rPr>
      </w:pPr>
      <w:r w:rsidRPr="00182EC7">
        <w:rPr>
          <w:rFonts w:ascii="Arial" w:hAnsi="Arial" w:cs="Arial"/>
          <w:sz w:val="24"/>
          <w:szCs w:val="24"/>
        </w:rPr>
        <w:t xml:space="preserve">Taunton Together is a flagship annual community event celebrating the cultural richness, creativity, and diversity of Taunton. It is held on the last Saturday of September (subject to change) and is free </w:t>
      </w:r>
      <w:r w:rsidR="002F3FD3">
        <w:rPr>
          <w:rFonts w:ascii="Arial" w:hAnsi="Arial" w:cs="Arial"/>
          <w:sz w:val="24"/>
          <w:szCs w:val="24"/>
        </w:rPr>
        <w:t xml:space="preserve">for all </w:t>
      </w:r>
      <w:r w:rsidRPr="00182EC7">
        <w:rPr>
          <w:rFonts w:ascii="Arial" w:hAnsi="Arial" w:cs="Arial"/>
          <w:sz w:val="24"/>
          <w:szCs w:val="24"/>
        </w:rPr>
        <w:t xml:space="preserve">to attend. The event is designed to bring together residents, visitors, </w:t>
      </w:r>
      <w:r w:rsidR="00E36784">
        <w:rPr>
          <w:rFonts w:ascii="Arial" w:hAnsi="Arial" w:cs="Arial"/>
          <w:sz w:val="24"/>
          <w:szCs w:val="24"/>
        </w:rPr>
        <w:t xml:space="preserve">the culture sector and </w:t>
      </w:r>
      <w:r w:rsidRPr="00182EC7">
        <w:rPr>
          <w:rFonts w:ascii="Arial" w:hAnsi="Arial" w:cs="Arial"/>
          <w:sz w:val="24"/>
          <w:szCs w:val="24"/>
        </w:rPr>
        <w:t>businesses, and community groups in a vibrant, inclusive, and safe environment</w:t>
      </w:r>
      <w:r w:rsidR="00E36784">
        <w:rPr>
          <w:rFonts w:ascii="Arial" w:hAnsi="Arial" w:cs="Arial"/>
          <w:sz w:val="24"/>
          <w:szCs w:val="24"/>
        </w:rPr>
        <w:t xml:space="preserve"> in the heart of the town</w:t>
      </w:r>
      <w:r w:rsidRPr="00182EC7">
        <w:rPr>
          <w:rFonts w:ascii="Arial" w:hAnsi="Arial" w:cs="Arial"/>
          <w:sz w:val="24"/>
          <w:szCs w:val="24"/>
        </w:rPr>
        <w:t>.</w:t>
      </w:r>
      <w:r w:rsidR="00D45EAA" w:rsidRPr="00182EC7">
        <w:rPr>
          <w:rFonts w:ascii="Arial" w:hAnsi="Arial" w:cs="Arial"/>
          <w:sz w:val="24"/>
          <w:szCs w:val="24"/>
        </w:rPr>
        <w:t xml:space="preserve"> </w:t>
      </w:r>
    </w:p>
    <w:p w14:paraId="59A8B1D9" w14:textId="68DCC047" w:rsidR="00D45EAA" w:rsidRPr="00182EC7" w:rsidRDefault="00D45EAA" w:rsidP="006A3954">
      <w:pPr>
        <w:jc w:val="both"/>
        <w:rPr>
          <w:rFonts w:ascii="Arial" w:hAnsi="Arial" w:cs="Arial"/>
          <w:sz w:val="24"/>
          <w:szCs w:val="24"/>
        </w:rPr>
      </w:pPr>
      <w:r w:rsidRPr="00182EC7">
        <w:rPr>
          <w:rFonts w:ascii="Arial" w:hAnsi="Arial" w:cs="Arial"/>
          <w:sz w:val="24"/>
          <w:szCs w:val="24"/>
        </w:rPr>
        <w:t xml:space="preserve">Taunton Together was first held in 2024 and proved to be a resounding success, drawing widespread </w:t>
      </w:r>
      <w:r w:rsidR="00E16501">
        <w:rPr>
          <w:rFonts w:ascii="Arial" w:hAnsi="Arial" w:cs="Arial"/>
          <w:sz w:val="24"/>
          <w:szCs w:val="24"/>
        </w:rPr>
        <w:t>praise</w:t>
      </w:r>
      <w:r w:rsidRPr="00182EC7">
        <w:rPr>
          <w:rFonts w:ascii="Arial" w:hAnsi="Arial" w:cs="Arial"/>
          <w:sz w:val="24"/>
          <w:szCs w:val="24"/>
        </w:rPr>
        <w:t xml:space="preserve"> from attendees and participants alike. This milestone event set the stage for what </w:t>
      </w:r>
      <w:r w:rsidR="00E16501">
        <w:rPr>
          <w:rFonts w:ascii="Arial" w:hAnsi="Arial" w:cs="Arial"/>
          <w:sz w:val="24"/>
          <w:szCs w:val="24"/>
        </w:rPr>
        <w:t>is</w:t>
      </w:r>
      <w:r w:rsidRPr="00182EC7">
        <w:rPr>
          <w:rFonts w:ascii="Arial" w:hAnsi="Arial" w:cs="Arial"/>
          <w:sz w:val="24"/>
          <w:szCs w:val="24"/>
        </w:rPr>
        <w:t xml:space="preserve"> now </w:t>
      </w:r>
      <w:r w:rsidR="00221860">
        <w:rPr>
          <w:rFonts w:ascii="Arial" w:hAnsi="Arial" w:cs="Arial"/>
          <w:sz w:val="24"/>
          <w:szCs w:val="24"/>
        </w:rPr>
        <w:t xml:space="preserve">to </w:t>
      </w:r>
      <w:r w:rsidRPr="00182EC7">
        <w:rPr>
          <w:rFonts w:ascii="Arial" w:hAnsi="Arial" w:cs="Arial"/>
          <w:sz w:val="24"/>
          <w:szCs w:val="24"/>
        </w:rPr>
        <w:t xml:space="preserve">become a celebrated annual tradition, showcasing the unparalleled energy and unity of Taunton’s community. Building on this strong foundation, </w:t>
      </w:r>
      <w:r w:rsidR="00221860">
        <w:rPr>
          <w:rFonts w:ascii="Arial" w:hAnsi="Arial" w:cs="Arial"/>
          <w:sz w:val="24"/>
          <w:szCs w:val="24"/>
        </w:rPr>
        <w:t>Taunton Town Council</w:t>
      </w:r>
      <w:r w:rsidRPr="00182EC7">
        <w:rPr>
          <w:rFonts w:ascii="Arial" w:hAnsi="Arial" w:cs="Arial"/>
          <w:sz w:val="24"/>
          <w:szCs w:val="24"/>
        </w:rPr>
        <w:t xml:space="preserve"> aim to enhance and expand the event in future years, ensuring it continues to flourish as a cornerstone of local cultural celebration, diversity and community spirit.</w:t>
      </w:r>
    </w:p>
    <w:p w14:paraId="4F1F61C4" w14:textId="285C8B1A" w:rsidR="003451D4" w:rsidRPr="00182EC7" w:rsidRDefault="003451D4" w:rsidP="006A3954">
      <w:pPr>
        <w:jc w:val="both"/>
        <w:rPr>
          <w:rFonts w:ascii="Arial" w:hAnsi="Arial" w:cs="Arial"/>
          <w:sz w:val="24"/>
          <w:szCs w:val="24"/>
        </w:rPr>
      </w:pPr>
      <w:r w:rsidRPr="00182EC7">
        <w:rPr>
          <w:rFonts w:ascii="Arial" w:hAnsi="Arial" w:cs="Arial"/>
          <w:sz w:val="24"/>
          <w:szCs w:val="24"/>
        </w:rPr>
        <w:t xml:space="preserve">Taunton Together aims to showcase the town at its very best, celebrating its vibrant spirit and cultural wealth. By leveraging partnerships with local cultural organisations, the event provides a unique opportunity for these entities to highlight their offerings, from artistic performances to community </w:t>
      </w:r>
      <w:r w:rsidR="00143DE9">
        <w:rPr>
          <w:rFonts w:ascii="Arial" w:hAnsi="Arial" w:cs="Arial"/>
          <w:sz w:val="24"/>
          <w:szCs w:val="24"/>
        </w:rPr>
        <w:t xml:space="preserve">support and </w:t>
      </w:r>
      <w:r w:rsidRPr="00182EC7">
        <w:rPr>
          <w:rFonts w:ascii="Arial" w:hAnsi="Arial" w:cs="Arial"/>
          <w:sz w:val="24"/>
          <w:szCs w:val="24"/>
        </w:rPr>
        <w:t>initiatives. It serves as an important reminder of the rich tapestry of ethnicities and backgrounds that form the foundation of Taunton's community. The event underscores the strength and unity of coming together, fostering a sense of belonging and mutual respect among residents and visitors.</w:t>
      </w:r>
    </w:p>
    <w:p w14:paraId="598B9BD2" w14:textId="6756882B" w:rsidR="005A23DC" w:rsidRPr="00182EC7" w:rsidRDefault="005A23DC" w:rsidP="006A3954">
      <w:pPr>
        <w:jc w:val="both"/>
        <w:rPr>
          <w:rFonts w:ascii="Arial" w:hAnsi="Arial" w:cs="Arial"/>
          <w:sz w:val="24"/>
          <w:szCs w:val="24"/>
        </w:rPr>
      </w:pPr>
      <w:r w:rsidRPr="00182EC7">
        <w:rPr>
          <w:rFonts w:ascii="Arial" w:hAnsi="Arial" w:cs="Arial"/>
          <w:sz w:val="24"/>
          <w:szCs w:val="24"/>
        </w:rPr>
        <w:t xml:space="preserve">To ensure the seamless delivery of Taunton Together, </w:t>
      </w:r>
      <w:r w:rsidR="00BD0F1F">
        <w:rPr>
          <w:rFonts w:ascii="Arial" w:hAnsi="Arial" w:cs="Arial"/>
          <w:sz w:val="24"/>
          <w:szCs w:val="24"/>
        </w:rPr>
        <w:t xml:space="preserve">that is recognised as regional festival, </w:t>
      </w:r>
      <w:r w:rsidRPr="00182EC7">
        <w:rPr>
          <w:rFonts w:ascii="Arial" w:hAnsi="Arial" w:cs="Arial"/>
          <w:sz w:val="24"/>
          <w:szCs w:val="24"/>
        </w:rPr>
        <w:t xml:space="preserve">the </w:t>
      </w:r>
      <w:r w:rsidR="00BD0F1F">
        <w:rPr>
          <w:rFonts w:ascii="Arial" w:hAnsi="Arial" w:cs="Arial"/>
          <w:sz w:val="24"/>
          <w:szCs w:val="24"/>
        </w:rPr>
        <w:t xml:space="preserve">appointed </w:t>
      </w:r>
      <w:r w:rsidRPr="00182EC7">
        <w:rPr>
          <w:rFonts w:ascii="Arial" w:hAnsi="Arial" w:cs="Arial"/>
          <w:sz w:val="24"/>
          <w:szCs w:val="24"/>
        </w:rPr>
        <w:t>organi</w:t>
      </w:r>
      <w:r w:rsidR="00B95252" w:rsidRPr="00182EC7">
        <w:rPr>
          <w:rFonts w:ascii="Arial" w:hAnsi="Arial" w:cs="Arial"/>
          <w:sz w:val="24"/>
          <w:szCs w:val="24"/>
        </w:rPr>
        <w:t>s</w:t>
      </w:r>
      <w:r w:rsidRPr="00182EC7">
        <w:rPr>
          <w:rFonts w:ascii="Arial" w:hAnsi="Arial" w:cs="Arial"/>
          <w:sz w:val="24"/>
          <w:szCs w:val="24"/>
        </w:rPr>
        <w:t>er will be responsible for creating a comprehensive event management plan that incorporates risk assessments to identify potential hazards. In addition, the plan must address the acquisition of adequate public liability insurance to safeguard against unforeseen circumstances, ensuring the safety and well-being of all attendees, participants, and staff. The document will serve as a critical tool in coordinating logistics, safety protocols, and resource allocation for the event.</w:t>
      </w:r>
    </w:p>
    <w:p w14:paraId="2CD57752" w14:textId="1C725F94" w:rsidR="00F1565E" w:rsidRPr="00182EC7" w:rsidRDefault="00A80BF2" w:rsidP="006A3954">
      <w:pPr>
        <w:jc w:val="both"/>
        <w:rPr>
          <w:rFonts w:ascii="Arial" w:hAnsi="Arial" w:cs="Arial"/>
          <w:sz w:val="24"/>
          <w:szCs w:val="24"/>
        </w:rPr>
      </w:pPr>
      <w:r w:rsidRPr="00182EC7">
        <w:rPr>
          <w:rFonts w:ascii="Arial" w:hAnsi="Arial" w:cs="Arial"/>
          <w:sz w:val="24"/>
          <w:szCs w:val="24"/>
        </w:rPr>
        <w:t xml:space="preserve">The event footprint </w:t>
      </w:r>
      <w:r w:rsidR="003451D4" w:rsidRPr="00182EC7">
        <w:rPr>
          <w:rFonts w:ascii="Arial" w:hAnsi="Arial" w:cs="Arial"/>
          <w:sz w:val="24"/>
          <w:szCs w:val="24"/>
        </w:rPr>
        <w:t xml:space="preserve">of the event </w:t>
      </w:r>
      <w:r w:rsidRPr="00182EC7">
        <w:rPr>
          <w:rFonts w:ascii="Arial" w:hAnsi="Arial" w:cs="Arial"/>
          <w:sz w:val="24"/>
          <w:szCs w:val="24"/>
        </w:rPr>
        <w:t>includes:</w:t>
      </w:r>
    </w:p>
    <w:p w14:paraId="174E3769" w14:textId="77777777" w:rsidR="00F1565E" w:rsidRPr="00182EC7" w:rsidRDefault="00A80BF2" w:rsidP="006A3954">
      <w:pPr>
        <w:pStyle w:val="ListParagraph"/>
        <w:numPr>
          <w:ilvl w:val="0"/>
          <w:numId w:val="11"/>
        </w:numPr>
        <w:jc w:val="both"/>
        <w:rPr>
          <w:rFonts w:ascii="Arial" w:hAnsi="Arial" w:cs="Arial"/>
          <w:sz w:val="24"/>
          <w:szCs w:val="24"/>
        </w:rPr>
      </w:pPr>
      <w:r w:rsidRPr="00182EC7">
        <w:rPr>
          <w:rFonts w:ascii="Arial" w:hAnsi="Arial" w:cs="Arial"/>
          <w:sz w:val="24"/>
          <w:szCs w:val="24"/>
        </w:rPr>
        <w:t>Hammet Street (with road closure)</w:t>
      </w:r>
    </w:p>
    <w:p w14:paraId="6287172D" w14:textId="77777777" w:rsidR="00F1565E" w:rsidRPr="00182EC7" w:rsidRDefault="00A80BF2" w:rsidP="006A3954">
      <w:pPr>
        <w:pStyle w:val="ListParagraph"/>
        <w:numPr>
          <w:ilvl w:val="0"/>
          <w:numId w:val="11"/>
        </w:numPr>
        <w:jc w:val="both"/>
        <w:rPr>
          <w:rFonts w:ascii="Arial" w:hAnsi="Arial" w:cs="Arial"/>
          <w:sz w:val="24"/>
          <w:szCs w:val="24"/>
        </w:rPr>
      </w:pPr>
      <w:r w:rsidRPr="00182EC7">
        <w:rPr>
          <w:rFonts w:ascii="Arial" w:hAnsi="Arial" w:cs="Arial"/>
          <w:sz w:val="24"/>
          <w:szCs w:val="24"/>
        </w:rPr>
        <w:lastRenderedPageBreak/>
        <w:t>Taunton Minster</w:t>
      </w:r>
    </w:p>
    <w:p w14:paraId="5BF84E6C" w14:textId="77777777" w:rsidR="00F1565E" w:rsidRPr="00182EC7" w:rsidRDefault="00A80BF2" w:rsidP="006A3954">
      <w:pPr>
        <w:pStyle w:val="ListParagraph"/>
        <w:numPr>
          <w:ilvl w:val="0"/>
          <w:numId w:val="11"/>
        </w:numPr>
        <w:jc w:val="both"/>
        <w:rPr>
          <w:rFonts w:ascii="Arial" w:hAnsi="Arial" w:cs="Arial"/>
          <w:sz w:val="24"/>
          <w:szCs w:val="24"/>
        </w:rPr>
      </w:pPr>
      <w:r w:rsidRPr="00182EC7">
        <w:rPr>
          <w:rFonts w:ascii="Arial" w:hAnsi="Arial" w:cs="Arial"/>
          <w:sz w:val="24"/>
          <w:szCs w:val="24"/>
        </w:rPr>
        <w:t>Castle Green</w:t>
      </w:r>
    </w:p>
    <w:p w14:paraId="27F5B7A7" w14:textId="77777777" w:rsidR="00F1565E" w:rsidRPr="00182EC7" w:rsidRDefault="00A80BF2" w:rsidP="006A3954">
      <w:pPr>
        <w:pStyle w:val="ListParagraph"/>
        <w:numPr>
          <w:ilvl w:val="0"/>
          <w:numId w:val="11"/>
        </w:numPr>
        <w:jc w:val="both"/>
        <w:rPr>
          <w:rFonts w:ascii="Arial" w:hAnsi="Arial" w:cs="Arial"/>
          <w:sz w:val="24"/>
          <w:szCs w:val="24"/>
        </w:rPr>
      </w:pPr>
      <w:r w:rsidRPr="00182EC7">
        <w:rPr>
          <w:rFonts w:ascii="Arial" w:hAnsi="Arial" w:cs="Arial"/>
          <w:sz w:val="24"/>
          <w:szCs w:val="24"/>
        </w:rPr>
        <w:t>Somerset Square</w:t>
      </w:r>
    </w:p>
    <w:p w14:paraId="56B1B30C" w14:textId="77777777" w:rsidR="00F1565E" w:rsidRPr="00182EC7" w:rsidRDefault="00A80BF2" w:rsidP="006A3954">
      <w:pPr>
        <w:pStyle w:val="ListParagraph"/>
        <w:numPr>
          <w:ilvl w:val="0"/>
          <w:numId w:val="11"/>
        </w:numPr>
        <w:jc w:val="both"/>
        <w:rPr>
          <w:rFonts w:ascii="Arial" w:hAnsi="Arial" w:cs="Arial"/>
          <w:sz w:val="24"/>
          <w:szCs w:val="24"/>
        </w:rPr>
      </w:pPr>
      <w:r w:rsidRPr="00182EC7">
        <w:rPr>
          <w:rFonts w:ascii="Arial" w:hAnsi="Arial" w:cs="Arial"/>
          <w:sz w:val="24"/>
          <w:szCs w:val="24"/>
        </w:rPr>
        <w:t>Goodland Gardens</w:t>
      </w:r>
    </w:p>
    <w:p w14:paraId="48289D63" w14:textId="77777777" w:rsidR="00F1565E" w:rsidRPr="00182EC7" w:rsidRDefault="00A80BF2" w:rsidP="006A3954">
      <w:pPr>
        <w:pStyle w:val="ListParagraph"/>
        <w:numPr>
          <w:ilvl w:val="0"/>
          <w:numId w:val="11"/>
        </w:numPr>
        <w:jc w:val="both"/>
        <w:rPr>
          <w:rFonts w:ascii="Arial" w:hAnsi="Arial" w:cs="Arial"/>
          <w:sz w:val="24"/>
          <w:szCs w:val="24"/>
        </w:rPr>
      </w:pPr>
      <w:r w:rsidRPr="00182EC7">
        <w:rPr>
          <w:rFonts w:ascii="Arial" w:hAnsi="Arial" w:cs="Arial"/>
          <w:sz w:val="24"/>
          <w:szCs w:val="24"/>
        </w:rPr>
        <w:t>Fore Street and High Street</w:t>
      </w:r>
    </w:p>
    <w:p w14:paraId="4CEE8A96" w14:textId="448D1D19" w:rsidR="00284C3F" w:rsidRPr="00182EC7" w:rsidRDefault="00A80BF2" w:rsidP="006A3954">
      <w:pPr>
        <w:jc w:val="both"/>
        <w:rPr>
          <w:rFonts w:ascii="Arial" w:hAnsi="Arial" w:cs="Arial"/>
          <w:sz w:val="24"/>
          <w:szCs w:val="24"/>
        </w:rPr>
      </w:pPr>
      <w:r w:rsidRPr="00182EC7">
        <w:rPr>
          <w:rFonts w:ascii="Arial" w:hAnsi="Arial" w:cs="Arial"/>
          <w:sz w:val="24"/>
          <w:szCs w:val="24"/>
        </w:rPr>
        <w:t>A premises licence is in place for up to 5,000 attendees across designated areas.</w:t>
      </w:r>
    </w:p>
    <w:p w14:paraId="76476937" w14:textId="77777777" w:rsidR="00284C3F" w:rsidRPr="00182EC7" w:rsidRDefault="00A80BF2" w:rsidP="006A3954">
      <w:pPr>
        <w:pStyle w:val="Heading1"/>
        <w:jc w:val="both"/>
        <w:rPr>
          <w:rFonts w:ascii="Arial" w:hAnsi="Arial" w:cs="Arial"/>
          <w:color w:val="auto"/>
          <w:sz w:val="24"/>
          <w:szCs w:val="24"/>
        </w:rPr>
      </w:pPr>
      <w:bookmarkStart w:id="1" w:name="_Toc201258668"/>
      <w:r w:rsidRPr="00182EC7">
        <w:rPr>
          <w:rFonts w:ascii="Arial" w:hAnsi="Arial" w:cs="Arial"/>
          <w:color w:val="auto"/>
          <w:sz w:val="24"/>
          <w:szCs w:val="24"/>
        </w:rPr>
        <w:t>2. Contract Duration and Value</w:t>
      </w:r>
      <w:bookmarkEnd w:id="1"/>
    </w:p>
    <w:p w14:paraId="4525070E" w14:textId="77777777" w:rsidR="0040749D" w:rsidRPr="00EF600D" w:rsidRDefault="005A23DC" w:rsidP="0040749D">
      <w:pPr>
        <w:rPr>
          <w:rFonts w:ascii="Arial" w:hAnsi="Arial" w:cs="Arial"/>
          <w:sz w:val="24"/>
          <w:szCs w:val="24"/>
        </w:rPr>
      </w:pPr>
      <w:r w:rsidRPr="00182EC7">
        <w:rPr>
          <w:rFonts w:ascii="Arial" w:hAnsi="Arial" w:cs="Arial"/>
          <w:sz w:val="24"/>
          <w:szCs w:val="24"/>
        </w:rPr>
        <w:br/>
      </w:r>
      <w:r w:rsidR="00A80BF2" w:rsidRPr="00182EC7">
        <w:rPr>
          <w:rFonts w:ascii="Arial" w:hAnsi="Arial" w:cs="Arial"/>
          <w:b/>
          <w:bCs/>
          <w:sz w:val="24"/>
          <w:szCs w:val="24"/>
        </w:rPr>
        <w:t>Term: 4 years (2026–2030)</w:t>
      </w:r>
      <w:r w:rsidR="00A80BF2" w:rsidRPr="00182EC7">
        <w:rPr>
          <w:rFonts w:ascii="Arial" w:hAnsi="Arial" w:cs="Arial"/>
          <w:b/>
          <w:bCs/>
          <w:sz w:val="24"/>
          <w:szCs w:val="24"/>
        </w:rPr>
        <w:br/>
      </w:r>
      <w:r w:rsidR="0040749D" w:rsidRPr="00EF600D">
        <w:rPr>
          <w:rFonts w:ascii="Arial" w:hAnsi="Arial" w:cs="Arial"/>
          <w:sz w:val="24"/>
          <w:szCs w:val="24"/>
        </w:rPr>
        <w:t>Total Contract Value over four years:  £120,000</w:t>
      </w:r>
    </w:p>
    <w:p w14:paraId="21F952B1" w14:textId="62115829" w:rsidR="00CA2E9F" w:rsidRDefault="00CA2E9F" w:rsidP="00182EC7">
      <w:pPr>
        <w:rPr>
          <w:rFonts w:ascii="Arial" w:hAnsi="Arial" w:cs="Arial"/>
          <w:sz w:val="24"/>
          <w:szCs w:val="24"/>
        </w:rPr>
      </w:pPr>
      <w:proofErr w:type="gramStart"/>
      <w:r>
        <w:rPr>
          <w:rFonts w:ascii="Arial" w:hAnsi="Arial" w:cs="Arial"/>
          <w:sz w:val="24"/>
          <w:szCs w:val="24"/>
        </w:rPr>
        <w:t xml:space="preserve">This </w:t>
      </w:r>
      <w:r w:rsidR="00F815D8">
        <w:rPr>
          <w:rFonts w:ascii="Arial" w:hAnsi="Arial" w:cs="Arial"/>
          <w:sz w:val="24"/>
          <w:szCs w:val="24"/>
        </w:rPr>
        <w:t>financial grant,</w:t>
      </w:r>
      <w:proofErr w:type="gramEnd"/>
      <w:r w:rsidR="00F815D8">
        <w:rPr>
          <w:rFonts w:ascii="Arial" w:hAnsi="Arial" w:cs="Arial"/>
          <w:sz w:val="24"/>
          <w:szCs w:val="24"/>
        </w:rPr>
        <w:t xml:space="preserve"> will be paid within a single financial year and will be broken down into </w:t>
      </w:r>
      <w:r w:rsidR="00CE1489">
        <w:rPr>
          <w:rFonts w:ascii="Arial" w:hAnsi="Arial" w:cs="Arial"/>
          <w:sz w:val="24"/>
          <w:szCs w:val="24"/>
        </w:rPr>
        <w:t xml:space="preserve">split payments to aid the planning of such a </w:t>
      </w:r>
      <w:r w:rsidR="00C00A0C">
        <w:rPr>
          <w:rFonts w:ascii="Arial" w:hAnsi="Arial" w:cs="Arial"/>
          <w:sz w:val="24"/>
          <w:szCs w:val="24"/>
        </w:rPr>
        <w:t>large-scale</w:t>
      </w:r>
      <w:r w:rsidR="00CE1489">
        <w:rPr>
          <w:rFonts w:ascii="Arial" w:hAnsi="Arial" w:cs="Arial"/>
          <w:sz w:val="24"/>
          <w:szCs w:val="24"/>
        </w:rPr>
        <w:t xml:space="preserve"> event. </w:t>
      </w:r>
    </w:p>
    <w:p w14:paraId="00254898" w14:textId="7E7C0762" w:rsidR="00CE1489" w:rsidRPr="00C00A0C" w:rsidRDefault="002735DB" w:rsidP="00C00A0C">
      <w:pPr>
        <w:pStyle w:val="ListParagraph"/>
        <w:numPr>
          <w:ilvl w:val="0"/>
          <w:numId w:val="31"/>
        </w:numPr>
        <w:rPr>
          <w:rFonts w:ascii="Arial" w:hAnsi="Arial" w:cs="Arial"/>
          <w:sz w:val="24"/>
          <w:szCs w:val="24"/>
        </w:rPr>
      </w:pPr>
      <w:r w:rsidRPr="00C00A0C">
        <w:rPr>
          <w:rFonts w:ascii="Arial" w:hAnsi="Arial" w:cs="Arial"/>
          <w:sz w:val="24"/>
          <w:szCs w:val="24"/>
        </w:rPr>
        <w:t xml:space="preserve">First </w:t>
      </w:r>
      <w:r w:rsidR="003938B3" w:rsidRPr="00C00A0C">
        <w:rPr>
          <w:rFonts w:ascii="Arial" w:hAnsi="Arial" w:cs="Arial"/>
          <w:sz w:val="24"/>
          <w:szCs w:val="24"/>
        </w:rPr>
        <w:t>P</w:t>
      </w:r>
      <w:r w:rsidRPr="00C00A0C">
        <w:rPr>
          <w:rFonts w:ascii="Arial" w:hAnsi="Arial" w:cs="Arial"/>
          <w:sz w:val="24"/>
          <w:szCs w:val="24"/>
        </w:rPr>
        <w:t xml:space="preserve">ayment from April </w:t>
      </w:r>
      <w:r w:rsidR="003938B3" w:rsidRPr="00C00A0C">
        <w:rPr>
          <w:rFonts w:ascii="Arial" w:hAnsi="Arial" w:cs="Arial"/>
          <w:sz w:val="24"/>
          <w:szCs w:val="24"/>
        </w:rPr>
        <w:t>–</w:t>
      </w:r>
      <w:r w:rsidRPr="00C00A0C">
        <w:rPr>
          <w:rFonts w:ascii="Arial" w:hAnsi="Arial" w:cs="Arial"/>
          <w:sz w:val="24"/>
          <w:szCs w:val="24"/>
        </w:rPr>
        <w:t xml:space="preserve"> </w:t>
      </w:r>
      <w:r w:rsidR="003938B3" w:rsidRPr="00C00A0C">
        <w:rPr>
          <w:rFonts w:ascii="Arial" w:hAnsi="Arial" w:cs="Arial"/>
          <w:sz w:val="24"/>
          <w:szCs w:val="24"/>
        </w:rPr>
        <w:t>July</w:t>
      </w:r>
      <w:r w:rsidR="00A21509" w:rsidRPr="00C00A0C">
        <w:rPr>
          <w:rFonts w:ascii="Arial" w:hAnsi="Arial" w:cs="Arial"/>
          <w:sz w:val="24"/>
          <w:szCs w:val="24"/>
        </w:rPr>
        <w:t xml:space="preserve"> (£15,000)</w:t>
      </w:r>
    </w:p>
    <w:p w14:paraId="19EDE0CA" w14:textId="4720A742" w:rsidR="003938B3" w:rsidRPr="00C00A0C" w:rsidRDefault="003938B3" w:rsidP="00C00A0C">
      <w:pPr>
        <w:pStyle w:val="ListParagraph"/>
        <w:numPr>
          <w:ilvl w:val="0"/>
          <w:numId w:val="31"/>
        </w:numPr>
        <w:rPr>
          <w:rFonts w:ascii="Arial" w:hAnsi="Arial" w:cs="Arial"/>
          <w:sz w:val="24"/>
          <w:szCs w:val="24"/>
        </w:rPr>
      </w:pPr>
      <w:r w:rsidRPr="00C00A0C">
        <w:rPr>
          <w:rFonts w:ascii="Arial" w:hAnsi="Arial" w:cs="Arial"/>
          <w:sz w:val="24"/>
          <w:szCs w:val="24"/>
        </w:rPr>
        <w:t>Second Payment</w:t>
      </w:r>
      <w:r w:rsidR="00BE0D7C" w:rsidRPr="00C00A0C">
        <w:rPr>
          <w:rFonts w:ascii="Arial" w:hAnsi="Arial" w:cs="Arial"/>
          <w:sz w:val="24"/>
          <w:szCs w:val="24"/>
        </w:rPr>
        <w:t xml:space="preserve"> from August – November</w:t>
      </w:r>
      <w:r w:rsidR="00A21509" w:rsidRPr="00C00A0C">
        <w:rPr>
          <w:rFonts w:ascii="Arial" w:hAnsi="Arial" w:cs="Arial"/>
          <w:sz w:val="24"/>
          <w:szCs w:val="24"/>
        </w:rPr>
        <w:t xml:space="preserve"> (</w:t>
      </w:r>
      <w:r w:rsidR="00141965" w:rsidRPr="00C00A0C">
        <w:rPr>
          <w:rFonts w:ascii="Arial" w:hAnsi="Arial" w:cs="Arial"/>
          <w:sz w:val="24"/>
          <w:szCs w:val="24"/>
        </w:rPr>
        <w:t>£</w:t>
      </w:r>
      <w:r w:rsidR="00C00A0C" w:rsidRPr="00C00A0C">
        <w:rPr>
          <w:rFonts w:ascii="Arial" w:hAnsi="Arial" w:cs="Arial"/>
          <w:sz w:val="24"/>
          <w:szCs w:val="24"/>
        </w:rPr>
        <w:t>10</w:t>
      </w:r>
      <w:r w:rsidR="00141965" w:rsidRPr="00C00A0C">
        <w:rPr>
          <w:rFonts w:ascii="Arial" w:hAnsi="Arial" w:cs="Arial"/>
          <w:sz w:val="24"/>
          <w:szCs w:val="24"/>
        </w:rPr>
        <w:t>,000)</w:t>
      </w:r>
    </w:p>
    <w:p w14:paraId="404015D4" w14:textId="6F4703C8" w:rsidR="00BE0D7C" w:rsidRDefault="00BE0D7C" w:rsidP="00C00A0C">
      <w:pPr>
        <w:pStyle w:val="ListParagraph"/>
        <w:numPr>
          <w:ilvl w:val="0"/>
          <w:numId w:val="31"/>
        </w:numPr>
        <w:rPr>
          <w:rFonts w:ascii="Arial" w:hAnsi="Arial" w:cs="Arial"/>
          <w:sz w:val="24"/>
          <w:szCs w:val="24"/>
        </w:rPr>
      </w:pPr>
      <w:r w:rsidRPr="00C00A0C">
        <w:rPr>
          <w:rFonts w:ascii="Arial" w:hAnsi="Arial" w:cs="Arial"/>
          <w:sz w:val="24"/>
          <w:szCs w:val="24"/>
        </w:rPr>
        <w:t xml:space="preserve">Third Payment from – December </w:t>
      </w:r>
      <w:r w:rsidR="00A21509" w:rsidRPr="00C00A0C">
        <w:rPr>
          <w:rFonts w:ascii="Arial" w:hAnsi="Arial" w:cs="Arial"/>
          <w:sz w:val="24"/>
          <w:szCs w:val="24"/>
        </w:rPr>
        <w:t>–</w:t>
      </w:r>
      <w:r w:rsidRPr="00C00A0C">
        <w:rPr>
          <w:rFonts w:ascii="Arial" w:hAnsi="Arial" w:cs="Arial"/>
          <w:sz w:val="24"/>
          <w:szCs w:val="24"/>
        </w:rPr>
        <w:t xml:space="preserve"> </w:t>
      </w:r>
      <w:r w:rsidR="00A21509" w:rsidRPr="00C00A0C">
        <w:rPr>
          <w:rFonts w:ascii="Arial" w:hAnsi="Arial" w:cs="Arial"/>
          <w:sz w:val="24"/>
          <w:szCs w:val="24"/>
        </w:rPr>
        <w:t xml:space="preserve">March. </w:t>
      </w:r>
      <w:r w:rsidR="00141965" w:rsidRPr="00C00A0C">
        <w:rPr>
          <w:rFonts w:ascii="Arial" w:hAnsi="Arial" w:cs="Arial"/>
          <w:sz w:val="24"/>
          <w:szCs w:val="24"/>
        </w:rPr>
        <w:t>(£</w:t>
      </w:r>
      <w:r w:rsidR="00C00A0C" w:rsidRPr="00C00A0C">
        <w:rPr>
          <w:rFonts w:ascii="Arial" w:hAnsi="Arial" w:cs="Arial"/>
          <w:sz w:val="24"/>
          <w:szCs w:val="24"/>
        </w:rPr>
        <w:t>5</w:t>
      </w:r>
      <w:r w:rsidR="00141965" w:rsidRPr="00C00A0C">
        <w:rPr>
          <w:rFonts w:ascii="Arial" w:hAnsi="Arial" w:cs="Arial"/>
          <w:sz w:val="24"/>
          <w:szCs w:val="24"/>
        </w:rPr>
        <w:t>,000)</w:t>
      </w:r>
    </w:p>
    <w:p w14:paraId="32CAF701" w14:textId="77777777" w:rsidR="0040749D" w:rsidRPr="0040749D" w:rsidRDefault="0040749D" w:rsidP="0040749D">
      <w:pPr>
        <w:rPr>
          <w:rFonts w:ascii="Arial" w:hAnsi="Arial" w:cs="Arial"/>
          <w:sz w:val="24"/>
          <w:szCs w:val="24"/>
        </w:rPr>
      </w:pPr>
      <w:r w:rsidRPr="0040749D">
        <w:rPr>
          <w:rFonts w:ascii="Arial" w:hAnsi="Arial" w:cs="Arial"/>
          <w:sz w:val="24"/>
          <w:szCs w:val="24"/>
        </w:rPr>
        <w:t>Annual Budget: £30,000 (inclusive of VAT and all delivery costs)</w:t>
      </w:r>
    </w:p>
    <w:p w14:paraId="2C9C632F" w14:textId="212EDEB7" w:rsidR="00284C3F" w:rsidRPr="00182EC7" w:rsidRDefault="00A80BF2" w:rsidP="00182EC7">
      <w:pPr>
        <w:rPr>
          <w:rFonts w:ascii="Arial" w:hAnsi="Arial" w:cs="Arial"/>
          <w:sz w:val="24"/>
          <w:szCs w:val="24"/>
        </w:rPr>
      </w:pPr>
      <w:r w:rsidRPr="00182EC7">
        <w:rPr>
          <w:rFonts w:ascii="Arial" w:hAnsi="Arial" w:cs="Arial"/>
          <w:sz w:val="24"/>
          <w:szCs w:val="24"/>
        </w:rPr>
        <w:t xml:space="preserve">Additional Funding: The </w:t>
      </w:r>
      <w:r w:rsidR="00C50619">
        <w:rPr>
          <w:rFonts w:ascii="Arial" w:hAnsi="Arial" w:cs="Arial"/>
          <w:sz w:val="24"/>
          <w:szCs w:val="24"/>
        </w:rPr>
        <w:t xml:space="preserve">successful </w:t>
      </w:r>
      <w:r w:rsidRPr="00182EC7">
        <w:rPr>
          <w:rFonts w:ascii="Arial" w:hAnsi="Arial" w:cs="Arial"/>
          <w:sz w:val="24"/>
          <w:szCs w:val="24"/>
        </w:rPr>
        <w:t>provider will be eligible</w:t>
      </w:r>
      <w:r w:rsidR="00C50619">
        <w:rPr>
          <w:rFonts w:ascii="Arial" w:hAnsi="Arial" w:cs="Arial"/>
          <w:sz w:val="24"/>
          <w:szCs w:val="24"/>
        </w:rPr>
        <w:t xml:space="preserve">, supported </w:t>
      </w:r>
      <w:r w:rsidRPr="00182EC7">
        <w:rPr>
          <w:rFonts w:ascii="Arial" w:hAnsi="Arial" w:cs="Arial"/>
          <w:sz w:val="24"/>
          <w:szCs w:val="24"/>
        </w:rPr>
        <w:t>and encouraged to apply for match funding (e.g. Arts Council, National Lottery, sponsorships) to enhance the event’s scale and impact.</w:t>
      </w:r>
    </w:p>
    <w:p w14:paraId="0695D3D3" w14:textId="77777777" w:rsidR="00284C3F" w:rsidRPr="00182EC7" w:rsidRDefault="00A80BF2" w:rsidP="006A3954">
      <w:pPr>
        <w:pStyle w:val="Heading1"/>
        <w:jc w:val="both"/>
        <w:rPr>
          <w:rFonts w:ascii="Arial" w:hAnsi="Arial" w:cs="Arial"/>
          <w:color w:val="auto"/>
          <w:sz w:val="24"/>
          <w:szCs w:val="24"/>
        </w:rPr>
      </w:pPr>
      <w:bookmarkStart w:id="2" w:name="_Toc201258669"/>
      <w:r w:rsidRPr="00182EC7">
        <w:rPr>
          <w:rFonts w:ascii="Arial" w:hAnsi="Arial" w:cs="Arial"/>
          <w:color w:val="auto"/>
          <w:sz w:val="24"/>
          <w:szCs w:val="24"/>
        </w:rPr>
        <w:t>3. Key Deliverables</w:t>
      </w:r>
      <w:bookmarkEnd w:id="2"/>
    </w:p>
    <w:p w14:paraId="3CEBFFA6" w14:textId="77777777" w:rsidR="00284C3F" w:rsidRPr="00182EC7" w:rsidRDefault="00A80BF2" w:rsidP="006A3954">
      <w:pPr>
        <w:pStyle w:val="Heading2"/>
        <w:jc w:val="both"/>
        <w:rPr>
          <w:rFonts w:ascii="Arial" w:hAnsi="Arial" w:cs="Arial"/>
          <w:color w:val="auto"/>
          <w:sz w:val="24"/>
          <w:szCs w:val="24"/>
        </w:rPr>
      </w:pPr>
      <w:bookmarkStart w:id="3" w:name="_Toc201258670"/>
      <w:r w:rsidRPr="00182EC7">
        <w:rPr>
          <w:rFonts w:ascii="Arial" w:hAnsi="Arial" w:cs="Arial"/>
          <w:color w:val="auto"/>
          <w:sz w:val="24"/>
          <w:szCs w:val="24"/>
        </w:rPr>
        <w:t>a. Event Management</w:t>
      </w:r>
      <w:bookmarkEnd w:id="3"/>
    </w:p>
    <w:p w14:paraId="44BB4D69" w14:textId="5258E8CE" w:rsidR="00284C3F" w:rsidRPr="00182EC7" w:rsidRDefault="00005058" w:rsidP="006A3954">
      <w:pPr>
        <w:rPr>
          <w:rFonts w:ascii="Arial" w:hAnsi="Arial" w:cs="Arial"/>
          <w:sz w:val="24"/>
          <w:szCs w:val="24"/>
        </w:rPr>
      </w:pPr>
      <w:r w:rsidRPr="00182EC7">
        <w:rPr>
          <w:rFonts w:ascii="Arial" w:hAnsi="Arial" w:cs="Arial"/>
          <w:sz w:val="24"/>
          <w:szCs w:val="24"/>
        </w:rPr>
        <w:br/>
      </w:r>
      <w:r w:rsidR="00A80BF2" w:rsidRPr="00182EC7">
        <w:rPr>
          <w:rFonts w:ascii="Arial" w:hAnsi="Arial" w:cs="Arial"/>
          <w:sz w:val="24"/>
          <w:szCs w:val="24"/>
        </w:rPr>
        <w:t>Develop and deliver a comprehensive event plan each year, including timelines, risk assessments</w:t>
      </w:r>
      <w:r w:rsidR="00A4787F">
        <w:rPr>
          <w:rFonts w:ascii="Arial" w:hAnsi="Arial" w:cs="Arial"/>
          <w:sz w:val="24"/>
          <w:szCs w:val="24"/>
        </w:rPr>
        <w:t xml:space="preserve"> based on the purple guide standards</w:t>
      </w:r>
      <w:r w:rsidR="00A80BF2" w:rsidRPr="00182EC7">
        <w:rPr>
          <w:rFonts w:ascii="Arial" w:hAnsi="Arial" w:cs="Arial"/>
          <w:sz w:val="24"/>
          <w:szCs w:val="24"/>
        </w:rPr>
        <w:t>, and contingency planning</w:t>
      </w:r>
      <w:r w:rsidR="00BD23D6">
        <w:rPr>
          <w:rFonts w:ascii="Arial" w:hAnsi="Arial" w:cs="Arial"/>
          <w:sz w:val="24"/>
          <w:szCs w:val="24"/>
        </w:rPr>
        <w:t>.</w:t>
      </w:r>
      <w:r w:rsidR="00A80BF2" w:rsidRPr="00182EC7">
        <w:rPr>
          <w:rFonts w:ascii="Arial" w:hAnsi="Arial" w:cs="Arial"/>
          <w:sz w:val="24"/>
          <w:szCs w:val="24"/>
        </w:rPr>
        <w:br/>
      </w:r>
      <w:r w:rsidRPr="00182EC7">
        <w:rPr>
          <w:rFonts w:ascii="Arial" w:hAnsi="Arial" w:cs="Arial"/>
          <w:sz w:val="24"/>
          <w:szCs w:val="24"/>
        </w:rPr>
        <w:br/>
      </w:r>
      <w:r w:rsidR="00A80BF2" w:rsidRPr="00182EC7">
        <w:rPr>
          <w:rFonts w:ascii="Arial" w:hAnsi="Arial" w:cs="Arial"/>
          <w:sz w:val="24"/>
          <w:szCs w:val="24"/>
        </w:rPr>
        <w:t>Secure and manage all necessary permits, licences, and insurances.</w:t>
      </w:r>
      <w:r w:rsidR="00BF5F92">
        <w:rPr>
          <w:rFonts w:ascii="Arial" w:hAnsi="Arial" w:cs="Arial"/>
          <w:sz w:val="24"/>
          <w:szCs w:val="24"/>
        </w:rPr>
        <w:t xml:space="preserve"> Please note, a premises licence has been obtained for this event</w:t>
      </w:r>
      <w:r w:rsidR="008F13A6">
        <w:rPr>
          <w:rFonts w:ascii="Arial" w:hAnsi="Arial" w:cs="Arial"/>
          <w:sz w:val="24"/>
          <w:szCs w:val="24"/>
        </w:rPr>
        <w:t xml:space="preserve"> for Goodland Gardens, Somerset Square and High Street. </w:t>
      </w:r>
      <w:r w:rsidR="00A80BF2" w:rsidRPr="00182EC7">
        <w:rPr>
          <w:rFonts w:ascii="Arial" w:hAnsi="Arial" w:cs="Arial"/>
          <w:sz w:val="24"/>
          <w:szCs w:val="24"/>
        </w:rPr>
        <w:br/>
      </w:r>
      <w:r w:rsidRPr="00182EC7">
        <w:rPr>
          <w:rFonts w:ascii="Arial" w:hAnsi="Arial" w:cs="Arial"/>
          <w:sz w:val="24"/>
          <w:szCs w:val="24"/>
        </w:rPr>
        <w:br/>
      </w:r>
      <w:r w:rsidR="00A80BF2" w:rsidRPr="00182EC7">
        <w:rPr>
          <w:rFonts w:ascii="Arial" w:hAnsi="Arial" w:cs="Arial"/>
          <w:sz w:val="24"/>
          <w:szCs w:val="24"/>
        </w:rPr>
        <w:t>Ensure compliance with the Event Management Plan, Traffic Management Plan, and Premises Licence conditions.</w:t>
      </w:r>
      <w:r w:rsidRPr="00182EC7">
        <w:rPr>
          <w:rFonts w:ascii="Arial" w:hAnsi="Arial" w:cs="Arial"/>
          <w:sz w:val="24"/>
          <w:szCs w:val="24"/>
        </w:rPr>
        <w:br/>
      </w:r>
      <w:r w:rsidR="00A80BF2" w:rsidRPr="00182EC7">
        <w:rPr>
          <w:rFonts w:ascii="Arial" w:hAnsi="Arial" w:cs="Arial"/>
          <w:sz w:val="24"/>
          <w:szCs w:val="24"/>
        </w:rPr>
        <w:br/>
      </w:r>
      <w:r w:rsidR="00A80BF2" w:rsidRPr="00182EC7">
        <w:rPr>
          <w:rFonts w:ascii="Arial" w:hAnsi="Arial" w:cs="Arial"/>
          <w:sz w:val="24"/>
          <w:szCs w:val="24"/>
        </w:rPr>
        <w:lastRenderedPageBreak/>
        <w:t>Coordinate site infrastructure, including staging, power, waste, signage</w:t>
      </w:r>
      <w:r w:rsidR="00E03AA7">
        <w:rPr>
          <w:rFonts w:ascii="Arial" w:hAnsi="Arial" w:cs="Arial"/>
          <w:sz w:val="24"/>
          <w:szCs w:val="24"/>
        </w:rPr>
        <w:t xml:space="preserve"> (including way finding signage)</w:t>
      </w:r>
      <w:r w:rsidR="00A80BF2" w:rsidRPr="00182EC7">
        <w:rPr>
          <w:rFonts w:ascii="Arial" w:hAnsi="Arial" w:cs="Arial"/>
          <w:sz w:val="24"/>
          <w:szCs w:val="24"/>
        </w:rPr>
        <w:t>, and accessibility features.</w:t>
      </w:r>
    </w:p>
    <w:p w14:paraId="60958145" w14:textId="77777777" w:rsidR="00284C3F" w:rsidRPr="00182EC7" w:rsidRDefault="00A80BF2" w:rsidP="006A3954">
      <w:pPr>
        <w:pStyle w:val="Heading2"/>
        <w:jc w:val="both"/>
        <w:rPr>
          <w:rFonts w:ascii="Arial" w:hAnsi="Arial" w:cs="Arial"/>
          <w:color w:val="auto"/>
          <w:sz w:val="24"/>
          <w:szCs w:val="24"/>
        </w:rPr>
      </w:pPr>
      <w:bookmarkStart w:id="4" w:name="_Toc201258671"/>
      <w:r w:rsidRPr="00182EC7">
        <w:rPr>
          <w:rFonts w:ascii="Arial" w:hAnsi="Arial" w:cs="Arial"/>
          <w:color w:val="auto"/>
          <w:sz w:val="24"/>
          <w:szCs w:val="24"/>
        </w:rPr>
        <w:t>b. Programming and Themes</w:t>
      </w:r>
      <w:bookmarkEnd w:id="4"/>
    </w:p>
    <w:p w14:paraId="1C2E45A8" w14:textId="1C002776" w:rsidR="00005058" w:rsidRPr="00182EC7" w:rsidRDefault="00005058" w:rsidP="006A3954">
      <w:pPr>
        <w:rPr>
          <w:rFonts w:ascii="Arial" w:hAnsi="Arial" w:cs="Arial"/>
          <w:sz w:val="24"/>
          <w:szCs w:val="24"/>
        </w:rPr>
      </w:pPr>
      <w:r w:rsidRPr="00182EC7">
        <w:rPr>
          <w:rFonts w:ascii="Arial" w:hAnsi="Arial" w:cs="Arial"/>
          <w:sz w:val="24"/>
          <w:szCs w:val="24"/>
        </w:rPr>
        <w:br/>
      </w:r>
      <w:r w:rsidR="00A80BF2" w:rsidRPr="00182EC7">
        <w:rPr>
          <w:rFonts w:ascii="Arial" w:hAnsi="Arial" w:cs="Arial"/>
          <w:sz w:val="24"/>
          <w:szCs w:val="24"/>
        </w:rPr>
        <w:t>Curate a thematic programme each year, aligned with community values and agreed with the Town Council.</w:t>
      </w:r>
      <w:r w:rsidR="00A80BF2" w:rsidRPr="00182EC7">
        <w:rPr>
          <w:rFonts w:ascii="Arial" w:hAnsi="Arial" w:cs="Arial"/>
          <w:sz w:val="24"/>
          <w:szCs w:val="24"/>
        </w:rPr>
        <w:br/>
      </w:r>
      <w:r w:rsidRPr="00182EC7">
        <w:rPr>
          <w:rFonts w:ascii="Arial" w:hAnsi="Arial" w:cs="Arial"/>
          <w:sz w:val="24"/>
          <w:szCs w:val="24"/>
        </w:rPr>
        <w:br/>
      </w:r>
      <w:r w:rsidR="00A80BF2" w:rsidRPr="00182EC7">
        <w:rPr>
          <w:rFonts w:ascii="Arial" w:hAnsi="Arial" w:cs="Arial"/>
          <w:sz w:val="24"/>
          <w:szCs w:val="24"/>
        </w:rPr>
        <w:t>Programme to include:</w:t>
      </w:r>
    </w:p>
    <w:p w14:paraId="303ABAC0" w14:textId="36330417" w:rsidR="00F1565E" w:rsidRPr="00182EC7" w:rsidRDefault="00A80BF2" w:rsidP="006A3954">
      <w:pPr>
        <w:pStyle w:val="ListParagraph"/>
        <w:numPr>
          <w:ilvl w:val="0"/>
          <w:numId w:val="13"/>
        </w:numPr>
        <w:jc w:val="both"/>
        <w:rPr>
          <w:rFonts w:ascii="Arial" w:hAnsi="Arial" w:cs="Arial"/>
          <w:sz w:val="24"/>
          <w:szCs w:val="24"/>
        </w:rPr>
      </w:pPr>
      <w:r w:rsidRPr="00182EC7">
        <w:rPr>
          <w:rFonts w:ascii="Arial" w:hAnsi="Arial" w:cs="Arial"/>
          <w:sz w:val="24"/>
          <w:szCs w:val="24"/>
        </w:rPr>
        <w:t>Live music, dance, and spoken word</w:t>
      </w:r>
    </w:p>
    <w:p w14:paraId="4AFBD3C7" w14:textId="77777777" w:rsidR="00F1565E" w:rsidRPr="00182EC7" w:rsidRDefault="00A80BF2" w:rsidP="006A3954">
      <w:pPr>
        <w:pStyle w:val="ListParagraph"/>
        <w:numPr>
          <w:ilvl w:val="0"/>
          <w:numId w:val="13"/>
        </w:numPr>
        <w:jc w:val="both"/>
        <w:rPr>
          <w:rFonts w:ascii="Arial" w:hAnsi="Arial" w:cs="Arial"/>
          <w:sz w:val="24"/>
          <w:szCs w:val="24"/>
        </w:rPr>
      </w:pPr>
      <w:r w:rsidRPr="00182EC7">
        <w:rPr>
          <w:rFonts w:ascii="Arial" w:hAnsi="Arial" w:cs="Arial"/>
          <w:sz w:val="24"/>
          <w:szCs w:val="24"/>
        </w:rPr>
        <w:t>Cultural and heritage showcases</w:t>
      </w:r>
    </w:p>
    <w:p w14:paraId="62F108D0" w14:textId="77777777" w:rsidR="00F1565E" w:rsidRPr="00182EC7" w:rsidRDefault="00A80BF2" w:rsidP="006A3954">
      <w:pPr>
        <w:pStyle w:val="ListParagraph"/>
        <w:numPr>
          <w:ilvl w:val="0"/>
          <w:numId w:val="13"/>
        </w:numPr>
        <w:jc w:val="both"/>
        <w:rPr>
          <w:rFonts w:ascii="Arial" w:hAnsi="Arial" w:cs="Arial"/>
          <w:sz w:val="24"/>
          <w:szCs w:val="24"/>
        </w:rPr>
      </w:pPr>
      <w:r w:rsidRPr="00182EC7">
        <w:rPr>
          <w:rFonts w:ascii="Arial" w:hAnsi="Arial" w:cs="Arial"/>
          <w:sz w:val="24"/>
          <w:szCs w:val="24"/>
        </w:rPr>
        <w:t>Interactive workshops and family activities</w:t>
      </w:r>
    </w:p>
    <w:p w14:paraId="17CB18A0" w14:textId="77777777" w:rsidR="00F1565E" w:rsidRPr="00182EC7" w:rsidRDefault="00A80BF2" w:rsidP="006A3954">
      <w:pPr>
        <w:pStyle w:val="ListParagraph"/>
        <w:numPr>
          <w:ilvl w:val="0"/>
          <w:numId w:val="13"/>
        </w:numPr>
        <w:jc w:val="both"/>
        <w:rPr>
          <w:rFonts w:ascii="Arial" w:hAnsi="Arial" w:cs="Arial"/>
          <w:sz w:val="24"/>
          <w:szCs w:val="24"/>
        </w:rPr>
      </w:pPr>
      <w:r w:rsidRPr="00182EC7">
        <w:rPr>
          <w:rFonts w:ascii="Arial" w:hAnsi="Arial" w:cs="Arial"/>
          <w:sz w:val="24"/>
          <w:szCs w:val="24"/>
        </w:rPr>
        <w:t>Community and charity stalls</w:t>
      </w:r>
    </w:p>
    <w:p w14:paraId="1E2A0B21" w14:textId="77777777" w:rsidR="00F1565E" w:rsidRPr="00182EC7" w:rsidRDefault="00A80BF2" w:rsidP="006A3954">
      <w:pPr>
        <w:pStyle w:val="ListParagraph"/>
        <w:numPr>
          <w:ilvl w:val="0"/>
          <w:numId w:val="13"/>
        </w:numPr>
        <w:jc w:val="both"/>
        <w:rPr>
          <w:rFonts w:ascii="Arial" w:hAnsi="Arial" w:cs="Arial"/>
          <w:sz w:val="24"/>
          <w:szCs w:val="24"/>
        </w:rPr>
      </w:pPr>
      <w:r w:rsidRPr="00182EC7">
        <w:rPr>
          <w:rFonts w:ascii="Arial" w:hAnsi="Arial" w:cs="Arial"/>
          <w:sz w:val="24"/>
          <w:szCs w:val="24"/>
        </w:rPr>
        <w:t>Food and drink vendors</w:t>
      </w:r>
    </w:p>
    <w:p w14:paraId="628D22E2" w14:textId="60E069DB" w:rsidR="00284C3F" w:rsidRPr="00182EC7" w:rsidRDefault="00A80BF2" w:rsidP="006A3954">
      <w:pPr>
        <w:pStyle w:val="ListParagraph"/>
        <w:numPr>
          <w:ilvl w:val="0"/>
          <w:numId w:val="13"/>
        </w:numPr>
        <w:jc w:val="both"/>
        <w:rPr>
          <w:rFonts w:ascii="Arial" w:hAnsi="Arial" w:cs="Arial"/>
          <w:sz w:val="24"/>
          <w:szCs w:val="24"/>
        </w:rPr>
      </w:pPr>
      <w:r w:rsidRPr="00182EC7">
        <w:rPr>
          <w:rFonts w:ascii="Arial" w:hAnsi="Arial" w:cs="Arial"/>
          <w:sz w:val="24"/>
          <w:szCs w:val="24"/>
        </w:rPr>
        <w:t>Quiet and reflective spaces (e.g. Taunton Minster)</w:t>
      </w:r>
    </w:p>
    <w:p w14:paraId="5B802ABE" w14:textId="77777777" w:rsidR="00284C3F" w:rsidRPr="00182EC7" w:rsidRDefault="00A80BF2" w:rsidP="006A3954">
      <w:pPr>
        <w:pStyle w:val="Heading2"/>
        <w:jc w:val="both"/>
        <w:rPr>
          <w:rFonts w:ascii="Arial" w:hAnsi="Arial" w:cs="Arial"/>
          <w:color w:val="auto"/>
          <w:sz w:val="24"/>
          <w:szCs w:val="24"/>
        </w:rPr>
      </w:pPr>
      <w:bookmarkStart w:id="5" w:name="_Toc201258672"/>
      <w:r w:rsidRPr="00182EC7">
        <w:rPr>
          <w:rFonts w:ascii="Arial" w:hAnsi="Arial" w:cs="Arial"/>
          <w:color w:val="auto"/>
          <w:sz w:val="24"/>
          <w:szCs w:val="24"/>
        </w:rPr>
        <w:t>c. Stakeholder Engagement</w:t>
      </w:r>
      <w:bookmarkEnd w:id="5"/>
    </w:p>
    <w:p w14:paraId="27E1C1AB" w14:textId="50A99DF8" w:rsidR="00F1565E" w:rsidRPr="00182EC7" w:rsidRDefault="00B95252" w:rsidP="006A3954">
      <w:pPr>
        <w:jc w:val="both"/>
        <w:rPr>
          <w:rFonts w:ascii="Arial" w:hAnsi="Arial" w:cs="Arial"/>
          <w:sz w:val="24"/>
          <w:szCs w:val="24"/>
        </w:rPr>
      </w:pPr>
      <w:r w:rsidRPr="00182EC7">
        <w:rPr>
          <w:rFonts w:ascii="Arial" w:hAnsi="Arial" w:cs="Arial"/>
          <w:sz w:val="24"/>
          <w:szCs w:val="24"/>
        </w:rPr>
        <w:br/>
      </w:r>
      <w:r w:rsidR="00F1565E" w:rsidRPr="00182EC7">
        <w:rPr>
          <w:rFonts w:ascii="Arial" w:hAnsi="Arial" w:cs="Arial"/>
          <w:sz w:val="24"/>
          <w:szCs w:val="24"/>
        </w:rPr>
        <w:t>For the success of any community-focused event, working with stakeholders and partners is essential. By fostering meaningful collaborations, the event can reflect the diverse needs and aspirations of the local population. These partnerships create opportunities to amplify voices that might otherwise be overlooked, enriching the event’s programming and ensuring inclusivity.</w:t>
      </w:r>
    </w:p>
    <w:p w14:paraId="6D58B41A" w14:textId="7EDE0E91" w:rsidR="00F1565E" w:rsidRDefault="00F1565E" w:rsidP="006A3954">
      <w:pPr>
        <w:jc w:val="both"/>
        <w:rPr>
          <w:rFonts w:ascii="Arial" w:hAnsi="Arial" w:cs="Arial"/>
          <w:sz w:val="24"/>
          <w:szCs w:val="24"/>
        </w:rPr>
      </w:pPr>
      <w:r w:rsidRPr="00182EC7">
        <w:rPr>
          <w:rFonts w:ascii="Arial" w:hAnsi="Arial" w:cs="Arial"/>
          <w:sz w:val="24"/>
          <w:szCs w:val="24"/>
        </w:rPr>
        <w:t>Engaging stakeholders not only brings a wealth of expertise and resources to the table but also builds trust and a sense of ownership within the community. This cooperation supports the alignment of goals, enhances the quality of delivery, and ensures the event resonates deeply with its audience. Furthermore, a robust stakeholder network can pave the way for innovative ideas and sustainable practices, forming the foundation for a truly impactful and memorable experience.</w:t>
      </w:r>
    </w:p>
    <w:p w14:paraId="05BBBF43" w14:textId="77777777" w:rsidR="00A80851" w:rsidRPr="007066DD" w:rsidRDefault="00A80851" w:rsidP="007066DD">
      <w:pPr>
        <w:jc w:val="both"/>
        <w:rPr>
          <w:rFonts w:ascii="Arial" w:hAnsi="Arial" w:cs="Arial"/>
          <w:sz w:val="24"/>
          <w:szCs w:val="24"/>
        </w:rPr>
      </w:pPr>
      <w:r w:rsidRPr="007066DD">
        <w:rPr>
          <w:rFonts w:ascii="Arial" w:hAnsi="Arial" w:cs="Arial"/>
          <w:sz w:val="24"/>
          <w:szCs w:val="24"/>
        </w:rPr>
        <w:t>Taunton stands as a thriving hub of cultural richness, with offerings that capture the essence of its vibrant community. Among the town’s top attractions are:</w:t>
      </w:r>
    </w:p>
    <w:p w14:paraId="0915622F" w14:textId="137DC1AA" w:rsidR="00A80851" w:rsidRPr="0097618A" w:rsidRDefault="00A80851" w:rsidP="0097618A">
      <w:pPr>
        <w:pStyle w:val="ListParagraph"/>
        <w:numPr>
          <w:ilvl w:val="0"/>
          <w:numId w:val="30"/>
        </w:numPr>
        <w:jc w:val="both"/>
        <w:rPr>
          <w:rFonts w:ascii="Arial" w:hAnsi="Arial" w:cs="Arial"/>
          <w:sz w:val="24"/>
          <w:szCs w:val="24"/>
        </w:rPr>
      </w:pPr>
      <w:r w:rsidRPr="0097618A">
        <w:rPr>
          <w:rFonts w:ascii="Arial" w:hAnsi="Arial" w:cs="Arial"/>
          <w:sz w:val="24"/>
          <w:szCs w:val="24"/>
        </w:rPr>
        <w:t>The Brewhouse Theatre and Arts Centre</w:t>
      </w:r>
      <w:r w:rsidR="00092017" w:rsidRPr="0097618A">
        <w:rPr>
          <w:rFonts w:ascii="Arial" w:hAnsi="Arial" w:cs="Arial"/>
          <w:sz w:val="24"/>
          <w:szCs w:val="24"/>
        </w:rPr>
        <w:t>.</w:t>
      </w:r>
      <w:r w:rsidRPr="0097618A">
        <w:rPr>
          <w:rFonts w:ascii="Arial" w:hAnsi="Arial" w:cs="Arial"/>
          <w:sz w:val="24"/>
          <w:szCs w:val="24"/>
        </w:rPr>
        <w:t xml:space="preserve"> A cornerstone of Taunton’s cultural landscape, this venue hosts an array of performances, from live theatre and music to film screenings and art exhibitions, fostering creativity and community spirit.</w:t>
      </w:r>
    </w:p>
    <w:p w14:paraId="3F93A688" w14:textId="4A1552C1" w:rsidR="00A80851" w:rsidRPr="0097618A" w:rsidRDefault="00A80851" w:rsidP="0097618A">
      <w:pPr>
        <w:pStyle w:val="ListParagraph"/>
        <w:numPr>
          <w:ilvl w:val="0"/>
          <w:numId w:val="30"/>
        </w:numPr>
        <w:jc w:val="both"/>
        <w:rPr>
          <w:rFonts w:ascii="Arial" w:hAnsi="Arial" w:cs="Arial"/>
          <w:sz w:val="24"/>
          <w:szCs w:val="24"/>
        </w:rPr>
      </w:pPr>
      <w:r w:rsidRPr="0097618A">
        <w:rPr>
          <w:rFonts w:ascii="Arial" w:hAnsi="Arial" w:cs="Arial"/>
          <w:sz w:val="24"/>
          <w:szCs w:val="24"/>
        </w:rPr>
        <w:t>Somerset Museum: Located in the historic Taunton Castle, the museum celebrates the region’s heritage, offering engaging displays that delve into the county’s fascinating past, from prehistoric times to the present day.</w:t>
      </w:r>
    </w:p>
    <w:p w14:paraId="22B1FAC6" w14:textId="63EC741F" w:rsidR="00A80851" w:rsidRPr="0097618A" w:rsidRDefault="00A80851" w:rsidP="0097618A">
      <w:pPr>
        <w:pStyle w:val="ListParagraph"/>
        <w:numPr>
          <w:ilvl w:val="0"/>
          <w:numId w:val="30"/>
        </w:numPr>
        <w:jc w:val="both"/>
        <w:rPr>
          <w:rFonts w:ascii="Arial" w:hAnsi="Arial" w:cs="Arial"/>
          <w:sz w:val="24"/>
          <w:szCs w:val="24"/>
        </w:rPr>
      </w:pPr>
      <w:r w:rsidRPr="0097618A">
        <w:rPr>
          <w:rFonts w:ascii="Arial" w:hAnsi="Arial" w:cs="Arial"/>
          <w:sz w:val="24"/>
          <w:szCs w:val="24"/>
        </w:rPr>
        <w:lastRenderedPageBreak/>
        <w:t xml:space="preserve">The </w:t>
      </w:r>
      <w:r w:rsidR="00092017" w:rsidRPr="0097618A">
        <w:rPr>
          <w:rFonts w:ascii="Arial" w:hAnsi="Arial" w:cs="Arial"/>
          <w:sz w:val="24"/>
          <w:szCs w:val="24"/>
        </w:rPr>
        <w:t>Creative Innovation Centre</w:t>
      </w:r>
      <w:r w:rsidRPr="0097618A">
        <w:rPr>
          <w:rFonts w:ascii="Arial" w:hAnsi="Arial" w:cs="Arial"/>
          <w:sz w:val="24"/>
          <w:szCs w:val="24"/>
        </w:rPr>
        <w:t xml:space="preserve">: </w:t>
      </w:r>
      <w:r w:rsidR="00AB6295" w:rsidRPr="00AB6295">
        <w:rPr>
          <w:rFonts w:ascii="Arial" w:hAnsi="Arial" w:cs="Arial"/>
          <w:sz w:val="24"/>
          <w:szCs w:val="24"/>
        </w:rPr>
        <w:t>in Taunton is a vibrant, not-for-profit arts and cultural hub dedicated to fostering creativity, community, and enterprise. Housed in a beautifully restored early Victorian hall, CICCIC offers a diverse range of events</w:t>
      </w:r>
    </w:p>
    <w:p w14:paraId="37FEB9EC" w14:textId="50738259" w:rsidR="00A80851" w:rsidRPr="0097618A" w:rsidRDefault="00A80851" w:rsidP="0097618A">
      <w:pPr>
        <w:pStyle w:val="ListParagraph"/>
        <w:numPr>
          <w:ilvl w:val="0"/>
          <w:numId w:val="30"/>
        </w:numPr>
        <w:jc w:val="both"/>
        <w:rPr>
          <w:rFonts w:ascii="Arial" w:hAnsi="Arial" w:cs="Arial"/>
          <w:sz w:val="24"/>
          <w:szCs w:val="24"/>
        </w:rPr>
      </w:pPr>
      <w:r w:rsidRPr="0097618A">
        <w:rPr>
          <w:rFonts w:ascii="Arial" w:hAnsi="Arial" w:cs="Arial"/>
          <w:sz w:val="24"/>
          <w:szCs w:val="24"/>
        </w:rPr>
        <w:t>Taunton Minster (St Mary Magdalene): This historic church not only provides a quiet, reflective space but also hosts concerts, exhibitions, and community events, making it a vital part of the town’s cultural fabric.</w:t>
      </w:r>
    </w:p>
    <w:p w14:paraId="2D295E52" w14:textId="3B11E158" w:rsidR="00A80851" w:rsidRPr="005067B6" w:rsidRDefault="00A80851" w:rsidP="005067B6">
      <w:pPr>
        <w:jc w:val="both"/>
        <w:rPr>
          <w:rFonts w:ascii="Arial" w:hAnsi="Arial" w:cs="Arial"/>
          <w:sz w:val="24"/>
          <w:szCs w:val="24"/>
        </w:rPr>
      </w:pPr>
      <w:r w:rsidRPr="005067B6">
        <w:rPr>
          <w:rFonts w:ascii="Arial" w:hAnsi="Arial" w:cs="Arial"/>
          <w:sz w:val="24"/>
          <w:szCs w:val="24"/>
        </w:rPr>
        <w:t>Integrating these cultural gems into the annual programme will ensure that the event remains deeply rooted in Taunton’s identity while offering diverse experiences for attendees.</w:t>
      </w:r>
    </w:p>
    <w:p w14:paraId="5BF6EF3C" w14:textId="31C37FAF" w:rsidR="00F1565E" w:rsidRPr="00182EC7" w:rsidRDefault="00765A44" w:rsidP="006A3954">
      <w:pPr>
        <w:jc w:val="both"/>
        <w:rPr>
          <w:rFonts w:ascii="Arial" w:hAnsi="Arial" w:cs="Arial"/>
          <w:sz w:val="24"/>
          <w:szCs w:val="24"/>
        </w:rPr>
      </w:pPr>
      <w:r>
        <w:rPr>
          <w:rFonts w:ascii="Arial" w:hAnsi="Arial" w:cs="Arial"/>
          <w:sz w:val="24"/>
          <w:szCs w:val="24"/>
        </w:rPr>
        <w:t>You may also wish to e</w:t>
      </w:r>
      <w:r w:rsidR="00A80BF2" w:rsidRPr="00182EC7">
        <w:rPr>
          <w:rFonts w:ascii="Arial" w:hAnsi="Arial" w:cs="Arial"/>
          <w:sz w:val="24"/>
          <w:szCs w:val="24"/>
        </w:rPr>
        <w:t>ngage with:</w:t>
      </w:r>
    </w:p>
    <w:p w14:paraId="7ABA3612" w14:textId="18CD7A16" w:rsidR="00F1565E" w:rsidRPr="00182EC7" w:rsidRDefault="00A80BF2" w:rsidP="006A3954">
      <w:pPr>
        <w:pStyle w:val="ListParagraph"/>
        <w:numPr>
          <w:ilvl w:val="0"/>
          <w:numId w:val="15"/>
        </w:numPr>
        <w:jc w:val="both"/>
        <w:rPr>
          <w:rFonts w:ascii="Arial" w:hAnsi="Arial" w:cs="Arial"/>
          <w:sz w:val="24"/>
          <w:szCs w:val="24"/>
        </w:rPr>
      </w:pPr>
      <w:r w:rsidRPr="00182EC7">
        <w:rPr>
          <w:rFonts w:ascii="Arial" w:hAnsi="Arial" w:cs="Arial"/>
          <w:sz w:val="24"/>
          <w:szCs w:val="24"/>
        </w:rPr>
        <w:t xml:space="preserve">Local </w:t>
      </w:r>
      <w:r w:rsidR="00F072AC">
        <w:rPr>
          <w:rFonts w:ascii="Arial" w:hAnsi="Arial" w:cs="Arial"/>
          <w:sz w:val="24"/>
          <w:szCs w:val="24"/>
        </w:rPr>
        <w:t xml:space="preserve">creative and active </w:t>
      </w:r>
      <w:r w:rsidRPr="00182EC7">
        <w:rPr>
          <w:rFonts w:ascii="Arial" w:hAnsi="Arial" w:cs="Arial"/>
          <w:sz w:val="24"/>
          <w:szCs w:val="24"/>
        </w:rPr>
        <w:t>community groups and charities</w:t>
      </w:r>
    </w:p>
    <w:p w14:paraId="37C5FEF3" w14:textId="617F4AC7" w:rsidR="00F1565E" w:rsidRPr="00182EC7" w:rsidRDefault="00A80BF2" w:rsidP="006A3954">
      <w:pPr>
        <w:pStyle w:val="ListParagraph"/>
        <w:numPr>
          <w:ilvl w:val="0"/>
          <w:numId w:val="15"/>
        </w:numPr>
        <w:jc w:val="both"/>
        <w:rPr>
          <w:rFonts w:ascii="Arial" w:hAnsi="Arial" w:cs="Arial"/>
          <w:sz w:val="24"/>
          <w:szCs w:val="24"/>
        </w:rPr>
      </w:pPr>
      <w:r w:rsidRPr="00182EC7">
        <w:rPr>
          <w:rFonts w:ascii="Arial" w:hAnsi="Arial" w:cs="Arial"/>
          <w:sz w:val="24"/>
          <w:szCs w:val="24"/>
        </w:rPr>
        <w:t>Cultural and faith organisations</w:t>
      </w:r>
      <w:r w:rsidR="00F072AC">
        <w:rPr>
          <w:rFonts w:ascii="Arial" w:hAnsi="Arial" w:cs="Arial"/>
          <w:sz w:val="24"/>
          <w:szCs w:val="24"/>
        </w:rPr>
        <w:t xml:space="preserve"> through the Community Council for Somerset</w:t>
      </w:r>
    </w:p>
    <w:p w14:paraId="3856C8F7" w14:textId="0DCFB486" w:rsidR="00F1565E" w:rsidRPr="00182EC7" w:rsidRDefault="00A80BF2" w:rsidP="006A3954">
      <w:pPr>
        <w:pStyle w:val="ListParagraph"/>
        <w:numPr>
          <w:ilvl w:val="0"/>
          <w:numId w:val="15"/>
        </w:numPr>
        <w:jc w:val="both"/>
        <w:rPr>
          <w:rFonts w:ascii="Arial" w:hAnsi="Arial" w:cs="Arial"/>
          <w:sz w:val="24"/>
          <w:szCs w:val="24"/>
        </w:rPr>
      </w:pPr>
      <w:r w:rsidRPr="00182EC7">
        <w:rPr>
          <w:rFonts w:ascii="Arial" w:hAnsi="Arial" w:cs="Arial"/>
          <w:sz w:val="24"/>
          <w:szCs w:val="24"/>
        </w:rPr>
        <w:t>Local businesses and traders</w:t>
      </w:r>
      <w:r w:rsidR="00F072AC">
        <w:rPr>
          <w:rFonts w:ascii="Arial" w:hAnsi="Arial" w:cs="Arial"/>
          <w:sz w:val="24"/>
          <w:szCs w:val="24"/>
        </w:rPr>
        <w:t xml:space="preserve"> through the Chamber of Commerce</w:t>
      </w:r>
    </w:p>
    <w:p w14:paraId="43F8AA6E" w14:textId="73E94222" w:rsidR="00F1565E" w:rsidRPr="00182EC7" w:rsidRDefault="00A80BF2" w:rsidP="006A3954">
      <w:pPr>
        <w:pStyle w:val="ListParagraph"/>
        <w:numPr>
          <w:ilvl w:val="0"/>
          <w:numId w:val="15"/>
        </w:numPr>
        <w:jc w:val="both"/>
        <w:rPr>
          <w:rFonts w:ascii="Arial" w:hAnsi="Arial" w:cs="Arial"/>
          <w:sz w:val="24"/>
          <w:szCs w:val="24"/>
        </w:rPr>
      </w:pPr>
      <w:r w:rsidRPr="00182EC7">
        <w:rPr>
          <w:rFonts w:ascii="Arial" w:hAnsi="Arial" w:cs="Arial"/>
          <w:sz w:val="24"/>
          <w:szCs w:val="24"/>
        </w:rPr>
        <w:t>Town Council and statutory partners (e.g. police, fire, highways)</w:t>
      </w:r>
      <w:r w:rsidR="00F072AC">
        <w:rPr>
          <w:rFonts w:ascii="Arial" w:hAnsi="Arial" w:cs="Arial"/>
          <w:sz w:val="24"/>
          <w:szCs w:val="24"/>
        </w:rPr>
        <w:t xml:space="preserve"> for safety and advisory notes and keep </w:t>
      </w:r>
      <w:r w:rsidR="00492215">
        <w:rPr>
          <w:rFonts w:ascii="Arial" w:hAnsi="Arial" w:cs="Arial"/>
          <w:sz w:val="24"/>
          <w:szCs w:val="24"/>
        </w:rPr>
        <w:t>up to date with regulation and good practice.</w:t>
      </w:r>
    </w:p>
    <w:p w14:paraId="5EF4916A" w14:textId="5AE9F7A2" w:rsidR="00284C3F" w:rsidRPr="00182EC7" w:rsidRDefault="00A80BF2" w:rsidP="006A3954">
      <w:pPr>
        <w:jc w:val="both"/>
        <w:rPr>
          <w:rFonts w:ascii="Arial" w:hAnsi="Arial" w:cs="Arial"/>
          <w:sz w:val="24"/>
          <w:szCs w:val="24"/>
        </w:rPr>
      </w:pPr>
      <w:r w:rsidRPr="00182EC7">
        <w:rPr>
          <w:rFonts w:ascii="Arial" w:hAnsi="Arial" w:cs="Arial"/>
          <w:sz w:val="24"/>
          <w:szCs w:val="24"/>
        </w:rPr>
        <w:t>Ensure cultural organisations are central to the event’s design and delivery, with their participation forming a key measure of success.</w:t>
      </w:r>
    </w:p>
    <w:p w14:paraId="677B79E7" w14:textId="2B6B5BB3" w:rsidR="00284C3F" w:rsidRPr="00182EC7" w:rsidRDefault="00A80BF2" w:rsidP="00182EC7">
      <w:pPr>
        <w:pStyle w:val="Heading2"/>
        <w:rPr>
          <w:rFonts w:ascii="Arial" w:hAnsi="Arial" w:cs="Arial"/>
          <w:color w:val="auto"/>
          <w:sz w:val="24"/>
          <w:szCs w:val="24"/>
        </w:rPr>
      </w:pPr>
      <w:bookmarkStart w:id="6" w:name="_Toc201258673"/>
      <w:r w:rsidRPr="00182EC7">
        <w:rPr>
          <w:rFonts w:ascii="Arial" w:hAnsi="Arial" w:cs="Arial"/>
          <w:color w:val="auto"/>
          <w:sz w:val="24"/>
          <w:szCs w:val="24"/>
        </w:rPr>
        <w:t>d. Governance and Decision-Making</w:t>
      </w:r>
      <w:bookmarkEnd w:id="6"/>
      <w:r w:rsidR="00B95252" w:rsidRPr="00182EC7">
        <w:rPr>
          <w:rFonts w:ascii="Arial" w:hAnsi="Arial" w:cs="Arial"/>
          <w:color w:val="auto"/>
          <w:sz w:val="24"/>
          <w:szCs w:val="24"/>
        </w:rPr>
        <w:br/>
      </w:r>
    </w:p>
    <w:p w14:paraId="2DA471A8" w14:textId="77777777" w:rsidR="00F1565E" w:rsidRPr="00182EC7" w:rsidRDefault="00A80BF2" w:rsidP="006A3954">
      <w:pPr>
        <w:jc w:val="both"/>
        <w:rPr>
          <w:rFonts w:ascii="Arial" w:hAnsi="Arial" w:cs="Arial"/>
          <w:sz w:val="24"/>
          <w:szCs w:val="24"/>
        </w:rPr>
      </w:pPr>
      <w:r w:rsidRPr="00182EC7">
        <w:rPr>
          <w:rFonts w:ascii="Arial" w:hAnsi="Arial" w:cs="Arial"/>
          <w:sz w:val="24"/>
          <w:szCs w:val="24"/>
        </w:rPr>
        <w:t>The Town Council will act as the strategic decision-making body for the event.</w:t>
      </w:r>
      <w:r w:rsidRPr="00182EC7">
        <w:rPr>
          <w:rFonts w:ascii="Arial" w:hAnsi="Arial" w:cs="Arial"/>
          <w:sz w:val="24"/>
          <w:szCs w:val="24"/>
        </w:rPr>
        <w:br/>
        <w:t>The provider must:</w:t>
      </w:r>
    </w:p>
    <w:p w14:paraId="091D0BD8" w14:textId="13BA5306" w:rsidR="00F1565E" w:rsidRPr="00182EC7" w:rsidRDefault="00A80BF2" w:rsidP="006A3954">
      <w:pPr>
        <w:pStyle w:val="ListParagraph"/>
        <w:numPr>
          <w:ilvl w:val="0"/>
          <w:numId w:val="16"/>
        </w:numPr>
        <w:jc w:val="both"/>
        <w:rPr>
          <w:rFonts w:ascii="Arial" w:hAnsi="Arial" w:cs="Arial"/>
          <w:sz w:val="24"/>
          <w:szCs w:val="24"/>
        </w:rPr>
      </w:pPr>
      <w:r w:rsidRPr="00182EC7">
        <w:rPr>
          <w:rFonts w:ascii="Arial" w:hAnsi="Arial" w:cs="Arial"/>
          <w:sz w:val="24"/>
          <w:szCs w:val="24"/>
        </w:rPr>
        <w:t xml:space="preserve">Attend regular </w:t>
      </w:r>
      <w:r w:rsidR="00CC24BC">
        <w:rPr>
          <w:rFonts w:ascii="Arial" w:hAnsi="Arial" w:cs="Arial"/>
          <w:sz w:val="24"/>
          <w:szCs w:val="24"/>
        </w:rPr>
        <w:t xml:space="preserve">community and place committee meetings to support </w:t>
      </w:r>
      <w:r w:rsidRPr="00182EC7">
        <w:rPr>
          <w:rFonts w:ascii="Arial" w:hAnsi="Arial" w:cs="Arial"/>
          <w:sz w:val="24"/>
          <w:szCs w:val="24"/>
        </w:rPr>
        <w:t>planning and governance</w:t>
      </w:r>
      <w:r w:rsidR="00CC24BC">
        <w:rPr>
          <w:rFonts w:ascii="Arial" w:hAnsi="Arial" w:cs="Arial"/>
          <w:sz w:val="24"/>
          <w:szCs w:val="24"/>
        </w:rPr>
        <w:t>.</w:t>
      </w:r>
    </w:p>
    <w:p w14:paraId="69EA2056" w14:textId="77777777" w:rsidR="00F1565E" w:rsidRPr="00182EC7" w:rsidRDefault="00A80BF2" w:rsidP="006A3954">
      <w:pPr>
        <w:pStyle w:val="ListParagraph"/>
        <w:numPr>
          <w:ilvl w:val="0"/>
          <w:numId w:val="16"/>
        </w:numPr>
        <w:jc w:val="both"/>
        <w:rPr>
          <w:rFonts w:ascii="Arial" w:hAnsi="Arial" w:cs="Arial"/>
          <w:sz w:val="24"/>
          <w:szCs w:val="24"/>
        </w:rPr>
      </w:pPr>
      <w:r w:rsidRPr="00182EC7">
        <w:rPr>
          <w:rFonts w:ascii="Arial" w:hAnsi="Arial" w:cs="Arial"/>
          <w:sz w:val="24"/>
          <w:szCs w:val="24"/>
        </w:rPr>
        <w:t>Present proposals and updates for Council approval</w:t>
      </w:r>
    </w:p>
    <w:p w14:paraId="0700906D" w14:textId="2A19FE02" w:rsidR="00284C3F" w:rsidRPr="00182EC7" w:rsidRDefault="00A80BF2" w:rsidP="006A3954">
      <w:pPr>
        <w:pStyle w:val="ListParagraph"/>
        <w:numPr>
          <w:ilvl w:val="0"/>
          <w:numId w:val="16"/>
        </w:numPr>
        <w:jc w:val="both"/>
        <w:rPr>
          <w:rFonts w:ascii="Arial" w:hAnsi="Arial" w:cs="Arial"/>
          <w:sz w:val="24"/>
          <w:szCs w:val="24"/>
        </w:rPr>
      </w:pPr>
      <w:r w:rsidRPr="00182EC7">
        <w:rPr>
          <w:rFonts w:ascii="Arial" w:hAnsi="Arial" w:cs="Arial"/>
          <w:sz w:val="24"/>
          <w:szCs w:val="24"/>
        </w:rPr>
        <w:t>Collaborate transparently and responsively with Council officers and elected members</w:t>
      </w:r>
    </w:p>
    <w:p w14:paraId="3BB16297" w14:textId="77777777" w:rsidR="00284C3F" w:rsidRPr="00182EC7" w:rsidRDefault="00A80BF2" w:rsidP="006A3954">
      <w:pPr>
        <w:pStyle w:val="Heading2"/>
        <w:jc w:val="both"/>
        <w:rPr>
          <w:rFonts w:ascii="Arial" w:hAnsi="Arial" w:cs="Arial"/>
          <w:color w:val="auto"/>
          <w:sz w:val="24"/>
          <w:szCs w:val="24"/>
        </w:rPr>
      </w:pPr>
      <w:bookmarkStart w:id="7" w:name="_Toc201258674"/>
      <w:r w:rsidRPr="00182EC7">
        <w:rPr>
          <w:rFonts w:ascii="Arial" w:hAnsi="Arial" w:cs="Arial"/>
          <w:color w:val="auto"/>
          <w:sz w:val="24"/>
          <w:szCs w:val="24"/>
        </w:rPr>
        <w:t>e. Marketing and Communications</w:t>
      </w:r>
      <w:bookmarkEnd w:id="7"/>
    </w:p>
    <w:p w14:paraId="26A1A459" w14:textId="5BCBDAEF" w:rsidR="005A23DC" w:rsidRPr="00182EC7" w:rsidRDefault="00B95252" w:rsidP="006A3954">
      <w:pPr>
        <w:jc w:val="both"/>
        <w:rPr>
          <w:rFonts w:ascii="Arial" w:hAnsi="Arial" w:cs="Arial"/>
          <w:sz w:val="24"/>
          <w:szCs w:val="24"/>
        </w:rPr>
      </w:pPr>
      <w:r w:rsidRPr="00182EC7">
        <w:rPr>
          <w:rFonts w:ascii="Arial" w:hAnsi="Arial" w:cs="Arial"/>
          <w:sz w:val="24"/>
          <w:szCs w:val="24"/>
        </w:rPr>
        <w:br/>
      </w:r>
      <w:r w:rsidR="005A23DC" w:rsidRPr="00182EC7">
        <w:rPr>
          <w:rFonts w:ascii="Arial" w:hAnsi="Arial" w:cs="Arial"/>
          <w:sz w:val="24"/>
          <w:szCs w:val="24"/>
        </w:rPr>
        <w:t>To improve event awareness and encourage participation</w:t>
      </w:r>
      <w:r w:rsidR="00633407">
        <w:rPr>
          <w:rFonts w:ascii="Arial" w:hAnsi="Arial" w:cs="Arial"/>
          <w:sz w:val="24"/>
          <w:szCs w:val="24"/>
        </w:rPr>
        <w:t xml:space="preserve"> with the support of the council’s communications function</w:t>
      </w:r>
      <w:r w:rsidR="005A23DC" w:rsidRPr="00182EC7">
        <w:rPr>
          <w:rFonts w:ascii="Arial" w:hAnsi="Arial" w:cs="Arial"/>
          <w:sz w:val="24"/>
          <w:szCs w:val="24"/>
        </w:rPr>
        <w:t xml:space="preserve">, employing a multifaceted marketing approach rooted in proven theories. One effective technique is leveraging the AIDA model—Attention, Interest, Desire, Action. This framework can guide the messaging strategy, ensuring communications captivate the audience, stir curiosity, foster </w:t>
      </w:r>
      <w:r w:rsidR="005A23DC" w:rsidRPr="00182EC7">
        <w:rPr>
          <w:rFonts w:ascii="Arial" w:hAnsi="Arial" w:cs="Arial"/>
          <w:sz w:val="24"/>
          <w:szCs w:val="24"/>
        </w:rPr>
        <w:lastRenderedPageBreak/>
        <w:t>emotional engagement, and ultimately drive action, such as signing up for participation.</w:t>
      </w:r>
    </w:p>
    <w:p w14:paraId="3BD32049" w14:textId="0BAE7268" w:rsidR="005A23DC" w:rsidRPr="00182EC7" w:rsidRDefault="005A23DC" w:rsidP="006A3954">
      <w:pPr>
        <w:jc w:val="both"/>
        <w:rPr>
          <w:rFonts w:ascii="Arial" w:hAnsi="Arial" w:cs="Arial"/>
          <w:sz w:val="24"/>
          <w:szCs w:val="24"/>
        </w:rPr>
      </w:pPr>
      <w:r w:rsidRPr="00182EC7">
        <w:rPr>
          <w:rFonts w:ascii="Arial" w:hAnsi="Arial" w:cs="Arial"/>
          <w:sz w:val="24"/>
          <w:szCs w:val="24"/>
        </w:rPr>
        <w:t xml:space="preserve">Content marketing </w:t>
      </w:r>
      <w:r w:rsidR="00633407">
        <w:rPr>
          <w:rFonts w:ascii="Arial" w:hAnsi="Arial" w:cs="Arial"/>
          <w:sz w:val="24"/>
          <w:szCs w:val="24"/>
        </w:rPr>
        <w:t>will</w:t>
      </w:r>
      <w:r w:rsidRPr="00182EC7">
        <w:rPr>
          <w:rFonts w:ascii="Arial" w:hAnsi="Arial" w:cs="Arial"/>
          <w:sz w:val="24"/>
          <w:szCs w:val="24"/>
        </w:rPr>
        <w:t xml:space="preserve"> play a pivotal role, with the creation of compelling narratives that highlight the event's unique benefits and community impact. Designing stories around the event’s cultural significance, sustainability efforts, and local engagement will resonate deeply with target audiences.</w:t>
      </w:r>
    </w:p>
    <w:p w14:paraId="0311885B" w14:textId="5867944C" w:rsidR="005A23DC" w:rsidRPr="00182EC7" w:rsidRDefault="005A23DC" w:rsidP="006A3954">
      <w:pPr>
        <w:jc w:val="both"/>
        <w:rPr>
          <w:rFonts w:ascii="Arial" w:hAnsi="Arial" w:cs="Arial"/>
          <w:sz w:val="24"/>
          <w:szCs w:val="24"/>
        </w:rPr>
      </w:pPr>
      <w:r w:rsidRPr="00182EC7">
        <w:rPr>
          <w:rFonts w:ascii="Arial" w:hAnsi="Arial" w:cs="Arial"/>
          <w:sz w:val="24"/>
          <w:szCs w:val="24"/>
        </w:rPr>
        <w:t>In addition, the Social Identity Theory can be used to craft messages that tap into the community’s shared identity and values. By emphasi</w:t>
      </w:r>
      <w:r w:rsidR="00B95252" w:rsidRPr="00182EC7">
        <w:rPr>
          <w:rFonts w:ascii="Arial" w:hAnsi="Arial" w:cs="Arial"/>
          <w:sz w:val="24"/>
          <w:szCs w:val="24"/>
        </w:rPr>
        <w:t>s</w:t>
      </w:r>
      <w:r w:rsidRPr="00182EC7">
        <w:rPr>
          <w:rFonts w:ascii="Arial" w:hAnsi="Arial" w:cs="Arial"/>
          <w:sz w:val="24"/>
          <w:szCs w:val="24"/>
        </w:rPr>
        <w:t>ing how the event strengthens belonging and pride in the local culture, you can inspire collective participation.</w:t>
      </w:r>
    </w:p>
    <w:p w14:paraId="33FAC857" w14:textId="5FCD81AA" w:rsidR="005A23DC" w:rsidRPr="00182EC7" w:rsidRDefault="005A23DC" w:rsidP="006A3954">
      <w:pPr>
        <w:jc w:val="both"/>
        <w:rPr>
          <w:rFonts w:ascii="Arial" w:hAnsi="Arial" w:cs="Arial"/>
          <w:sz w:val="24"/>
          <w:szCs w:val="24"/>
        </w:rPr>
      </w:pPr>
      <w:r w:rsidRPr="00182EC7">
        <w:rPr>
          <w:rFonts w:ascii="Arial" w:hAnsi="Arial" w:cs="Arial"/>
          <w:sz w:val="24"/>
          <w:szCs w:val="24"/>
        </w:rPr>
        <w:t>Technologically, utili</w:t>
      </w:r>
      <w:r w:rsidR="00B95252" w:rsidRPr="00182EC7">
        <w:rPr>
          <w:rFonts w:ascii="Arial" w:hAnsi="Arial" w:cs="Arial"/>
          <w:sz w:val="24"/>
          <w:szCs w:val="24"/>
        </w:rPr>
        <w:t>s</w:t>
      </w:r>
      <w:r w:rsidRPr="00182EC7">
        <w:rPr>
          <w:rFonts w:ascii="Arial" w:hAnsi="Arial" w:cs="Arial"/>
          <w:sz w:val="24"/>
          <w:szCs w:val="24"/>
        </w:rPr>
        <w:t>ing tools like geo-targeted social media ads and email campaigns personali</w:t>
      </w:r>
      <w:r w:rsidR="00B95252" w:rsidRPr="00182EC7">
        <w:rPr>
          <w:rFonts w:ascii="Arial" w:hAnsi="Arial" w:cs="Arial"/>
          <w:sz w:val="24"/>
          <w:szCs w:val="24"/>
        </w:rPr>
        <w:t>s</w:t>
      </w:r>
      <w:r w:rsidRPr="00182EC7">
        <w:rPr>
          <w:rFonts w:ascii="Arial" w:hAnsi="Arial" w:cs="Arial"/>
          <w:sz w:val="24"/>
          <w:szCs w:val="24"/>
        </w:rPr>
        <w:t>ed to the recipient's interests ensures the message reaches the right audience at the right time. Furthermore, incentivi</w:t>
      </w:r>
      <w:r w:rsidR="00B95252" w:rsidRPr="00182EC7">
        <w:rPr>
          <w:rFonts w:ascii="Arial" w:hAnsi="Arial" w:cs="Arial"/>
          <w:sz w:val="24"/>
          <w:szCs w:val="24"/>
        </w:rPr>
        <w:t>s</w:t>
      </w:r>
      <w:r w:rsidRPr="00182EC7">
        <w:rPr>
          <w:rFonts w:ascii="Arial" w:hAnsi="Arial" w:cs="Arial"/>
          <w:sz w:val="24"/>
          <w:szCs w:val="24"/>
        </w:rPr>
        <w:t>ing early registrations through exclusive perks can boost sign-ups.</w:t>
      </w:r>
    </w:p>
    <w:p w14:paraId="12AF6D62" w14:textId="41E336B4" w:rsidR="005A23DC" w:rsidRPr="00182EC7" w:rsidRDefault="005A23DC" w:rsidP="006A3954">
      <w:pPr>
        <w:jc w:val="both"/>
        <w:rPr>
          <w:rFonts w:ascii="Arial" w:hAnsi="Arial" w:cs="Arial"/>
          <w:sz w:val="24"/>
          <w:szCs w:val="24"/>
        </w:rPr>
      </w:pPr>
      <w:r w:rsidRPr="00182EC7">
        <w:rPr>
          <w:rFonts w:ascii="Arial" w:hAnsi="Arial" w:cs="Arial"/>
          <w:sz w:val="24"/>
          <w:szCs w:val="24"/>
        </w:rPr>
        <w:t>Lastly, conducting pre-event surveys or polls can involve the community</w:t>
      </w:r>
      <w:r w:rsidR="006A3954" w:rsidRPr="00182EC7">
        <w:rPr>
          <w:rFonts w:ascii="Arial" w:hAnsi="Arial" w:cs="Arial"/>
          <w:sz w:val="24"/>
          <w:szCs w:val="24"/>
        </w:rPr>
        <w:t xml:space="preserve"> and business</w:t>
      </w:r>
      <w:r w:rsidRPr="00182EC7">
        <w:rPr>
          <w:rFonts w:ascii="Arial" w:hAnsi="Arial" w:cs="Arial"/>
          <w:sz w:val="24"/>
          <w:szCs w:val="24"/>
        </w:rPr>
        <w:t xml:space="preserve"> in shaping the event, creating a sense of ownership that encourages both awareness and active participation.</w:t>
      </w:r>
    </w:p>
    <w:p w14:paraId="3430CD08" w14:textId="5C8C6FF2" w:rsidR="005A23DC" w:rsidRPr="00182EC7" w:rsidRDefault="00A80BF2" w:rsidP="006A3954">
      <w:pPr>
        <w:jc w:val="both"/>
        <w:rPr>
          <w:rFonts w:ascii="Arial" w:hAnsi="Arial" w:cs="Arial"/>
          <w:sz w:val="24"/>
          <w:szCs w:val="24"/>
        </w:rPr>
      </w:pPr>
      <w:r w:rsidRPr="00182EC7">
        <w:rPr>
          <w:rFonts w:ascii="Arial" w:hAnsi="Arial" w:cs="Arial"/>
          <w:sz w:val="24"/>
          <w:szCs w:val="24"/>
        </w:rPr>
        <w:t>Deliver a multi-channel marketing strategy including:</w:t>
      </w:r>
    </w:p>
    <w:p w14:paraId="3CC0C44E" w14:textId="77777777" w:rsidR="005A23DC" w:rsidRPr="00182EC7" w:rsidRDefault="00A80BF2" w:rsidP="006A3954">
      <w:pPr>
        <w:pStyle w:val="ListParagraph"/>
        <w:numPr>
          <w:ilvl w:val="0"/>
          <w:numId w:val="17"/>
        </w:numPr>
        <w:jc w:val="both"/>
        <w:rPr>
          <w:rFonts w:ascii="Arial" w:hAnsi="Arial" w:cs="Arial"/>
          <w:sz w:val="24"/>
          <w:szCs w:val="24"/>
        </w:rPr>
      </w:pPr>
      <w:r w:rsidRPr="00182EC7">
        <w:rPr>
          <w:rFonts w:ascii="Arial" w:hAnsi="Arial" w:cs="Arial"/>
          <w:sz w:val="24"/>
          <w:szCs w:val="24"/>
        </w:rPr>
        <w:t>Social media campaigns</w:t>
      </w:r>
    </w:p>
    <w:p w14:paraId="3E7C4B38" w14:textId="77777777" w:rsidR="005A23DC" w:rsidRPr="00182EC7" w:rsidRDefault="00A80BF2" w:rsidP="006A3954">
      <w:pPr>
        <w:pStyle w:val="ListParagraph"/>
        <w:numPr>
          <w:ilvl w:val="0"/>
          <w:numId w:val="17"/>
        </w:numPr>
        <w:jc w:val="both"/>
        <w:rPr>
          <w:rFonts w:ascii="Arial" w:hAnsi="Arial" w:cs="Arial"/>
          <w:sz w:val="24"/>
          <w:szCs w:val="24"/>
        </w:rPr>
      </w:pPr>
      <w:r w:rsidRPr="00182EC7">
        <w:rPr>
          <w:rFonts w:ascii="Arial" w:hAnsi="Arial" w:cs="Arial"/>
          <w:sz w:val="24"/>
          <w:szCs w:val="24"/>
        </w:rPr>
        <w:t>Press releases and media engagement</w:t>
      </w:r>
    </w:p>
    <w:p w14:paraId="43E835BB" w14:textId="77777777" w:rsidR="005A23DC" w:rsidRPr="00182EC7" w:rsidRDefault="00A80BF2" w:rsidP="006A3954">
      <w:pPr>
        <w:pStyle w:val="ListParagraph"/>
        <w:numPr>
          <w:ilvl w:val="0"/>
          <w:numId w:val="17"/>
        </w:numPr>
        <w:jc w:val="both"/>
        <w:rPr>
          <w:rFonts w:ascii="Arial" w:hAnsi="Arial" w:cs="Arial"/>
          <w:sz w:val="24"/>
          <w:szCs w:val="24"/>
        </w:rPr>
      </w:pPr>
      <w:r w:rsidRPr="00182EC7">
        <w:rPr>
          <w:rFonts w:ascii="Arial" w:hAnsi="Arial" w:cs="Arial"/>
          <w:sz w:val="24"/>
          <w:szCs w:val="24"/>
        </w:rPr>
        <w:t>Printed materials and signage</w:t>
      </w:r>
    </w:p>
    <w:p w14:paraId="1560BA59" w14:textId="77777777" w:rsidR="005A23DC" w:rsidRPr="00182EC7" w:rsidRDefault="00A80BF2" w:rsidP="006A3954">
      <w:pPr>
        <w:pStyle w:val="ListParagraph"/>
        <w:numPr>
          <w:ilvl w:val="0"/>
          <w:numId w:val="17"/>
        </w:numPr>
        <w:jc w:val="both"/>
        <w:rPr>
          <w:rFonts w:ascii="Arial" w:hAnsi="Arial" w:cs="Arial"/>
          <w:sz w:val="24"/>
          <w:szCs w:val="24"/>
        </w:rPr>
      </w:pPr>
      <w:r w:rsidRPr="00182EC7">
        <w:rPr>
          <w:rFonts w:ascii="Arial" w:hAnsi="Arial" w:cs="Arial"/>
          <w:sz w:val="24"/>
          <w:szCs w:val="24"/>
        </w:rPr>
        <w:t>Inclusive and accessible communications</w:t>
      </w:r>
    </w:p>
    <w:p w14:paraId="1F200F27" w14:textId="3AD9B450" w:rsidR="00284C3F" w:rsidRPr="00182EC7" w:rsidRDefault="00A80BF2" w:rsidP="006A3954">
      <w:pPr>
        <w:pStyle w:val="ListParagraph"/>
        <w:numPr>
          <w:ilvl w:val="0"/>
          <w:numId w:val="17"/>
        </w:numPr>
        <w:jc w:val="both"/>
        <w:rPr>
          <w:rFonts w:ascii="Arial" w:hAnsi="Arial" w:cs="Arial"/>
          <w:sz w:val="24"/>
          <w:szCs w:val="24"/>
        </w:rPr>
      </w:pPr>
      <w:r w:rsidRPr="00182EC7">
        <w:rPr>
          <w:rFonts w:ascii="Arial" w:hAnsi="Arial" w:cs="Arial"/>
          <w:sz w:val="24"/>
          <w:szCs w:val="24"/>
        </w:rPr>
        <w:t>Maintain a dedicated event webpage and/or social media presence.</w:t>
      </w:r>
    </w:p>
    <w:p w14:paraId="2BF20BE8" w14:textId="77777777" w:rsidR="00284C3F" w:rsidRPr="00182EC7" w:rsidRDefault="00A80BF2" w:rsidP="006A3954">
      <w:pPr>
        <w:pStyle w:val="Heading2"/>
        <w:jc w:val="both"/>
        <w:rPr>
          <w:rFonts w:ascii="Arial" w:hAnsi="Arial" w:cs="Arial"/>
          <w:color w:val="auto"/>
          <w:sz w:val="24"/>
          <w:szCs w:val="24"/>
        </w:rPr>
      </w:pPr>
      <w:bookmarkStart w:id="8" w:name="_Toc201258675"/>
      <w:r w:rsidRPr="00182EC7">
        <w:rPr>
          <w:rFonts w:ascii="Arial" w:hAnsi="Arial" w:cs="Arial"/>
          <w:color w:val="auto"/>
          <w:sz w:val="24"/>
          <w:szCs w:val="24"/>
        </w:rPr>
        <w:t>f. Volunteer and Workforce Management</w:t>
      </w:r>
      <w:bookmarkEnd w:id="8"/>
    </w:p>
    <w:p w14:paraId="18D62976" w14:textId="0375C5B1" w:rsidR="00C805FA" w:rsidRPr="00C805FA" w:rsidRDefault="005A23DC" w:rsidP="00C805FA">
      <w:pPr>
        <w:jc w:val="both"/>
        <w:rPr>
          <w:rFonts w:ascii="Arial" w:hAnsi="Arial" w:cs="Arial"/>
          <w:sz w:val="24"/>
          <w:szCs w:val="24"/>
        </w:rPr>
      </w:pPr>
      <w:r w:rsidRPr="00182EC7">
        <w:rPr>
          <w:rFonts w:ascii="Arial" w:hAnsi="Arial" w:cs="Arial"/>
          <w:sz w:val="24"/>
          <w:szCs w:val="24"/>
        </w:rPr>
        <w:br/>
      </w:r>
      <w:r w:rsidR="00C805FA" w:rsidRPr="00C805FA">
        <w:rPr>
          <w:rFonts w:ascii="Arial" w:hAnsi="Arial" w:cs="Arial"/>
          <w:sz w:val="24"/>
          <w:szCs w:val="24"/>
        </w:rPr>
        <w:t xml:space="preserve">Collaborating with the local community and key organisations such as the </w:t>
      </w:r>
      <w:r w:rsidR="003A6880">
        <w:rPr>
          <w:rFonts w:ascii="Arial" w:hAnsi="Arial" w:cs="Arial"/>
          <w:sz w:val="24"/>
          <w:szCs w:val="24"/>
        </w:rPr>
        <w:t>Community Cou</w:t>
      </w:r>
      <w:r w:rsidR="00C805FA" w:rsidRPr="00C805FA">
        <w:rPr>
          <w:rFonts w:ascii="Arial" w:hAnsi="Arial" w:cs="Arial"/>
          <w:sz w:val="24"/>
          <w:szCs w:val="24"/>
        </w:rPr>
        <w:t xml:space="preserve">ncil for Somerset, SPARK Somerset, and Taunton’s Rotary Clubs can amplify the impact of the event. Working </w:t>
      </w:r>
      <w:proofErr w:type="gramStart"/>
      <w:r w:rsidR="00C805FA" w:rsidRPr="00C805FA">
        <w:rPr>
          <w:rFonts w:ascii="Arial" w:hAnsi="Arial" w:cs="Arial"/>
          <w:sz w:val="24"/>
          <w:szCs w:val="24"/>
        </w:rPr>
        <w:t>hand-in-hand</w:t>
      </w:r>
      <w:proofErr w:type="gramEnd"/>
      <w:r w:rsidR="00C805FA" w:rsidRPr="00C805FA">
        <w:rPr>
          <w:rFonts w:ascii="Arial" w:hAnsi="Arial" w:cs="Arial"/>
          <w:sz w:val="24"/>
          <w:szCs w:val="24"/>
        </w:rPr>
        <w:t xml:space="preserve"> with these organisations opens opportunities to promote inclusivity, coordinate volunteering efforts, and align with local values and aspirations. These stakeholders can also assist in amplifying marketing efforts through their established channels, fostering a sense of unity and shared purpose.</w:t>
      </w:r>
    </w:p>
    <w:p w14:paraId="0007CEAE" w14:textId="449DEBC0" w:rsidR="00333626" w:rsidRPr="00C805FA" w:rsidRDefault="00C805FA" w:rsidP="00C805FA">
      <w:pPr>
        <w:rPr>
          <w:rFonts w:ascii="Arial" w:hAnsi="Arial" w:cs="Arial"/>
          <w:sz w:val="24"/>
          <w:szCs w:val="24"/>
        </w:rPr>
      </w:pPr>
      <w:r w:rsidRPr="00C805FA">
        <w:rPr>
          <w:rFonts w:ascii="Arial" w:hAnsi="Arial" w:cs="Arial"/>
          <w:sz w:val="24"/>
          <w:szCs w:val="24"/>
        </w:rPr>
        <w:t xml:space="preserve">By leveraging the expertise and enthusiasm of SPARK Somerset and Taunton’s Rotary Clubs, the event can further strengthen ties within the community, highlight local talent, and ensure that the event becomes a reflection of collective </w:t>
      </w:r>
      <w:r w:rsidRPr="00C805FA">
        <w:rPr>
          <w:rFonts w:ascii="Arial" w:hAnsi="Arial" w:cs="Arial"/>
          <w:sz w:val="24"/>
          <w:szCs w:val="24"/>
        </w:rPr>
        <w:lastRenderedPageBreak/>
        <w:t>pride and collaboration. For example, SPARK Somerset’s experience in community development can guide initiatives that involve local businesses, while Taunton’s Rotary Clubs can facilitate connections with volunteers who are eager to contribute. These relationships not only enhance the event’s logistical efficiency but also anchor its success in the shared efforts and spirit of the community.</w:t>
      </w:r>
    </w:p>
    <w:p w14:paraId="1B1E6368" w14:textId="796A0627" w:rsidR="005A23DC" w:rsidRPr="00182EC7" w:rsidRDefault="00A80BF2" w:rsidP="006A3954">
      <w:pPr>
        <w:jc w:val="both"/>
        <w:rPr>
          <w:rFonts w:ascii="Arial" w:hAnsi="Arial" w:cs="Arial"/>
          <w:sz w:val="24"/>
          <w:szCs w:val="24"/>
        </w:rPr>
      </w:pPr>
      <w:r w:rsidRPr="00182EC7">
        <w:rPr>
          <w:rFonts w:ascii="Arial" w:hAnsi="Arial" w:cs="Arial"/>
          <w:sz w:val="24"/>
          <w:szCs w:val="24"/>
        </w:rPr>
        <w:t>Recruit, train, and manage a team of volunteers and event staff</w:t>
      </w:r>
      <w:r w:rsidR="005A23DC" w:rsidRPr="00182EC7">
        <w:rPr>
          <w:rFonts w:ascii="Arial" w:hAnsi="Arial" w:cs="Arial"/>
          <w:sz w:val="24"/>
          <w:szCs w:val="24"/>
        </w:rPr>
        <w:t xml:space="preserve"> (This can include Council staff</w:t>
      </w:r>
      <w:r w:rsidR="00696719">
        <w:rPr>
          <w:rFonts w:ascii="Arial" w:hAnsi="Arial" w:cs="Arial"/>
          <w:sz w:val="24"/>
          <w:szCs w:val="24"/>
        </w:rPr>
        <w:t>)</w:t>
      </w:r>
      <w:r w:rsidRPr="00182EC7">
        <w:rPr>
          <w:rFonts w:ascii="Arial" w:hAnsi="Arial" w:cs="Arial"/>
          <w:sz w:val="24"/>
          <w:szCs w:val="24"/>
        </w:rPr>
        <w:t>.</w:t>
      </w:r>
    </w:p>
    <w:p w14:paraId="7FBF9AB8" w14:textId="4092D9B7" w:rsidR="00284C3F" w:rsidRPr="00182EC7" w:rsidRDefault="00A80BF2" w:rsidP="006A3954">
      <w:pPr>
        <w:jc w:val="both"/>
        <w:rPr>
          <w:rFonts w:ascii="Arial" w:hAnsi="Arial" w:cs="Arial"/>
          <w:sz w:val="24"/>
          <w:szCs w:val="24"/>
        </w:rPr>
      </w:pPr>
      <w:r w:rsidRPr="00182EC7">
        <w:rPr>
          <w:rFonts w:ascii="Arial" w:hAnsi="Arial" w:cs="Arial"/>
          <w:sz w:val="24"/>
          <w:szCs w:val="24"/>
        </w:rPr>
        <w:t>Ensure safeguarding, welfare, and clear roles/responsibilities.</w:t>
      </w:r>
    </w:p>
    <w:p w14:paraId="749F8412" w14:textId="71A92462" w:rsidR="00284C3F" w:rsidRPr="00182EC7" w:rsidRDefault="00A80BF2" w:rsidP="00182EC7">
      <w:pPr>
        <w:pStyle w:val="Heading1"/>
        <w:rPr>
          <w:rFonts w:ascii="Arial" w:hAnsi="Arial" w:cs="Arial"/>
          <w:color w:val="auto"/>
          <w:sz w:val="24"/>
          <w:szCs w:val="24"/>
        </w:rPr>
      </w:pPr>
      <w:bookmarkStart w:id="9" w:name="_Toc201258676"/>
      <w:r w:rsidRPr="00182EC7">
        <w:rPr>
          <w:rFonts w:ascii="Arial" w:hAnsi="Arial" w:cs="Arial"/>
          <w:color w:val="auto"/>
          <w:sz w:val="24"/>
          <w:szCs w:val="24"/>
        </w:rPr>
        <w:t>4. Sustainability Requirements</w:t>
      </w:r>
      <w:bookmarkEnd w:id="9"/>
      <w:r w:rsidR="00B65B58" w:rsidRPr="00182EC7">
        <w:rPr>
          <w:rFonts w:ascii="Arial" w:hAnsi="Arial" w:cs="Arial"/>
          <w:color w:val="auto"/>
          <w:sz w:val="24"/>
          <w:szCs w:val="24"/>
        </w:rPr>
        <w:br/>
      </w:r>
    </w:p>
    <w:p w14:paraId="5D653C86" w14:textId="77777777" w:rsidR="000216E3" w:rsidRDefault="00B65B58" w:rsidP="006A3954">
      <w:pPr>
        <w:jc w:val="both"/>
        <w:rPr>
          <w:rFonts w:ascii="Arial" w:hAnsi="Arial" w:cs="Arial"/>
          <w:sz w:val="24"/>
          <w:szCs w:val="24"/>
        </w:rPr>
      </w:pPr>
      <w:r w:rsidRPr="00182EC7">
        <w:rPr>
          <w:rFonts w:ascii="Arial" w:hAnsi="Arial" w:cs="Arial"/>
          <w:sz w:val="24"/>
          <w:szCs w:val="24"/>
        </w:rPr>
        <w:t xml:space="preserve">The council’s ambitious target to achieve carbon neutrality by 2030 is a guiding principle that underscores all aspects of event planning and delivery. This vision reflects a commitment not just to an environmentally sustainable future but also to the collective responsibility we all bear in mitigating climate change. </w:t>
      </w:r>
    </w:p>
    <w:p w14:paraId="08E34F9B" w14:textId="71AF4C34" w:rsidR="00B65B58" w:rsidRPr="00182EC7" w:rsidRDefault="00B65B58" w:rsidP="006A3954">
      <w:pPr>
        <w:jc w:val="both"/>
      </w:pPr>
      <w:r w:rsidRPr="17640458">
        <w:rPr>
          <w:rFonts w:ascii="Arial" w:hAnsi="Arial" w:cs="Arial"/>
          <w:sz w:val="24"/>
          <w:szCs w:val="24"/>
        </w:rPr>
        <w:t xml:space="preserve">Carbon neutrality and aligning our actions with this aim ensures that we contribute meaningfully to reducing carbon emissions, protecting our ecosystems, and creating a legacy of sustainability for future generations. By embedding this goal into our operations, we reinforce the importance of prioritising practices that reduce </w:t>
      </w:r>
      <w:proofErr w:type="gramStart"/>
      <w:r w:rsidRPr="17640458">
        <w:rPr>
          <w:rFonts w:ascii="Arial" w:hAnsi="Arial" w:cs="Arial"/>
          <w:sz w:val="24"/>
          <w:szCs w:val="24"/>
        </w:rPr>
        <w:t>waste,</w:t>
      </w:r>
      <w:r w:rsidR="63C0CA8E" w:rsidRPr="17640458">
        <w:rPr>
          <w:rFonts w:ascii="Arial" w:hAnsi="Arial" w:cs="Arial"/>
          <w:sz w:val="24"/>
          <w:szCs w:val="24"/>
        </w:rPr>
        <w:t xml:space="preserve"> </w:t>
      </w:r>
      <w:r w:rsidRPr="17640458">
        <w:rPr>
          <w:rFonts w:ascii="Arial" w:hAnsi="Arial" w:cs="Arial"/>
          <w:sz w:val="24"/>
          <w:szCs w:val="24"/>
        </w:rPr>
        <w:t>and</w:t>
      </w:r>
      <w:proofErr w:type="gramEnd"/>
      <w:r w:rsidRPr="17640458">
        <w:rPr>
          <w:rFonts w:ascii="Arial" w:hAnsi="Arial" w:cs="Arial"/>
          <w:sz w:val="24"/>
          <w:szCs w:val="24"/>
        </w:rPr>
        <w:t xml:space="preserve"> encourage active participation from the community in achieving a greener and more sustainable future.</w:t>
      </w:r>
    </w:p>
    <w:p w14:paraId="269A90DD" w14:textId="4B4B23C5" w:rsidR="00284C3F" w:rsidRPr="00182EC7" w:rsidRDefault="00A80BF2" w:rsidP="003043E4">
      <w:pPr>
        <w:pStyle w:val="Heading2"/>
        <w:rPr>
          <w:rFonts w:ascii="Arial" w:hAnsi="Arial" w:cs="Arial"/>
          <w:color w:val="auto"/>
          <w:sz w:val="24"/>
          <w:szCs w:val="24"/>
        </w:rPr>
      </w:pPr>
      <w:bookmarkStart w:id="10" w:name="_Toc201258677"/>
      <w:r w:rsidRPr="00182EC7">
        <w:rPr>
          <w:rFonts w:ascii="Arial" w:hAnsi="Arial" w:cs="Arial"/>
          <w:color w:val="auto"/>
          <w:sz w:val="24"/>
          <w:szCs w:val="24"/>
        </w:rPr>
        <w:t>a. Environmental Sustainability</w:t>
      </w:r>
      <w:bookmarkEnd w:id="10"/>
      <w:r w:rsidR="003043E4">
        <w:rPr>
          <w:rFonts w:ascii="Arial" w:hAnsi="Arial" w:cs="Arial"/>
          <w:color w:val="auto"/>
          <w:sz w:val="24"/>
          <w:szCs w:val="24"/>
        </w:rPr>
        <w:br/>
      </w:r>
    </w:p>
    <w:p w14:paraId="7669786D" w14:textId="77777777" w:rsidR="005A23DC" w:rsidRPr="00182EC7" w:rsidRDefault="00A80BF2" w:rsidP="006A3954">
      <w:pPr>
        <w:jc w:val="both"/>
        <w:rPr>
          <w:rFonts w:ascii="Arial" w:hAnsi="Arial" w:cs="Arial"/>
          <w:sz w:val="24"/>
          <w:szCs w:val="24"/>
        </w:rPr>
      </w:pPr>
      <w:r w:rsidRPr="00182EC7">
        <w:rPr>
          <w:rFonts w:ascii="Arial" w:hAnsi="Arial" w:cs="Arial"/>
          <w:sz w:val="24"/>
          <w:szCs w:val="24"/>
        </w:rPr>
        <w:t>Commit to a low-impact delivery model, including:</w:t>
      </w:r>
    </w:p>
    <w:p w14:paraId="282431A3" w14:textId="77777777" w:rsidR="005A23DC" w:rsidRPr="00182EC7" w:rsidRDefault="00A80BF2" w:rsidP="006A3954">
      <w:pPr>
        <w:pStyle w:val="ListParagraph"/>
        <w:numPr>
          <w:ilvl w:val="0"/>
          <w:numId w:val="18"/>
        </w:numPr>
        <w:jc w:val="both"/>
        <w:rPr>
          <w:rFonts w:ascii="Arial" w:hAnsi="Arial" w:cs="Arial"/>
          <w:sz w:val="24"/>
          <w:szCs w:val="24"/>
        </w:rPr>
      </w:pPr>
      <w:r w:rsidRPr="00182EC7">
        <w:rPr>
          <w:rFonts w:ascii="Arial" w:hAnsi="Arial" w:cs="Arial"/>
          <w:sz w:val="24"/>
          <w:szCs w:val="24"/>
        </w:rPr>
        <w:t>Use of reusable or compostable materials</w:t>
      </w:r>
    </w:p>
    <w:p w14:paraId="0FA7541F" w14:textId="5A609BDE" w:rsidR="005A23DC" w:rsidRPr="00182EC7" w:rsidRDefault="00A80BF2" w:rsidP="006A3954">
      <w:pPr>
        <w:pStyle w:val="ListParagraph"/>
        <w:numPr>
          <w:ilvl w:val="0"/>
          <w:numId w:val="18"/>
        </w:numPr>
        <w:jc w:val="both"/>
        <w:rPr>
          <w:rFonts w:ascii="Arial" w:hAnsi="Arial" w:cs="Arial"/>
          <w:sz w:val="24"/>
          <w:szCs w:val="24"/>
        </w:rPr>
      </w:pPr>
      <w:r w:rsidRPr="00182EC7">
        <w:rPr>
          <w:rFonts w:ascii="Arial" w:hAnsi="Arial" w:cs="Arial"/>
          <w:sz w:val="24"/>
          <w:szCs w:val="24"/>
        </w:rPr>
        <w:t>Plastic-free event</w:t>
      </w:r>
      <w:r w:rsidR="005A23DC" w:rsidRPr="00182EC7">
        <w:rPr>
          <w:rFonts w:ascii="Arial" w:hAnsi="Arial" w:cs="Arial"/>
          <w:sz w:val="24"/>
          <w:szCs w:val="24"/>
        </w:rPr>
        <w:t>.</w:t>
      </w:r>
    </w:p>
    <w:p w14:paraId="47A7597B" w14:textId="77777777" w:rsidR="005A23DC" w:rsidRPr="00182EC7" w:rsidRDefault="00A80BF2" w:rsidP="006A3954">
      <w:pPr>
        <w:pStyle w:val="ListParagraph"/>
        <w:numPr>
          <w:ilvl w:val="0"/>
          <w:numId w:val="18"/>
        </w:numPr>
        <w:jc w:val="both"/>
        <w:rPr>
          <w:rFonts w:ascii="Arial" w:hAnsi="Arial" w:cs="Arial"/>
          <w:sz w:val="24"/>
          <w:szCs w:val="24"/>
        </w:rPr>
      </w:pPr>
      <w:r w:rsidRPr="00182EC7">
        <w:rPr>
          <w:rFonts w:ascii="Arial" w:hAnsi="Arial" w:cs="Arial"/>
          <w:sz w:val="24"/>
          <w:szCs w:val="24"/>
        </w:rPr>
        <w:t>Provision of recycling and waste separation</w:t>
      </w:r>
    </w:p>
    <w:p w14:paraId="4D442DB9" w14:textId="77777777" w:rsidR="005A23DC" w:rsidRPr="00182EC7" w:rsidRDefault="00A80BF2" w:rsidP="006A3954">
      <w:pPr>
        <w:pStyle w:val="ListParagraph"/>
        <w:numPr>
          <w:ilvl w:val="0"/>
          <w:numId w:val="18"/>
        </w:numPr>
        <w:jc w:val="both"/>
        <w:rPr>
          <w:rFonts w:ascii="Arial" w:hAnsi="Arial" w:cs="Arial"/>
          <w:sz w:val="24"/>
          <w:szCs w:val="24"/>
        </w:rPr>
      </w:pPr>
      <w:r w:rsidRPr="00182EC7">
        <w:rPr>
          <w:rFonts w:ascii="Arial" w:hAnsi="Arial" w:cs="Arial"/>
          <w:sz w:val="24"/>
          <w:szCs w:val="24"/>
        </w:rPr>
        <w:t>Promotion of active travel and public transport</w:t>
      </w:r>
    </w:p>
    <w:p w14:paraId="67CD843A" w14:textId="77777777" w:rsidR="005A23DC" w:rsidRPr="00182EC7" w:rsidRDefault="00A80BF2" w:rsidP="006A3954">
      <w:pPr>
        <w:pStyle w:val="ListParagraph"/>
        <w:numPr>
          <w:ilvl w:val="0"/>
          <w:numId w:val="18"/>
        </w:numPr>
        <w:jc w:val="both"/>
        <w:rPr>
          <w:rFonts w:ascii="Arial" w:hAnsi="Arial" w:cs="Arial"/>
          <w:sz w:val="24"/>
          <w:szCs w:val="24"/>
        </w:rPr>
      </w:pPr>
      <w:r w:rsidRPr="00182EC7">
        <w:rPr>
          <w:rFonts w:ascii="Arial" w:hAnsi="Arial" w:cs="Arial"/>
          <w:sz w:val="24"/>
          <w:szCs w:val="24"/>
        </w:rPr>
        <w:t>Minimising energy use and emissions</w:t>
      </w:r>
    </w:p>
    <w:p w14:paraId="2BD3C453" w14:textId="77777777" w:rsidR="005A23DC" w:rsidRPr="00182EC7" w:rsidRDefault="005A23DC" w:rsidP="006A3954">
      <w:pPr>
        <w:pStyle w:val="ListParagraph"/>
        <w:numPr>
          <w:ilvl w:val="0"/>
          <w:numId w:val="18"/>
        </w:numPr>
        <w:jc w:val="both"/>
        <w:rPr>
          <w:rFonts w:ascii="Arial" w:hAnsi="Arial" w:cs="Arial"/>
          <w:sz w:val="24"/>
          <w:szCs w:val="24"/>
        </w:rPr>
      </w:pPr>
      <w:r w:rsidRPr="00182EC7">
        <w:rPr>
          <w:rFonts w:ascii="Arial" w:hAnsi="Arial" w:cs="Arial"/>
          <w:sz w:val="24"/>
          <w:szCs w:val="24"/>
        </w:rPr>
        <w:t>P</w:t>
      </w:r>
      <w:r w:rsidR="00A80BF2" w:rsidRPr="00182EC7">
        <w:rPr>
          <w:rFonts w:ascii="Arial" w:hAnsi="Arial" w:cs="Arial"/>
          <w:sz w:val="24"/>
          <w:szCs w:val="24"/>
        </w:rPr>
        <w:t>rovide an annual environmental impact report.</w:t>
      </w:r>
    </w:p>
    <w:p w14:paraId="12B43E89" w14:textId="761F6A6F" w:rsidR="00284C3F" w:rsidRPr="00182EC7" w:rsidRDefault="00A80BF2" w:rsidP="006A3954">
      <w:pPr>
        <w:pStyle w:val="ListParagraph"/>
        <w:numPr>
          <w:ilvl w:val="0"/>
          <w:numId w:val="18"/>
        </w:numPr>
        <w:jc w:val="both"/>
        <w:rPr>
          <w:rFonts w:ascii="Arial" w:hAnsi="Arial" w:cs="Arial"/>
          <w:sz w:val="24"/>
          <w:szCs w:val="24"/>
        </w:rPr>
      </w:pPr>
      <w:r w:rsidRPr="00182EC7">
        <w:rPr>
          <w:rFonts w:ascii="Arial" w:hAnsi="Arial" w:cs="Arial"/>
          <w:sz w:val="24"/>
          <w:szCs w:val="24"/>
        </w:rPr>
        <w:t>Work with local environmental groups to embed sustainability into all aspects of the event.</w:t>
      </w:r>
    </w:p>
    <w:p w14:paraId="27CFD5DA" w14:textId="77777777" w:rsidR="00284C3F" w:rsidRPr="00182EC7" w:rsidRDefault="00A80BF2" w:rsidP="006A3954">
      <w:pPr>
        <w:pStyle w:val="Heading2"/>
        <w:jc w:val="both"/>
        <w:rPr>
          <w:rFonts w:ascii="Arial" w:hAnsi="Arial" w:cs="Arial"/>
          <w:color w:val="auto"/>
          <w:sz w:val="24"/>
          <w:szCs w:val="24"/>
        </w:rPr>
      </w:pPr>
      <w:bookmarkStart w:id="11" w:name="_Toc201258678"/>
      <w:r w:rsidRPr="00182EC7">
        <w:rPr>
          <w:rFonts w:ascii="Arial" w:hAnsi="Arial" w:cs="Arial"/>
          <w:color w:val="auto"/>
          <w:sz w:val="24"/>
          <w:szCs w:val="24"/>
        </w:rPr>
        <w:t>b. Financial Sustainability</w:t>
      </w:r>
      <w:bookmarkEnd w:id="11"/>
    </w:p>
    <w:p w14:paraId="433AE7F3" w14:textId="1BAEE9CE" w:rsidR="005A23DC" w:rsidRPr="00182EC7" w:rsidRDefault="00B95252" w:rsidP="006A3954">
      <w:pPr>
        <w:jc w:val="both"/>
        <w:rPr>
          <w:rFonts w:ascii="Arial" w:hAnsi="Arial" w:cs="Arial"/>
          <w:sz w:val="24"/>
          <w:szCs w:val="24"/>
        </w:rPr>
      </w:pPr>
      <w:r w:rsidRPr="00182EC7">
        <w:rPr>
          <w:rFonts w:ascii="Arial" w:hAnsi="Arial" w:cs="Arial"/>
          <w:sz w:val="24"/>
          <w:szCs w:val="24"/>
        </w:rPr>
        <w:br/>
      </w:r>
      <w:r w:rsidR="00A80BF2" w:rsidRPr="00182EC7">
        <w:rPr>
          <w:rFonts w:ascii="Arial" w:hAnsi="Arial" w:cs="Arial"/>
          <w:sz w:val="24"/>
          <w:szCs w:val="24"/>
        </w:rPr>
        <w:t>Demonstrate ability to:</w:t>
      </w:r>
    </w:p>
    <w:p w14:paraId="59E64298" w14:textId="77777777" w:rsidR="005A23DC" w:rsidRPr="00182EC7" w:rsidRDefault="00A80BF2" w:rsidP="006A3954">
      <w:pPr>
        <w:pStyle w:val="ListParagraph"/>
        <w:numPr>
          <w:ilvl w:val="0"/>
          <w:numId w:val="19"/>
        </w:numPr>
        <w:jc w:val="both"/>
        <w:rPr>
          <w:rFonts w:ascii="Arial" w:hAnsi="Arial" w:cs="Arial"/>
          <w:sz w:val="24"/>
          <w:szCs w:val="24"/>
        </w:rPr>
      </w:pPr>
      <w:r w:rsidRPr="00182EC7">
        <w:rPr>
          <w:rFonts w:ascii="Arial" w:hAnsi="Arial" w:cs="Arial"/>
          <w:sz w:val="24"/>
          <w:szCs w:val="24"/>
        </w:rPr>
        <w:lastRenderedPageBreak/>
        <w:t>Secure match funding and sponsorships</w:t>
      </w:r>
    </w:p>
    <w:p w14:paraId="45EB8A7A" w14:textId="77777777" w:rsidR="005A23DC" w:rsidRPr="00182EC7" w:rsidRDefault="00A80BF2" w:rsidP="006A3954">
      <w:pPr>
        <w:pStyle w:val="ListParagraph"/>
        <w:numPr>
          <w:ilvl w:val="0"/>
          <w:numId w:val="19"/>
        </w:numPr>
        <w:jc w:val="both"/>
        <w:rPr>
          <w:rFonts w:ascii="Arial" w:hAnsi="Arial" w:cs="Arial"/>
          <w:sz w:val="24"/>
          <w:szCs w:val="24"/>
        </w:rPr>
      </w:pPr>
      <w:r w:rsidRPr="00182EC7">
        <w:rPr>
          <w:rFonts w:ascii="Arial" w:hAnsi="Arial" w:cs="Arial"/>
          <w:sz w:val="24"/>
          <w:szCs w:val="24"/>
        </w:rPr>
        <w:t>Deliver value for money</w:t>
      </w:r>
    </w:p>
    <w:p w14:paraId="41F5CCDC" w14:textId="77777777" w:rsidR="005A23DC" w:rsidRPr="00182EC7" w:rsidRDefault="00A80BF2" w:rsidP="006A3954">
      <w:pPr>
        <w:pStyle w:val="ListParagraph"/>
        <w:numPr>
          <w:ilvl w:val="0"/>
          <w:numId w:val="19"/>
        </w:numPr>
        <w:jc w:val="both"/>
        <w:rPr>
          <w:rFonts w:ascii="Arial" w:hAnsi="Arial" w:cs="Arial"/>
          <w:sz w:val="24"/>
          <w:szCs w:val="24"/>
        </w:rPr>
      </w:pPr>
      <w:r w:rsidRPr="00182EC7">
        <w:rPr>
          <w:rFonts w:ascii="Arial" w:hAnsi="Arial" w:cs="Arial"/>
          <w:sz w:val="24"/>
          <w:szCs w:val="24"/>
        </w:rPr>
        <w:t>Maintain transparent financial records</w:t>
      </w:r>
    </w:p>
    <w:p w14:paraId="6EF003CC" w14:textId="77777777" w:rsidR="005A23DC" w:rsidRPr="00182EC7" w:rsidRDefault="005A23DC" w:rsidP="006A3954">
      <w:pPr>
        <w:pStyle w:val="ListParagraph"/>
        <w:numPr>
          <w:ilvl w:val="0"/>
          <w:numId w:val="19"/>
        </w:numPr>
        <w:jc w:val="both"/>
        <w:rPr>
          <w:rFonts w:ascii="Arial" w:hAnsi="Arial" w:cs="Arial"/>
          <w:sz w:val="24"/>
          <w:szCs w:val="24"/>
        </w:rPr>
      </w:pPr>
      <w:r w:rsidRPr="00182EC7">
        <w:rPr>
          <w:rFonts w:ascii="Arial" w:hAnsi="Arial" w:cs="Arial"/>
          <w:sz w:val="24"/>
          <w:szCs w:val="24"/>
        </w:rPr>
        <w:t>S</w:t>
      </w:r>
      <w:r w:rsidR="00A80BF2" w:rsidRPr="00182EC7">
        <w:rPr>
          <w:rFonts w:ascii="Arial" w:hAnsi="Arial" w:cs="Arial"/>
          <w:sz w:val="24"/>
          <w:szCs w:val="24"/>
        </w:rPr>
        <w:t>ubmit an annual financial report including income, expenditure, and funding leveraged.</w:t>
      </w:r>
    </w:p>
    <w:p w14:paraId="6B4BDBFE" w14:textId="08CE9589" w:rsidR="00284C3F" w:rsidRPr="00182EC7" w:rsidRDefault="00A80BF2" w:rsidP="006A3954">
      <w:pPr>
        <w:pStyle w:val="ListParagraph"/>
        <w:numPr>
          <w:ilvl w:val="0"/>
          <w:numId w:val="19"/>
        </w:numPr>
        <w:jc w:val="both"/>
        <w:rPr>
          <w:rFonts w:ascii="Arial" w:hAnsi="Arial" w:cs="Arial"/>
          <w:sz w:val="24"/>
          <w:szCs w:val="24"/>
        </w:rPr>
      </w:pPr>
      <w:r w:rsidRPr="00182EC7">
        <w:rPr>
          <w:rFonts w:ascii="Arial" w:hAnsi="Arial" w:cs="Arial"/>
          <w:sz w:val="24"/>
          <w:szCs w:val="24"/>
        </w:rPr>
        <w:t>Build partnerships that support long-term financial resilience of the event.</w:t>
      </w:r>
    </w:p>
    <w:p w14:paraId="58438A45" w14:textId="204C5609" w:rsidR="00284C3F" w:rsidRPr="00182EC7" w:rsidRDefault="00A80BF2" w:rsidP="006A3954">
      <w:pPr>
        <w:pStyle w:val="Heading1"/>
        <w:rPr>
          <w:rFonts w:ascii="Arial" w:hAnsi="Arial" w:cs="Arial"/>
          <w:color w:val="auto"/>
          <w:sz w:val="24"/>
          <w:szCs w:val="24"/>
        </w:rPr>
      </w:pPr>
      <w:bookmarkStart w:id="12" w:name="_Toc201258679"/>
      <w:r w:rsidRPr="00182EC7">
        <w:rPr>
          <w:rFonts w:ascii="Arial" w:hAnsi="Arial" w:cs="Arial"/>
          <w:color w:val="auto"/>
          <w:sz w:val="24"/>
          <w:szCs w:val="24"/>
        </w:rPr>
        <w:t>5. Monitoring and Evaluation</w:t>
      </w:r>
      <w:bookmarkEnd w:id="12"/>
      <w:r w:rsidR="00B95252" w:rsidRPr="00182EC7">
        <w:rPr>
          <w:rFonts w:ascii="Arial" w:hAnsi="Arial" w:cs="Arial"/>
          <w:color w:val="auto"/>
          <w:sz w:val="24"/>
          <w:szCs w:val="24"/>
        </w:rPr>
        <w:br/>
      </w:r>
    </w:p>
    <w:p w14:paraId="7D2D396B" w14:textId="7BE9A4FD" w:rsidR="005A23DC" w:rsidRPr="00182EC7" w:rsidRDefault="005A23DC" w:rsidP="006A3954">
      <w:pPr>
        <w:jc w:val="both"/>
        <w:rPr>
          <w:rFonts w:ascii="Arial" w:hAnsi="Arial" w:cs="Arial"/>
          <w:sz w:val="24"/>
          <w:szCs w:val="24"/>
        </w:rPr>
      </w:pPr>
      <w:r w:rsidRPr="00182EC7">
        <w:rPr>
          <w:rFonts w:ascii="Arial" w:hAnsi="Arial" w:cs="Arial"/>
          <w:sz w:val="24"/>
          <w:szCs w:val="24"/>
        </w:rPr>
        <w:t>Monitoring and evaluation play a crucial role in ensuring the continuous improvement and sustainability of the event. By collecting and analy</w:t>
      </w:r>
      <w:r w:rsidR="00B95252" w:rsidRPr="00182EC7">
        <w:rPr>
          <w:rFonts w:ascii="Arial" w:hAnsi="Arial" w:cs="Arial"/>
          <w:sz w:val="24"/>
          <w:szCs w:val="24"/>
        </w:rPr>
        <w:t>s</w:t>
      </w:r>
      <w:r w:rsidRPr="00182EC7">
        <w:rPr>
          <w:rFonts w:ascii="Arial" w:hAnsi="Arial" w:cs="Arial"/>
          <w:sz w:val="24"/>
          <w:szCs w:val="24"/>
        </w:rPr>
        <w:t>ing data on attendance, audience demographics, stakeholder feedback, and social value measures, organi</w:t>
      </w:r>
      <w:r w:rsidR="00B95252" w:rsidRPr="00182EC7">
        <w:rPr>
          <w:rFonts w:ascii="Arial" w:hAnsi="Arial" w:cs="Arial"/>
          <w:sz w:val="24"/>
          <w:szCs w:val="24"/>
        </w:rPr>
        <w:t>s</w:t>
      </w:r>
      <w:r w:rsidRPr="00182EC7">
        <w:rPr>
          <w:rFonts w:ascii="Arial" w:hAnsi="Arial" w:cs="Arial"/>
          <w:sz w:val="24"/>
          <w:szCs w:val="24"/>
        </w:rPr>
        <w:t>ers can identify strengths, address areas for growth, and demonstrate the event's tangible impact on the community. Comprehensive evaluation not only fosters transparency and accountability but also significantly enhances the event’s credibility in grant funding applications. Measuring social value—such as the event’s contributions to cultural enrichment, community cohesion, and economic benefits—provides compelling evidence to stakeholders and sponsors, showcasing the broader benefits and long-term value of supporting the initiative.</w:t>
      </w:r>
    </w:p>
    <w:p w14:paraId="43631A00" w14:textId="77777777" w:rsidR="005A23DC" w:rsidRPr="00182EC7" w:rsidRDefault="00A80BF2" w:rsidP="006A3954">
      <w:pPr>
        <w:jc w:val="both"/>
        <w:rPr>
          <w:rFonts w:ascii="Arial" w:hAnsi="Arial" w:cs="Arial"/>
          <w:sz w:val="24"/>
          <w:szCs w:val="24"/>
        </w:rPr>
      </w:pPr>
      <w:r w:rsidRPr="00182EC7">
        <w:rPr>
          <w:rFonts w:ascii="Arial" w:hAnsi="Arial" w:cs="Arial"/>
          <w:sz w:val="24"/>
          <w:szCs w:val="24"/>
        </w:rPr>
        <w:t>Collect and report on:</w:t>
      </w:r>
    </w:p>
    <w:p w14:paraId="7DEBCBC6" w14:textId="77777777" w:rsidR="005A23DC" w:rsidRPr="00182EC7" w:rsidRDefault="00A80BF2" w:rsidP="006A3954">
      <w:pPr>
        <w:pStyle w:val="ListParagraph"/>
        <w:numPr>
          <w:ilvl w:val="0"/>
          <w:numId w:val="20"/>
        </w:numPr>
        <w:jc w:val="both"/>
        <w:rPr>
          <w:rFonts w:ascii="Arial" w:hAnsi="Arial" w:cs="Arial"/>
          <w:sz w:val="24"/>
          <w:szCs w:val="24"/>
        </w:rPr>
      </w:pPr>
      <w:r w:rsidRPr="00182EC7">
        <w:rPr>
          <w:rFonts w:ascii="Arial" w:hAnsi="Arial" w:cs="Arial"/>
          <w:sz w:val="24"/>
          <w:szCs w:val="24"/>
        </w:rPr>
        <w:t>Attendance figures and demographics</w:t>
      </w:r>
    </w:p>
    <w:p w14:paraId="011EB503" w14:textId="77777777" w:rsidR="005A23DC" w:rsidRPr="00182EC7" w:rsidRDefault="00A80BF2" w:rsidP="006A3954">
      <w:pPr>
        <w:pStyle w:val="ListParagraph"/>
        <w:numPr>
          <w:ilvl w:val="0"/>
          <w:numId w:val="20"/>
        </w:numPr>
        <w:jc w:val="both"/>
        <w:rPr>
          <w:rFonts w:ascii="Arial" w:hAnsi="Arial" w:cs="Arial"/>
          <w:sz w:val="24"/>
          <w:szCs w:val="24"/>
        </w:rPr>
      </w:pPr>
      <w:r w:rsidRPr="00182EC7">
        <w:rPr>
          <w:rFonts w:ascii="Arial" w:hAnsi="Arial" w:cs="Arial"/>
          <w:sz w:val="24"/>
          <w:szCs w:val="24"/>
        </w:rPr>
        <w:t>Stakeholder and audience feedback</w:t>
      </w:r>
    </w:p>
    <w:p w14:paraId="28630F6F" w14:textId="77777777" w:rsidR="005A23DC" w:rsidRPr="00182EC7" w:rsidRDefault="00A80BF2" w:rsidP="006A3954">
      <w:pPr>
        <w:pStyle w:val="ListParagraph"/>
        <w:numPr>
          <w:ilvl w:val="0"/>
          <w:numId w:val="20"/>
        </w:numPr>
        <w:jc w:val="both"/>
        <w:rPr>
          <w:rFonts w:ascii="Arial" w:hAnsi="Arial" w:cs="Arial"/>
          <w:sz w:val="24"/>
          <w:szCs w:val="24"/>
        </w:rPr>
      </w:pPr>
      <w:r w:rsidRPr="00182EC7">
        <w:rPr>
          <w:rFonts w:ascii="Arial" w:hAnsi="Arial" w:cs="Arial"/>
          <w:sz w:val="24"/>
          <w:szCs w:val="24"/>
        </w:rPr>
        <w:t>Media and social media reach</w:t>
      </w:r>
    </w:p>
    <w:p w14:paraId="66EEFF7F" w14:textId="77777777" w:rsidR="005A23DC" w:rsidRPr="00182EC7" w:rsidRDefault="00A80BF2" w:rsidP="006A3954">
      <w:pPr>
        <w:pStyle w:val="ListParagraph"/>
        <w:numPr>
          <w:ilvl w:val="0"/>
          <w:numId w:val="20"/>
        </w:numPr>
        <w:jc w:val="both"/>
        <w:rPr>
          <w:rFonts w:ascii="Arial" w:hAnsi="Arial" w:cs="Arial"/>
          <w:sz w:val="24"/>
          <w:szCs w:val="24"/>
        </w:rPr>
      </w:pPr>
      <w:r w:rsidRPr="00182EC7">
        <w:rPr>
          <w:rFonts w:ascii="Arial" w:hAnsi="Arial" w:cs="Arial"/>
          <w:sz w:val="24"/>
          <w:szCs w:val="24"/>
        </w:rPr>
        <w:t>Environmental and financial performance</w:t>
      </w:r>
    </w:p>
    <w:p w14:paraId="6988C700" w14:textId="77777777" w:rsidR="005A23DC" w:rsidRPr="00182EC7" w:rsidRDefault="00A80BF2" w:rsidP="006A3954">
      <w:pPr>
        <w:pStyle w:val="ListParagraph"/>
        <w:numPr>
          <w:ilvl w:val="0"/>
          <w:numId w:val="20"/>
        </w:numPr>
        <w:jc w:val="both"/>
        <w:rPr>
          <w:rFonts w:ascii="Arial" w:hAnsi="Arial" w:cs="Arial"/>
          <w:sz w:val="24"/>
          <w:szCs w:val="24"/>
        </w:rPr>
      </w:pPr>
      <w:r w:rsidRPr="00182EC7">
        <w:rPr>
          <w:rFonts w:ascii="Arial" w:hAnsi="Arial" w:cs="Arial"/>
          <w:sz w:val="24"/>
          <w:szCs w:val="24"/>
        </w:rPr>
        <w:t>Level and diversity of cultural organisation participation</w:t>
      </w:r>
    </w:p>
    <w:p w14:paraId="321C6198" w14:textId="10F97D83" w:rsidR="00284C3F" w:rsidRPr="00182EC7" w:rsidRDefault="005A23DC" w:rsidP="006A3954">
      <w:pPr>
        <w:pStyle w:val="ListParagraph"/>
        <w:numPr>
          <w:ilvl w:val="0"/>
          <w:numId w:val="20"/>
        </w:numPr>
        <w:jc w:val="both"/>
        <w:rPr>
          <w:rFonts w:ascii="Arial" w:hAnsi="Arial" w:cs="Arial"/>
          <w:sz w:val="24"/>
          <w:szCs w:val="24"/>
        </w:rPr>
      </w:pPr>
      <w:r w:rsidRPr="00182EC7">
        <w:rPr>
          <w:rFonts w:ascii="Arial" w:hAnsi="Arial" w:cs="Arial"/>
          <w:sz w:val="24"/>
          <w:szCs w:val="24"/>
        </w:rPr>
        <w:t>P</w:t>
      </w:r>
      <w:r w:rsidR="00A80BF2" w:rsidRPr="00182EC7">
        <w:rPr>
          <w:rFonts w:ascii="Arial" w:hAnsi="Arial" w:cs="Arial"/>
          <w:sz w:val="24"/>
          <w:szCs w:val="24"/>
        </w:rPr>
        <w:t>rovide a post-event evaluation report each year with recommendations for improvement</w:t>
      </w:r>
      <w:r w:rsidR="0054660D">
        <w:rPr>
          <w:rFonts w:ascii="Arial" w:hAnsi="Arial" w:cs="Arial"/>
          <w:sz w:val="24"/>
          <w:szCs w:val="24"/>
        </w:rPr>
        <w:t xml:space="preserve"> and social impact and lasting relationships.</w:t>
      </w:r>
    </w:p>
    <w:p w14:paraId="05D8C69C" w14:textId="77777777" w:rsidR="00284C3F" w:rsidRPr="00182EC7" w:rsidRDefault="00A80BF2" w:rsidP="006A3954">
      <w:pPr>
        <w:pStyle w:val="Heading1"/>
        <w:jc w:val="both"/>
        <w:rPr>
          <w:rFonts w:ascii="Arial" w:hAnsi="Arial" w:cs="Arial"/>
          <w:color w:val="auto"/>
          <w:sz w:val="24"/>
          <w:szCs w:val="24"/>
        </w:rPr>
      </w:pPr>
      <w:bookmarkStart w:id="13" w:name="_Toc201258680"/>
      <w:r w:rsidRPr="00182EC7">
        <w:rPr>
          <w:rFonts w:ascii="Arial" w:hAnsi="Arial" w:cs="Arial"/>
          <w:color w:val="auto"/>
          <w:sz w:val="24"/>
          <w:szCs w:val="24"/>
        </w:rPr>
        <w:t>6. Governance and Collaboration</w:t>
      </w:r>
      <w:bookmarkEnd w:id="13"/>
    </w:p>
    <w:p w14:paraId="53E1BB6D" w14:textId="72BA1D69" w:rsidR="003451D4" w:rsidRPr="00182EC7" w:rsidRDefault="00B65B58" w:rsidP="006A3954">
      <w:pPr>
        <w:jc w:val="both"/>
        <w:rPr>
          <w:rFonts w:ascii="Arial" w:hAnsi="Arial" w:cs="Arial"/>
          <w:sz w:val="24"/>
          <w:szCs w:val="24"/>
        </w:rPr>
      </w:pPr>
      <w:r w:rsidRPr="00182EC7">
        <w:rPr>
          <w:rFonts w:ascii="Arial" w:hAnsi="Arial" w:cs="Arial"/>
          <w:sz w:val="24"/>
          <w:szCs w:val="24"/>
        </w:rPr>
        <w:br/>
      </w:r>
      <w:r w:rsidR="003451D4" w:rsidRPr="00182EC7">
        <w:rPr>
          <w:rFonts w:ascii="Arial" w:hAnsi="Arial" w:cs="Arial"/>
          <w:sz w:val="24"/>
          <w:szCs w:val="24"/>
        </w:rPr>
        <w:t xml:space="preserve">Councillors play a pivotal role in shaping the event’s vision and direction, ensuring it aligns with the town’s broader objectives and community needs. Their involvement in decision-making is paramount for transparency and accountability while providing valuable insight and clarity on strategic matters. By integrating councillors into the planning process, organiser(s) can benefit from their local knowledge, advocacy, and governance expertise, creating a cohesive approach that reflects the community's values and aspirations. Regular consultations with </w:t>
      </w:r>
      <w:r w:rsidR="003451D4" w:rsidRPr="00182EC7">
        <w:rPr>
          <w:rFonts w:ascii="Arial" w:hAnsi="Arial" w:cs="Arial"/>
          <w:sz w:val="24"/>
          <w:szCs w:val="24"/>
        </w:rPr>
        <w:lastRenderedPageBreak/>
        <w:t>councillors will ensure the event evolves as a collaborative effort, building trust and reinforcing its significance within the town's cultural framework</w:t>
      </w:r>
      <w:r w:rsidRPr="00182EC7">
        <w:rPr>
          <w:rFonts w:ascii="Arial" w:hAnsi="Arial" w:cs="Arial"/>
          <w:sz w:val="24"/>
          <w:szCs w:val="24"/>
        </w:rPr>
        <w:t xml:space="preserve"> and aligned to the Council’s Arts and Culture Strategy and Corporate Plan, which can be viewed here. </w:t>
      </w:r>
    </w:p>
    <w:p w14:paraId="510F3ED5" w14:textId="6AFDB44D" w:rsidR="00A75ABC" w:rsidRPr="00182EC7" w:rsidRDefault="00B65B58" w:rsidP="354F89E0">
      <w:pPr>
        <w:rPr>
          <w:rFonts w:ascii="Arial" w:hAnsi="Arial" w:cs="Arial"/>
          <w:sz w:val="24"/>
          <w:szCs w:val="24"/>
        </w:rPr>
      </w:pPr>
      <w:r w:rsidRPr="354F89E0">
        <w:rPr>
          <w:rFonts w:ascii="Arial" w:hAnsi="Arial" w:cs="Arial"/>
          <w:sz w:val="24"/>
          <w:szCs w:val="24"/>
        </w:rPr>
        <w:t xml:space="preserve">Arts and Culture Strategy:  </w:t>
      </w:r>
      <w:hyperlink r:id="rId13">
        <w:r w:rsidRPr="354F89E0">
          <w:rPr>
            <w:rStyle w:val="Hyperlink"/>
            <w:rFonts w:ascii="Arial" w:hAnsi="Arial" w:cs="Arial"/>
            <w:sz w:val="24"/>
            <w:szCs w:val="24"/>
          </w:rPr>
          <w:t>https://www.taunton-tc.gov.uk/wp-content/uploads/sites/98/2024/04/Taunton-Town-Council-Arts-and-Culture-Strategy-final.pdf</w:t>
        </w:r>
      </w:hyperlink>
      <w:r w:rsidRPr="354F89E0">
        <w:rPr>
          <w:rFonts w:ascii="Arial" w:hAnsi="Arial" w:cs="Arial"/>
          <w:sz w:val="24"/>
          <w:szCs w:val="24"/>
        </w:rPr>
        <w:t xml:space="preserve"> </w:t>
      </w:r>
      <w:r w:rsidR="006A3954" w:rsidRPr="354F89E0">
        <w:rPr>
          <w:rFonts w:ascii="Arial" w:hAnsi="Arial" w:cs="Arial"/>
          <w:sz w:val="24"/>
          <w:szCs w:val="24"/>
        </w:rPr>
        <w:t xml:space="preserve"> </w:t>
      </w:r>
    </w:p>
    <w:p w14:paraId="346D5231" w14:textId="50EA4BAB" w:rsidR="00B65B58" w:rsidRPr="00182EC7" w:rsidRDefault="00B65B58" w:rsidP="00A75ABC">
      <w:pPr>
        <w:rPr>
          <w:rFonts w:ascii="Arial" w:hAnsi="Arial" w:cs="Arial"/>
          <w:sz w:val="24"/>
          <w:szCs w:val="24"/>
        </w:rPr>
      </w:pPr>
      <w:r w:rsidRPr="00182EC7">
        <w:rPr>
          <w:rFonts w:ascii="Arial" w:hAnsi="Arial" w:cs="Arial"/>
          <w:sz w:val="24"/>
          <w:szCs w:val="24"/>
        </w:rPr>
        <w:t xml:space="preserve">Council’s Corporate Plan: </w:t>
      </w:r>
      <w:hyperlink r:id="rId14" w:history="1">
        <w:r w:rsidRPr="00182EC7">
          <w:rPr>
            <w:rStyle w:val="Hyperlink"/>
            <w:rFonts w:ascii="Arial" w:hAnsi="Arial" w:cs="Arial"/>
            <w:sz w:val="24"/>
            <w:szCs w:val="24"/>
          </w:rPr>
          <w:t>https://www.taunton-tc.gov.uk/wp-content/uploads/sites/98/2024/08/Taunton-Town-Council-Corporate-Plan-24-28.pdf</w:t>
        </w:r>
      </w:hyperlink>
      <w:r w:rsidRPr="00182EC7">
        <w:rPr>
          <w:rFonts w:ascii="Arial" w:hAnsi="Arial" w:cs="Arial"/>
          <w:sz w:val="24"/>
          <w:szCs w:val="24"/>
        </w:rPr>
        <w:t xml:space="preserve"> </w:t>
      </w:r>
    </w:p>
    <w:p w14:paraId="7AFF5864" w14:textId="52700D88" w:rsidR="00B65B58" w:rsidRPr="00182EC7" w:rsidRDefault="00A80BF2" w:rsidP="006A3954">
      <w:pPr>
        <w:jc w:val="both"/>
        <w:rPr>
          <w:rFonts w:ascii="Arial" w:hAnsi="Arial" w:cs="Arial"/>
          <w:sz w:val="24"/>
          <w:szCs w:val="24"/>
        </w:rPr>
      </w:pPr>
      <w:r w:rsidRPr="00182EC7">
        <w:rPr>
          <w:rFonts w:ascii="Arial" w:hAnsi="Arial" w:cs="Arial"/>
          <w:sz w:val="24"/>
          <w:szCs w:val="24"/>
        </w:rPr>
        <w:t>Work closely with the Council’s Events Officer and relevant departments.</w:t>
      </w:r>
      <w:r w:rsidRPr="00182EC7">
        <w:rPr>
          <w:rFonts w:ascii="Arial" w:hAnsi="Arial" w:cs="Arial"/>
          <w:sz w:val="24"/>
          <w:szCs w:val="24"/>
        </w:rPr>
        <w:br/>
        <w:t>Attend Safety Advisory Group (SAG) meetings and planning sessions.</w:t>
      </w:r>
      <w:r w:rsidRPr="00182EC7">
        <w:rPr>
          <w:rFonts w:ascii="Arial" w:hAnsi="Arial" w:cs="Arial"/>
          <w:sz w:val="24"/>
          <w:szCs w:val="24"/>
        </w:rPr>
        <w:br/>
        <w:t>Collaborate with other town centre events to ensure coordination and avoid clashes.</w:t>
      </w:r>
      <w:r w:rsidR="00B65B58" w:rsidRPr="00182EC7">
        <w:rPr>
          <w:rFonts w:ascii="Arial" w:hAnsi="Arial" w:cs="Arial"/>
          <w:sz w:val="24"/>
          <w:szCs w:val="24"/>
        </w:rPr>
        <w:br/>
        <w:t xml:space="preserve">If you have any questions or wish to discuss the opportunity further, please contact the Community Lead on </w:t>
      </w:r>
      <w:hyperlink r:id="rId15" w:history="1">
        <w:r w:rsidR="00B65B58" w:rsidRPr="00182EC7">
          <w:rPr>
            <w:rStyle w:val="Hyperlink"/>
            <w:rFonts w:ascii="Arial" w:hAnsi="Arial" w:cs="Arial"/>
            <w:sz w:val="24"/>
            <w:szCs w:val="24"/>
          </w:rPr>
          <w:t>community@taunton-tc.gov.uk</w:t>
        </w:r>
      </w:hyperlink>
      <w:r w:rsidR="00B65B58" w:rsidRPr="00182EC7">
        <w:rPr>
          <w:rFonts w:ascii="Arial" w:hAnsi="Arial" w:cs="Arial"/>
          <w:sz w:val="24"/>
          <w:szCs w:val="24"/>
        </w:rPr>
        <w:t xml:space="preserve"> or the Community and Place Manager on </w:t>
      </w:r>
      <w:hyperlink r:id="rId16" w:history="1">
        <w:r w:rsidR="00B65B58" w:rsidRPr="00182EC7">
          <w:rPr>
            <w:rStyle w:val="Hyperlink"/>
            <w:rFonts w:ascii="Arial" w:hAnsi="Arial" w:cs="Arial"/>
            <w:sz w:val="24"/>
            <w:szCs w:val="24"/>
          </w:rPr>
          <w:t>place@taunton-tc.gov.uk</w:t>
        </w:r>
      </w:hyperlink>
      <w:r w:rsidR="00B65B58" w:rsidRPr="00182EC7">
        <w:rPr>
          <w:rFonts w:ascii="Arial" w:hAnsi="Arial" w:cs="Arial"/>
          <w:sz w:val="24"/>
          <w:szCs w:val="24"/>
        </w:rPr>
        <w:t xml:space="preserve"> </w:t>
      </w:r>
    </w:p>
    <w:p w14:paraId="3151AC70" w14:textId="77777777" w:rsidR="00B808A3" w:rsidRPr="00182EC7" w:rsidRDefault="00B808A3" w:rsidP="006A3954">
      <w:pPr>
        <w:pStyle w:val="Heading1"/>
        <w:jc w:val="both"/>
        <w:rPr>
          <w:rFonts w:ascii="Arial" w:hAnsi="Arial" w:cs="Arial"/>
          <w:color w:val="auto"/>
          <w:sz w:val="24"/>
          <w:szCs w:val="24"/>
        </w:rPr>
      </w:pPr>
      <w:bookmarkStart w:id="14" w:name="_Toc201258681"/>
      <w:r w:rsidRPr="00182EC7">
        <w:rPr>
          <w:rFonts w:ascii="Arial" w:hAnsi="Arial" w:cs="Arial"/>
          <w:color w:val="auto"/>
          <w:sz w:val="24"/>
          <w:szCs w:val="24"/>
        </w:rPr>
        <w:t>Evaluation Matrix: Taunton Together Tender Specification (2026–2030)</w:t>
      </w:r>
      <w:bookmarkEnd w:id="14"/>
    </w:p>
    <w:p w14:paraId="2B4120C4" w14:textId="174BB7AA" w:rsidR="00B808A3" w:rsidRPr="00A80BF2" w:rsidRDefault="00B808A3" w:rsidP="53A21F4B">
      <w:pPr>
        <w:rPr>
          <w:rFonts w:ascii="Arial" w:hAnsi="Arial" w:cs="Arial"/>
          <w:i/>
          <w:iCs/>
          <w:color w:val="FFFFFF" w:themeColor="background1"/>
          <w:sz w:val="24"/>
          <w:szCs w:val="24"/>
        </w:rPr>
      </w:pPr>
      <w:r>
        <w:br/>
      </w:r>
      <w:r w:rsidRPr="53A21F4B">
        <w:rPr>
          <w:rFonts w:ascii="Arial" w:hAnsi="Arial" w:cs="Arial"/>
          <w:sz w:val="24"/>
          <w:szCs w:val="24"/>
        </w:rPr>
        <w:t xml:space="preserve">This evaluation matrix is to assess the proposals for the management and delivery of Taunton Together from 2026 to 2030. </w:t>
      </w:r>
      <w:r>
        <w:br/>
      </w:r>
      <w:r>
        <w:br/>
      </w:r>
      <w:r w:rsidRPr="53A21F4B">
        <w:rPr>
          <w:rFonts w:ascii="Arial" w:hAnsi="Arial" w:cs="Arial"/>
          <w:sz w:val="24"/>
          <w:szCs w:val="24"/>
        </w:rPr>
        <w:t xml:space="preserve">Each criterion is aligned with the key deliverables and requirements outlined in the tender specification. </w:t>
      </w:r>
      <w:r>
        <w:br/>
      </w:r>
      <w:r>
        <w:br/>
      </w:r>
      <w:r w:rsidRPr="53A21F4B">
        <w:rPr>
          <w:rFonts w:ascii="Arial" w:hAnsi="Arial" w:cs="Arial"/>
          <w:sz w:val="24"/>
          <w:szCs w:val="24"/>
        </w:rPr>
        <w:t xml:space="preserve">Evaluators will use the scoring guidance to rate each proposal on a scale of 1 to </w:t>
      </w:r>
      <w:r w:rsidR="0B38921E" w:rsidRPr="53A21F4B">
        <w:rPr>
          <w:rFonts w:ascii="Arial" w:hAnsi="Arial" w:cs="Arial"/>
          <w:sz w:val="24"/>
          <w:szCs w:val="24"/>
        </w:rPr>
        <w:t>10</w:t>
      </w:r>
      <w:r w:rsidRPr="53A21F4B">
        <w:rPr>
          <w:rFonts w:ascii="Arial" w:hAnsi="Arial" w:cs="Arial"/>
          <w:sz w:val="24"/>
          <w:szCs w:val="24"/>
        </w:rPr>
        <w:t xml:space="preserve">, with </w:t>
      </w:r>
      <w:r w:rsidR="095A704A" w:rsidRPr="53A21F4B">
        <w:rPr>
          <w:rFonts w:ascii="Arial" w:hAnsi="Arial" w:cs="Arial"/>
          <w:sz w:val="24"/>
          <w:szCs w:val="24"/>
        </w:rPr>
        <w:t>10</w:t>
      </w:r>
      <w:r w:rsidRPr="53A21F4B">
        <w:rPr>
          <w:rFonts w:ascii="Arial" w:hAnsi="Arial" w:cs="Arial"/>
          <w:sz w:val="24"/>
          <w:szCs w:val="24"/>
        </w:rPr>
        <w:t xml:space="preserve"> being the highest score. The weighting column indicates the importance of each criterion in the overall </w:t>
      </w:r>
      <w:r w:rsidR="4042B0BD" w:rsidRPr="53A21F4B">
        <w:rPr>
          <w:rFonts w:ascii="Arial" w:hAnsi="Arial" w:cs="Arial"/>
          <w:sz w:val="24"/>
          <w:szCs w:val="24"/>
        </w:rPr>
        <w:t xml:space="preserve">evaluation. </w:t>
      </w:r>
      <w:r w:rsidR="002976B5" w:rsidRPr="53A21F4B">
        <w:rPr>
          <w:rFonts w:ascii="Arial" w:hAnsi="Arial" w:cs="Arial"/>
          <w:sz w:val="24"/>
          <w:szCs w:val="24"/>
        </w:rPr>
        <w:t xml:space="preserve"> </w:t>
      </w:r>
      <w:r w:rsidR="2E62E1D4" w:rsidRPr="53A21F4B">
        <w:rPr>
          <w:rFonts w:ascii="Arial" w:hAnsi="Arial" w:cs="Arial"/>
          <w:sz w:val="24"/>
          <w:szCs w:val="24"/>
        </w:rPr>
        <w:t xml:space="preserve">Move </w:t>
      </w:r>
      <w:r w:rsidR="002976B5" w:rsidRPr="53A21F4B">
        <w:rPr>
          <w:rFonts w:ascii="Arial" w:hAnsi="Arial" w:cs="Arial"/>
          <w:sz w:val="24"/>
          <w:szCs w:val="24"/>
        </w:rPr>
        <w:t xml:space="preserve">to next page… </w:t>
      </w:r>
    </w:p>
    <w:p w14:paraId="074BDA39" w14:textId="77777777" w:rsidR="00B808A3" w:rsidRPr="00182EC7" w:rsidRDefault="00B808A3" w:rsidP="006A3954">
      <w:pPr>
        <w:jc w:val="both"/>
        <w:rPr>
          <w:rFonts w:ascii="Arial" w:hAnsi="Arial" w:cs="Arial"/>
          <w:sz w:val="24"/>
          <w:szCs w:val="24"/>
        </w:rPr>
        <w:sectPr w:rsidR="00B808A3" w:rsidRPr="00182EC7" w:rsidSect="00C024DA">
          <w:footerReference w:type="default" r:id="rId17"/>
          <w:pgSz w:w="12240" w:h="15840"/>
          <w:pgMar w:top="1440" w:right="1800" w:bottom="1440" w:left="1800" w:header="720" w:footer="720" w:gutter="0"/>
          <w:pgNumType w:start="1" w:chapStyle="1"/>
          <w:cols w:space="720"/>
          <w:docGrid w:linePitch="360"/>
        </w:sectPr>
      </w:pPr>
    </w:p>
    <w:tbl>
      <w:tblPr>
        <w:tblStyle w:val="TableGrid"/>
        <w:tblW w:w="12636" w:type="dxa"/>
        <w:tblLook w:val="04A0" w:firstRow="1" w:lastRow="0" w:firstColumn="1" w:lastColumn="0" w:noHBand="0" w:noVBand="1"/>
      </w:tblPr>
      <w:tblGrid>
        <w:gridCol w:w="2004"/>
        <w:gridCol w:w="1648"/>
        <w:gridCol w:w="1695"/>
        <w:gridCol w:w="7289"/>
      </w:tblGrid>
      <w:tr w:rsidR="00B808A3" w:rsidRPr="00182EC7" w14:paraId="7DE25097" w14:textId="77777777" w:rsidTr="53A21F4B">
        <w:tc>
          <w:tcPr>
            <w:tcW w:w="2004" w:type="dxa"/>
            <w:tcBorders>
              <w:top w:val="single" w:sz="4" w:space="0" w:color="auto"/>
              <w:left w:val="single" w:sz="4" w:space="0" w:color="auto"/>
              <w:bottom w:val="single" w:sz="4" w:space="0" w:color="auto"/>
              <w:right w:val="single" w:sz="4" w:space="0" w:color="auto"/>
            </w:tcBorders>
            <w:shd w:val="clear" w:color="auto" w:fill="8064A2" w:themeFill="accent4"/>
            <w:hideMark/>
          </w:tcPr>
          <w:p w14:paraId="33047E9D" w14:textId="77777777" w:rsidR="00B808A3" w:rsidRPr="00B808A3" w:rsidRDefault="00B808A3" w:rsidP="00A75ABC">
            <w:pPr>
              <w:spacing w:after="200" w:line="276" w:lineRule="auto"/>
              <w:rPr>
                <w:rFonts w:ascii="Arial" w:hAnsi="Arial" w:cs="Arial"/>
                <w:b/>
                <w:bCs/>
                <w:color w:val="FFFFFF" w:themeColor="background1"/>
                <w:sz w:val="24"/>
                <w:szCs w:val="24"/>
              </w:rPr>
            </w:pPr>
            <w:r w:rsidRPr="00B808A3">
              <w:rPr>
                <w:rFonts w:ascii="Arial" w:hAnsi="Arial" w:cs="Arial"/>
                <w:b/>
                <w:bCs/>
                <w:color w:val="FFFFFF" w:themeColor="background1"/>
                <w:sz w:val="24"/>
                <w:szCs w:val="24"/>
              </w:rPr>
              <w:lastRenderedPageBreak/>
              <w:t>Evaluation Criteria</w:t>
            </w:r>
          </w:p>
        </w:tc>
        <w:tc>
          <w:tcPr>
            <w:tcW w:w="1648" w:type="dxa"/>
            <w:tcBorders>
              <w:top w:val="single" w:sz="4" w:space="0" w:color="auto"/>
              <w:left w:val="single" w:sz="4" w:space="0" w:color="auto"/>
              <w:bottom w:val="single" w:sz="4" w:space="0" w:color="auto"/>
              <w:right w:val="single" w:sz="4" w:space="0" w:color="auto"/>
            </w:tcBorders>
            <w:shd w:val="clear" w:color="auto" w:fill="8064A2" w:themeFill="accent4"/>
            <w:hideMark/>
          </w:tcPr>
          <w:p w14:paraId="4E7A21EE" w14:textId="77777777" w:rsidR="00B808A3" w:rsidRPr="00B808A3" w:rsidRDefault="00B808A3" w:rsidP="006A3954">
            <w:pPr>
              <w:spacing w:after="200" w:line="276" w:lineRule="auto"/>
              <w:jc w:val="both"/>
              <w:rPr>
                <w:rFonts w:ascii="Arial" w:hAnsi="Arial" w:cs="Arial"/>
                <w:b/>
                <w:bCs/>
                <w:color w:val="FFFFFF" w:themeColor="background1"/>
                <w:sz w:val="24"/>
                <w:szCs w:val="24"/>
              </w:rPr>
            </w:pPr>
            <w:r w:rsidRPr="00B808A3">
              <w:rPr>
                <w:rFonts w:ascii="Arial" w:hAnsi="Arial" w:cs="Arial"/>
                <w:b/>
                <w:bCs/>
                <w:color w:val="FFFFFF" w:themeColor="background1"/>
                <w:sz w:val="24"/>
                <w:szCs w:val="24"/>
              </w:rPr>
              <w:t>Weighting (out of 100)</w:t>
            </w:r>
          </w:p>
        </w:tc>
        <w:tc>
          <w:tcPr>
            <w:tcW w:w="1695" w:type="dxa"/>
            <w:tcBorders>
              <w:top w:val="single" w:sz="4" w:space="0" w:color="auto"/>
              <w:left w:val="single" w:sz="4" w:space="0" w:color="auto"/>
              <w:bottom w:val="single" w:sz="4" w:space="0" w:color="auto"/>
              <w:right w:val="single" w:sz="4" w:space="0" w:color="auto"/>
            </w:tcBorders>
            <w:shd w:val="clear" w:color="auto" w:fill="8064A2" w:themeFill="accent4"/>
            <w:hideMark/>
          </w:tcPr>
          <w:p w14:paraId="3E747995" w14:textId="031BB1D3" w:rsidR="00B808A3" w:rsidRPr="00B808A3" w:rsidRDefault="00B808A3" w:rsidP="006A3954">
            <w:pPr>
              <w:spacing w:after="200" w:line="276" w:lineRule="auto"/>
              <w:jc w:val="both"/>
              <w:rPr>
                <w:rFonts w:ascii="Arial" w:hAnsi="Arial" w:cs="Arial"/>
                <w:b/>
                <w:bCs/>
                <w:color w:val="FFFFFF" w:themeColor="background1"/>
                <w:sz w:val="24"/>
                <w:szCs w:val="24"/>
              </w:rPr>
            </w:pPr>
            <w:r w:rsidRPr="53A21F4B">
              <w:rPr>
                <w:rFonts w:ascii="Arial" w:hAnsi="Arial" w:cs="Arial"/>
                <w:b/>
                <w:bCs/>
                <w:color w:val="FFFFFF" w:themeColor="background1"/>
                <w:sz w:val="24"/>
                <w:szCs w:val="24"/>
              </w:rPr>
              <w:t>Scoring Guidance (1-</w:t>
            </w:r>
            <w:r w:rsidR="721F2842" w:rsidRPr="53A21F4B">
              <w:rPr>
                <w:rFonts w:ascii="Arial" w:hAnsi="Arial" w:cs="Arial"/>
                <w:b/>
                <w:bCs/>
                <w:color w:val="FFFFFF" w:themeColor="background1"/>
                <w:sz w:val="24"/>
                <w:szCs w:val="24"/>
              </w:rPr>
              <w:t>10</w:t>
            </w:r>
            <w:r w:rsidRPr="53A21F4B">
              <w:rPr>
                <w:rFonts w:ascii="Arial" w:hAnsi="Arial" w:cs="Arial"/>
                <w:b/>
                <w:bCs/>
                <w:color w:val="FFFFFF" w:themeColor="background1"/>
                <w:sz w:val="24"/>
                <w:szCs w:val="24"/>
              </w:rPr>
              <w:t>)</w:t>
            </w:r>
          </w:p>
        </w:tc>
        <w:tc>
          <w:tcPr>
            <w:tcW w:w="7289" w:type="dxa"/>
            <w:tcBorders>
              <w:top w:val="single" w:sz="4" w:space="0" w:color="auto"/>
              <w:left w:val="single" w:sz="4" w:space="0" w:color="auto"/>
              <w:bottom w:val="single" w:sz="4" w:space="0" w:color="auto"/>
              <w:right w:val="single" w:sz="4" w:space="0" w:color="auto"/>
            </w:tcBorders>
            <w:shd w:val="clear" w:color="auto" w:fill="8064A2" w:themeFill="accent4"/>
            <w:hideMark/>
          </w:tcPr>
          <w:p w14:paraId="156925F8" w14:textId="77777777" w:rsidR="00B808A3" w:rsidRPr="00B808A3" w:rsidRDefault="00B808A3" w:rsidP="00A75ABC">
            <w:pPr>
              <w:spacing w:after="200" w:line="276" w:lineRule="auto"/>
              <w:rPr>
                <w:rFonts w:ascii="Arial" w:hAnsi="Arial" w:cs="Arial"/>
                <w:b/>
                <w:bCs/>
                <w:color w:val="FFFFFF" w:themeColor="background1"/>
                <w:sz w:val="24"/>
                <w:szCs w:val="24"/>
              </w:rPr>
            </w:pPr>
            <w:r w:rsidRPr="00B808A3">
              <w:rPr>
                <w:rFonts w:ascii="Arial" w:hAnsi="Arial" w:cs="Arial"/>
                <w:b/>
                <w:bCs/>
                <w:color w:val="FFFFFF" w:themeColor="background1"/>
                <w:sz w:val="24"/>
                <w:szCs w:val="24"/>
              </w:rPr>
              <w:t>Notes for Evaluators</w:t>
            </w:r>
          </w:p>
        </w:tc>
      </w:tr>
      <w:tr w:rsidR="00B808A3" w:rsidRPr="00B808A3" w14:paraId="2729B2BD" w14:textId="77777777" w:rsidTr="53A21F4B">
        <w:tc>
          <w:tcPr>
            <w:tcW w:w="2004" w:type="dxa"/>
            <w:tcBorders>
              <w:top w:val="single" w:sz="4" w:space="0" w:color="auto"/>
              <w:left w:val="single" w:sz="4" w:space="0" w:color="auto"/>
              <w:bottom w:val="single" w:sz="4" w:space="0" w:color="auto"/>
              <w:right w:val="single" w:sz="4" w:space="0" w:color="auto"/>
            </w:tcBorders>
            <w:hideMark/>
          </w:tcPr>
          <w:p w14:paraId="6E3AA537" w14:textId="03064969" w:rsidR="00B808A3" w:rsidRPr="00B808A3" w:rsidRDefault="00B808A3" w:rsidP="00A75ABC">
            <w:pPr>
              <w:spacing w:after="200" w:line="276" w:lineRule="auto"/>
              <w:rPr>
                <w:rFonts w:ascii="Arial" w:hAnsi="Arial" w:cs="Arial"/>
                <w:sz w:val="24"/>
                <w:szCs w:val="24"/>
              </w:rPr>
            </w:pPr>
            <w:r w:rsidRPr="00B808A3">
              <w:rPr>
                <w:rFonts w:ascii="Arial" w:hAnsi="Arial" w:cs="Arial"/>
                <w:sz w:val="24"/>
                <w:szCs w:val="24"/>
              </w:rPr>
              <w:t>Event Management</w:t>
            </w:r>
            <w:r w:rsidR="00A15C10">
              <w:rPr>
                <w:rFonts w:ascii="Arial" w:hAnsi="Arial" w:cs="Arial"/>
                <w:sz w:val="24"/>
                <w:szCs w:val="24"/>
              </w:rPr>
              <w:t xml:space="preserve"> &amp; Health and Safe</w:t>
            </w:r>
            <w:r w:rsidR="0030696F">
              <w:rPr>
                <w:rFonts w:ascii="Arial" w:hAnsi="Arial" w:cs="Arial"/>
                <w:sz w:val="24"/>
                <w:szCs w:val="24"/>
              </w:rPr>
              <w:t>ty.</w:t>
            </w:r>
          </w:p>
        </w:tc>
        <w:tc>
          <w:tcPr>
            <w:tcW w:w="1648" w:type="dxa"/>
            <w:tcBorders>
              <w:top w:val="single" w:sz="4" w:space="0" w:color="auto"/>
              <w:left w:val="single" w:sz="4" w:space="0" w:color="auto"/>
              <w:bottom w:val="single" w:sz="4" w:space="0" w:color="auto"/>
              <w:right w:val="single" w:sz="4" w:space="0" w:color="auto"/>
            </w:tcBorders>
            <w:hideMark/>
          </w:tcPr>
          <w:p w14:paraId="5AE132A1" w14:textId="47F469BF" w:rsidR="00B808A3" w:rsidRPr="00B808A3" w:rsidRDefault="008A4F06" w:rsidP="006A3954">
            <w:pPr>
              <w:spacing w:after="200" w:line="276" w:lineRule="auto"/>
              <w:jc w:val="both"/>
              <w:rPr>
                <w:rFonts w:ascii="Arial" w:hAnsi="Arial" w:cs="Arial"/>
                <w:sz w:val="24"/>
                <w:szCs w:val="24"/>
              </w:rPr>
            </w:pPr>
            <w:r>
              <w:rPr>
                <w:rFonts w:ascii="Arial" w:hAnsi="Arial" w:cs="Arial"/>
                <w:sz w:val="24"/>
                <w:szCs w:val="24"/>
              </w:rPr>
              <w:t>3</w:t>
            </w:r>
            <w:r w:rsidR="00B808A3" w:rsidRPr="00B808A3">
              <w:rPr>
                <w:rFonts w:ascii="Arial" w:hAnsi="Arial" w:cs="Arial"/>
                <w:sz w:val="24"/>
                <w:szCs w:val="24"/>
              </w:rPr>
              <w:t>0</w:t>
            </w:r>
          </w:p>
        </w:tc>
        <w:tc>
          <w:tcPr>
            <w:tcW w:w="1695" w:type="dxa"/>
            <w:tcBorders>
              <w:top w:val="single" w:sz="4" w:space="0" w:color="auto"/>
              <w:left w:val="single" w:sz="4" w:space="0" w:color="auto"/>
              <w:bottom w:val="single" w:sz="4" w:space="0" w:color="auto"/>
              <w:right w:val="single" w:sz="4" w:space="0" w:color="auto"/>
            </w:tcBorders>
          </w:tcPr>
          <w:p w14:paraId="0C6029E0" w14:textId="1452B77C" w:rsidR="00B808A3" w:rsidRPr="00B808A3" w:rsidRDefault="00B808A3" w:rsidP="006A3954">
            <w:pPr>
              <w:spacing w:after="200" w:line="276" w:lineRule="auto"/>
              <w:jc w:val="both"/>
              <w:rPr>
                <w:rFonts w:ascii="Arial" w:hAnsi="Arial" w:cs="Arial"/>
                <w:sz w:val="24"/>
                <w:szCs w:val="24"/>
              </w:rPr>
            </w:pPr>
          </w:p>
        </w:tc>
        <w:tc>
          <w:tcPr>
            <w:tcW w:w="7289" w:type="dxa"/>
            <w:tcBorders>
              <w:top w:val="single" w:sz="4" w:space="0" w:color="auto"/>
              <w:left w:val="single" w:sz="4" w:space="0" w:color="auto"/>
              <w:bottom w:val="single" w:sz="4" w:space="0" w:color="auto"/>
              <w:right w:val="single" w:sz="4" w:space="0" w:color="auto"/>
            </w:tcBorders>
            <w:hideMark/>
          </w:tcPr>
          <w:p w14:paraId="6033329E" w14:textId="348A8A65" w:rsidR="00B808A3" w:rsidRPr="00B808A3" w:rsidRDefault="00B808A3" w:rsidP="00A75ABC">
            <w:pPr>
              <w:spacing w:after="200" w:line="276" w:lineRule="auto"/>
              <w:rPr>
                <w:rFonts w:ascii="Arial" w:hAnsi="Arial" w:cs="Arial"/>
                <w:sz w:val="24"/>
                <w:szCs w:val="24"/>
              </w:rPr>
            </w:pPr>
            <w:r w:rsidRPr="00B808A3">
              <w:rPr>
                <w:rFonts w:ascii="Arial" w:hAnsi="Arial" w:cs="Arial"/>
                <w:sz w:val="24"/>
                <w:szCs w:val="24"/>
              </w:rPr>
              <w:t xml:space="preserve">Assess the comprehensiveness of the event plan, risk assessments, </w:t>
            </w:r>
            <w:r w:rsidR="00924C76">
              <w:rPr>
                <w:rFonts w:ascii="Arial" w:hAnsi="Arial" w:cs="Arial"/>
                <w:sz w:val="24"/>
                <w:szCs w:val="24"/>
              </w:rPr>
              <w:t xml:space="preserve">reference to purple guide </w:t>
            </w:r>
            <w:r w:rsidRPr="00B808A3">
              <w:rPr>
                <w:rFonts w:ascii="Arial" w:hAnsi="Arial" w:cs="Arial"/>
                <w:sz w:val="24"/>
                <w:szCs w:val="24"/>
              </w:rPr>
              <w:t>and contingency planning.</w:t>
            </w:r>
          </w:p>
        </w:tc>
      </w:tr>
      <w:tr w:rsidR="00B808A3" w:rsidRPr="00B808A3" w14:paraId="5991109B" w14:textId="77777777" w:rsidTr="53A21F4B">
        <w:tc>
          <w:tcPr>
            <w:tcW w:w="2004" w:type="dxa"/>
            <w:tcBorders>
              <w:top w:val="single" w:sz="4" w:space="0" w:color="auto"/>
              <w:left w:val="single" w:sz="4" w:space="0" w:color="auto"/>
              <w:bottom w:val="single" w:sz="4" w:space="0" w:color="auto"/>
              <w:right w:val="single" w:sz="4" w:space="0" w:color="auto"/>
            </w:tcBorders>
            <w:hideMark/>
          </w:tcPr>
          <w:p w14:paraId="05BAC040" w14:textId="2138484D" w:rsidR="00B808A3" w:rsidRPr="00B808A3" w:rsidRDefault="00B808A3" w:rsidP="00A75ABC">
            <w:pPr>
              <w:spacing w:after="200" w:line="276" w:lineRule="auto"/>
              <w:rPr>
                <w:rFonts w:ascii="Arial" w:hAnsi="Arial" w:cs="Arial"/>
                <w:sz w:val="24"/>
                <w:szCs w:val="24"/>
              </w:rPr>
            </w:pPr>
            <w:r w:rsidRPr="00B808A3">
              <w:rPr>
                <w:rFonts w:ascii="Arial" w:hAnsi="Arial" w:cs="Arial"/>
                <w:sz w:val="24"/>
                <w:szCs w:val="24"/>
              </w:rPr>
              <w:t>Programming</w:t>
            </w:r>
            <w:r w:rsidR="008A4F06">
              <w:rPr>
                <w:rFonts w:ascii="Arial" w:hAnsi="Arial" w:cs="Arial"/>
                <w:sz w:val="24"/>
                <w:szCs w:val="24"/>
              </w:rPr>
              <w:t xml:space="preserve"> &amp; Stakeholder Engagement</w:t>
            </w:r>
          </w:p>
        </w:tc>
        <w:tc>
          <w:tcPr>
            <w:tcW w:w="1648" w:type="dxa"/>
            <w:tcBorders>
              <w:top w:val="single" w:sz="4" w:space="0" w:color="auto"/>
              <w:left w:val="single" w:sz="4" w:space="0" w:color="auto"/>
              <w:bottom w:val="single" w:sz="4" w:space="0" w:color="auto"/>
              <w:right w:val="single" w:sz="4" w:space="0" w:color="auto"/>
            </w:tcBorders>
            <w:hideMark/>
          </w:tcPr>
          <w:p w14:paraId="686E0494" w14:textId="1FE8CEDE" w:rsidR="00B808A3" w:rsidRPr="00B808A3" w:rsidRDefault="008A4F06" w:rsidP="006A3954">
            <w:pPr>
              <w:spacing w:after="200" w:line="276" w:lineRule="auto"/>
              <w:jc w:val="both"/>
              <w:rPr>
                <w:rFonts w:ascii="Arial" w:hAnsi="Arial" w:cs="Arial"/>
                <w:sz w:val="24"/>
                <w:szCs w:val="24"/>
              </w:rPr>
            </w:pPr>
            <w:r>
              <w:rPr>
                <w:rFonts w:ascii="Arial" w:hAnsi="Arial" w:cs="Arial"/>
                <w:sz w:val="24"/>
                <w:szCs w:val="24"/>
              </w:rPr>
              <w:t>20</w:t>
            </w:r>
          </w:p>
        </w:tc>
        <w:tc>
          <w:tcPr>
            <w:tcW w:w="1695" w:type="dxa"/>
            <w:tcBorders>
              <w:top w:val="single" w:sz="4" w:space="0" w:color="auto"/>
              <w:left w:val="single" w:sz="4" w:space="0" w:color="auto"/>
              <w:bottom w:val="single" w:sz="4" w:space="0" w:color="auto"/>
              <w:right w:val="single" w:sz="4" w:space="0" w:color="auto"/>
            </w:tcBorders>
          </w:tcPr>
          <w:p w14:paraId="5FB29DD8" w14:textId="4455DA9A" w:rsidR="00B808A3" w:rsidRPr="00B808A3" w:rsidRDefault="00B808A3" w:rsidP="006A3954">
            <w:pPr>
              <w:spacing w:after="200" w:line="276" w:lineRule="auto"/>
              <w:jc w:val="both"/>
              <w:rPr>
                <w:rFonts w:ascii="Arial" w:hAnsi="Arial" w:cs="Arial"/>
                <w:sz w:val="24"/>
                <w:szCs w:val="24"/>
              </w:rPr>
            </w:pPr>
          </w:p>
        </w:tc>
        <w:tc>
          <w:tcPr>
            <w:tcW w:w="7289" w:type="dxa"/>
            <w:tcBorders>
              <w:top w:val="single" w:sz="4" w:space="0" w:color="auto"/>
              <w:left w:val="single" w:sz="4" w:space="0" w:color="auto"/>
              <w:bottom w:val="single" w:sz="4" w:space="0" w:color="auto"/>
              <w:right w:val="single" w:sz="4" w:space="0" w:color="auto"/>
            </w:tcBorders>
            <w:hideMark/>
          </w:tcPr>
          <w:p w14:paraId="625E5FE0" w14:textId="455F59C4" w:rsidR="00B808A3" w:rsidRPr="00B808A3" w:rsidRDefault="00B808A3" w:rsidP="00A75ABC">
            <w:pPr>
              <w:spacing w:after="200" w:line="276" w:lineRule="auto"/>
              <w:rPr>
                <w:rFonts w:ascii="Arial" w:hAnsi="Arial" w:cs="Arial"/>
                <w:sz w:val="24"/>
                <w:szCs w:val="24"/>
              </w:rPr>
            </w:pPr>
            <w:r w:rsidRPr="00B808A3">
              <w:rPr>
                <w:rFonts w:ascii="Arial" w:hAnsi="Arial" w:cs="Arial"/>
                <w:sz w:val="24"/>
                <w:szCs w:val="24"/>
              </w:rPr>
              <w:t>Evaluate the creativity and alignment of the thematic programme with community values</w:t>
            </w:r>
            <w:r w:rsidR="00232E17" w:rsidRPr="00182EC7">
              <w:rPr>
                <w:rFonts w:ascii="Arial" w:hAnsi="Arial" w:cs="Arial"/>
                <w:sz w:val="24"/>
                <w:szCs w:val="24"/>
              </w:rPr>
              <w:t xml:space="preserve"> and impact</w:t>
            </w:r>
            <w:r w:rsidRPr="00B808A3">
              <w:rPr>
                <w:rFonts w:ascii="Arial" w:hAnsi="Arial" w:cs="Arial"/>
                <w:sz w:val="24"/>
                <w:szCs w:val="24"/>
              </w:rPr>
              <w:t>.</w:t>
            </w:r>
            <w:r w:rsidR="008A4F06">
              <w:rPr>
                <w:rFonts w:ascii="Arial" w:hAnsi="Arial" w:cs="Arial"/>
                <w:sz w:val="24"/>
                <w:szCs w:val="24"/>
              </w:rPr>
              <w:t xml:space="preserve"> </w:t>
            </w:r>
            <w:r w:rsidR="008A4F06" w:rsidRPr="00B808A3">
              <w:rPr>
                <w:rFonts w:ascii="Arial" w:hAnsi="Arial" w:cs="Arial"/>
                <w:sz w:val="24"/>
                <w:szCs w:val="24"/>
              </w:rPr>
              <w:t>Consider the approach to engaging local community groups, cultural organisations, and statutory partners.</w:t>
            </w:r>
          </w:p>
        </w:tc>
      </w:tr>
      <w:tr w:rsidR="00B808A3" w:rsidRPr="00B808A3" w14:paraId="692767F9" w14:textId="77777777" w:rsidTr="53A21F4B">
        <w:tc>
          <w:tcPr>
            <w:tcW w:w="2004" w:type="dxa"/>
            <w:tcBorders>
              <w:top w:val="single" w:sz="4" w:space="0" w:color="auto"/>
              <w:left w:val="single" w:sz="4" w:space="0" w:color="auto"/>
              <w:bottom w:val="single" w:sz="4" w:space="0" w:color="auto"/>
              <w:right w:val="single" w:sz="4" w:space="0" w:color="auto"/>
            </w:tcBorders>
            <w:hideMark/>
          </w:tcPr>
          <w:p w14:paraId="68661FB9" w14:textId="4FC2583A" w:rsidR="00B808A3" w:rsidRPr="00B808A3" w:rsidRDefault="00B808A3" w:rsidP="00A75ABC">
            <w:pPr>
              <w:spacing w:after="200" w:line="276" w:lineRule="auto"/>
              <w:rPr>
                <w:rFonts w:ascii="Arial" w:hAnsi="Arial" w:cs="Arial"/>
                <w:sz w:val="24"/>
                <w:szCs w:val="24"/>
              </w:rPr>
            </w:pPr>
            <w:r w:rsidRPr="00B808A3">
              <w:rPr>
                <w:rFonts w:ascii="Arial" w:hAnsi="Arial" w:cs="Arial"/>
                <w:sz w:val="24"/>
                <w:szCs w:val="24"/>
              </w:rPr>
              <w:t>Marketing</w:t>
            </w:r>
            <w:r w:rsidR="00A75ABC" w:rsidRPr="00182EC7">
              <w:rPr>
                <w:rFonts w:ascii="Arial" w:hAnsi="Arial" w:cs="Arial"/>
                <w:sz w:val="24"/>
                <w:szCs w:val="24"/>
              </w:rPr>
              <w:t xml:space="preserve"> </w:t>
            </w:r>
            <w:r w:rsidRPr="00B808A3">
              <w:rPr>
                <w:rFonts w:ascii="Arial" w:hAnsi="Arial" w:cs="Arial"/>
                <w:sz w:val="24"/>
                <w:szCs w:val="24"/>
              </w:rPr>
              <w:t>and Comms</w:t>
            </w:r>
          </w:p>
        </w:tc>
        <w:tc>
          <w:tcPr>
            <w:tcW w:w="1648" w:type="dxa"/>
            <w:tcBorders>
              <w:top w:val="single" w:sz="4" w:space="0" w:color="auto"/>
              <w:left w:val="single" w:sz="4" w:space="0" w:color="auto"/>
              <w:bottom w:val="single" w:sz="4" w:space="0" w:color="auto"/>
              <w:right w:val="single" w:sz="4" w:space="0" w:color="auto"/>
            </w:tcBorders>
            <w:hideMark/>
          </w:tcPr>
          <w:p w14:paraId="30DBDB38" w14:textId="77777777" w:rsidR="00B808A3" w:rsidRPr="00B808A3" w:rsidRDefault="00B808A3" w:rsidP="006A3954">
            <w:pPr>
              <w:spacing w:after="200" w:line="276" w:lineRule="auto"/>
              <w:jc w:val="both"/>
              <w:rPr>
                <w:rFonts w:ascii="Arial" w:hAnsi="Arial" w:cs="Arial"/>
                <w:sz w:val="24"/>
                <w:szCs w:val="24"/>
              </w:rPr>
            </w:pPr>
            <w:r w:rsidRPr="00B808A3">
              <w:rPr>
                <w:rFonts w:ascii="Arial" w:hAnsi="Arial" w:cs="Arial"/>
                <w:sz w:val="24"/>
                <w:szCs w:val="24"/>
              </w:rPr>
              <w:t>10</w:t>
            </w:r>
          </w:p>
        </w:tc>
        <w:tc>
          <w:tcPr>
            <w:tcW w:w="1695" w:type="dxa"/>
            <w:tcBorders>
              <w:top w:val="single" w:sz="4" w:space="0" w:color="auto"/>
              <w:left w:val="single" w:sz="4" w:space="0" w:color="auto"/>
              <w:bottom w:val="single" w:sz="4" w:space="0" w:color="auto"/>
              <w:right w:val="single" w:sz="4" w:space="0" w:color="auto"/>
            </w:tcBorders>
          </w:tcPr>
          <w:p w14:paraId="7D75B31B" w14:textId="7A366568" w:rsidR="00B808A3" w:rsidRPr="00B808A3" w:rsidRDefault="00B808A3" w:rsidP="006A3954">
            <w:pPr>
              <w:spacing w:after="200" w:line="276" w:lineRule="auto"/>
              <w:jc w:val="both"/>
              <w:rPr>
                <w:rFonts w:ascii="Arial" w:hAnsi="Arial" w:cs="Arial"/>
                <w:sz w:val="24"/>
                <w:szCs w:val="24"/>
              </w:rPr>
            </w:pPr>
          </w:p>
        </w:tc>
        <w:tc>
          <w:tcPr>
            <w:tcW w:w="7289" w:type="dxa"/>
            <w:tcBorders>
              <w:top w:val="single" w:sz="4" w:space="0" w:color="auto"/>
              <w:left w:val="single" w:sz="4" w:space="0" w:color="auto"/>
              <w:bottom w:val="single" w:sz="4" w:space="0" w:color="auto"/>
              <w:right w:val="single" w:sz="4" w:space="0" w:color="auto"/>
            </w:tcBorders>
            <w:hideMark/>
          </w:tcPr>
          <w:p w14:paraId="276502C1" w14:textId="599681F7" w:rsidR="00B808A3" w:rsidRPr="00B808A3" w:rsidRDefault="00B808A3" w:rsidP="00A75ABC">
            <w:pPr>
              <w:spacing w:after="200" w:line="276" w:lineRule="auto"/>
              <w:rPr>
                <w:rFonts w:ascii="Arial" w:hAnsi="Arial" w:cs="Arial"/>
                <w:sz w:val="24"/>
                <w:szCs w:val="24"/>
              </w:rPr>
            </w:pPr>
            <w:r w:rsidRPr="00B808A3">
              <w:rPr>
                <w:rFonts w:ascii="Arial" w:hAnsi="Arial" w:cs="Arial"/>
                <w:sz w:val="24"/>
                <w:szCs w:val="24"/>
              </w:rPr>
              <w:t>Assess the effectiveness of the proposed marketing strategy across multiple channels</w:t>
            </w:r>
            <w:r w:rsidR="00232E17" w:rsidRPr="00182EC7">
              <w:rPr>
                <w:rFonts w:ascii="Arial" w:hAnsi="Arial" w:cs="Arial"/>
                <w:sz w:val="24"/>
                <w:szCs w:val="24"/>
              </w:rPr>
              <w:t xml:space="preserve"> and collaboration with Council. </w:t>
            </w:r>
          </w:p>
        </w:tc>
      </w:tr>
      <w:tr w:rsidR="00B808A3" w:rsidRPr="00B808A3" w14:paraId="24E8F7D6" w14:textId="77777777" w:rsidTr="53A21F4B">
        <w:tc>
          <w:tcPr>
            <w:tcW w:w="2004" w:type="dxa"/>
            <w:tcBorders>
              <w:top w:val="single" w:sz="4" w:space="0" w:color="auto"/>
              <w:left w:val="single" w:sz="4" w:space="0" w:color="auto"/>
              <w:bottom w:val="single" w:sz="4" w:space="0" w:color="auto"/>
              <w:right w:val="single" w:sz="4" w:space="0" w:color="auto"/>
            </w:tcBorders>
            <w:hideMark/>
          </w:tcPr>
          <w:p w14:paraId="27CCAEB3" w14:textId="77777777" w:rsidR="00B808A3" w:rsidRPr="00B808A3" w:rsidRDefault="00B808A3" w:rsidP="00A75ABC">
            <w:pPr>
              <w:spacing w:after="200" w:line="276" w:lineRule="auto"/>
              <w:rPr>
                <w:rFonts w:ascii="Arial" w:hAnsi="Arial" w:cs="Arial"/>
                <w:sz w:val="24"/>
                <w:szCs w:val="24"/>
              </w:rPr>
            </w:pPr>
            <w:r w:rsidRPr="00B808A3">
              <w:rPr>
                <w:rFonts w:ascii="Arial" w:hAnsi="Arial" w:cs="Arial"/>
                <w:sz w:val="24"/>
                <w:szCs w:val="24"/>
              </w:rPr>
              <w:t>Volunteer and Workforce Management</w:t>
            </w:r>
          </w:p>
        </w:tc>
        <w:tc>
          <w:tcPr>
            <w:tcW w:w="1648" w:type="dxa"/>
            <w:tcBorders>
              <w:top w:val="single" w:sz="4" w:space="0" w:color="auto"/>
              <w:left w:val="single" w:sz="4" w:space="0" w:color="auto"/>
              <w:bottom w:val="single" w:sz="4" w:space="0" w:color="auto"/>
              <w:right w:val="single" w:sz="4" w:space="0" w:color="auto"/>
            </w:tcBorders>
            <w:hideMark/>
          </w:tcPr>
          <w:p w14:paraId="7256CA70" w14:textId="77777777" w:rsidR="00B808A3" w:rsidRPr="00B808A3" w:rsidRDefault="00B808A3" w:rsidP="006A3954">
            <w:pPr>
              <w:spacing w:after="200" w:line="276" w:lineRule="auto"/>
              <w:jc w:val="both"/>
              <w:rPr>
                <w:rFonts w:ascii="Arial" w:hAnsi="Arial" w:cs="Arial"/>
                <w:sz w:val="24"/>
                <w:szCs w:val="24"/>
              </w:rPr>
            </w:pPr>
            <w:r w:rsidRPr="00B808A3">
              <w:rPr>
                <w:rFonts w:ascii="Arial" w:hAnsi="Arial" w:cs="Arial"/>
                <w:sz w:val="24"/>
                <w:szCs w:val="24"/>
              </w:rPr>
              <w:t>10</w:t>
            </w:r>
          </w:p>
        </w:tc>
        <w:tc>
          <w:tcPr>
            <w:tcW w:w="1695" w:type="dxa"/>
            <w:tcBorders>
              <w:top w:val="single" w:sz="4" w:space="0" w:color="auto"/>
              <w:left w:val="single" w:sz="4" w:space="0" w:color="auto"/>
              <w:bottom w:val="single" w:sz="4" w:space="0" w:color="auto"/>
              <w:right w:val="single" w:sz="4" w:space="0" w:color="auto"/>
            </w:tcBorders>
          </w:tcPr>
          <w:p w14:paraId="06A11A7C" w14:textId="13DD3BAC" w:rsidR="00B808A3" w:rsidRPr="00B808A3" w:rsidRDefault="00B808A3" w:rsidP="006A3954">
            <w:pPr>
              <w:spacing w:after="200" w:line="276" w:lineRule="auto"/>
              <w:jc w:val="both"/>
              <w:rPr>
                <w:rFonts w:ascii="Arial" w:hAnsi="Arial" w:cs="Arial"/>
                <w:sz w:val="24"/>
                <w:szCs w:val="24"/>
              </w:rPr>
            </w:pPr>
          </w:p>
        </w:tc>
        <w:tc>
          <w:tcPr>
            <w:tcW w:w="7289" w:type="dxa"/>
            <w:tcBorders>
              <w:top w:val="single" w:sz="4" w:space="0" w:color="auto"/>
              <w:left w:val="single" w:sz="4" w:space="0" w:color="auto"/>
              <w:bottom w:val="single" w:sz="4" w:space="0" w:color="auto"/>
              <w:right w:val="single" w:sz="4" w:space="0" w:color="auto"/>
            </w:tcBorders>
            <w:hideMark/>
          </w:tcPr>
          <w:p w14:paraId="6D81BAD2" w14:textId="77777777" w:rsidR="00B808A3" w:rsidRPr="00B808A3" w:rsidRDefault="00B808A3" w:rsidP="00A75ABC">
            <w:pPr>
              <w:spacing w:after="200" w:line="276" w:lineRule="auto"/>
              <w:rPr>
                <w:rFonts w:ascii="Arial" w:hAnsi="Arial" w:cs="Arial"/>
                <w:sz w:val="24"/>
                <w:szCs w:val="24"/>
              </w:rPr>
            </w:pPr>
            <w:r w:rsidRPr="00B808A3">
              <w:rPr>
                <w:rFonts w:ascii="Arial" w:hAnsi="Arial" w:cs="Arial"/>
                <w:sz w:val="24"/>
                <w:szCs w:val="24"/>
              </w:rPr>
              <w:t>Evaluate the recruitment, training, and management plan for volunteers and event staff.</w:t>
            </w:r>
          </w:p>
        </w:tc>
      </w:tr>
      <w:tr w:rsidR="00B808A3" w:rsidRPr="00B808A3" w14:paraId="6E3DCEAF" w14:textId="77777777" w:rsidTr="53A21F4B">
        <w:tc>
          <w:tcPr>
            <w:tcW w:w="2004" w:type="dxa"/>
            <w:tcBorders>
              <w:top w:val="single" w:sz="4" w:space="0" w:color="auto"/>
              <w:left w:val="single" w:sz="4" w:space="0" w:color="auto"/>
              <w:bottom w:val="single" w:sz="4" w:space="0" w:color="auto"/>
              <w:right w:val="single" w:sz="4" w:space="0" w:color="auto"/>
            </w:tcBorders>
            <w:hideMark/>
          </w:tcPr>
          <w:p w14:paraId="187895CD" w14:textId="77777777" w:rsidR="00B808A3" w:rsidRPr="00B808A3" w:rsidRDefault="00B808A3" w:rsidP="00A75ABC">
            <w:pPr>
              <w:spacing w:after="200" w:line="276" w:lineRule="auto"/>
              <w:rPr>
                <w:rFonts w:ascii="Arial" w:hAnsi="Arial" w:cs="Arial"/>
                <w:sz w:val="24"/>
                <w:szCs w:val="24"/>
              </w:rPr>
            </w:pPr>
            <w:r w:rsidRPr="00B808A3">
              <w:rPr>
                <w:rFonts w:ascii="Arial" w:hAnsi="Arial" w:cs="Arial"/>
                <w:sz w:val="24"/>
                <w:szCs w:val="24"/>
              </w:rPr>
              <w:t>Environmental Sustainability</w:t>
            </w:r>
          </w:p>
        </w:tc>
        <w:tc>
          <w:tcPr>
            <w:tcW w:w="1648" w:type="dxa"/>
            <w:tcBorders>
              <w:top w:val="single" w:sz="4" w:space="0" w:color="auto"/>
              <w:left w:val="single" w:sz="4" w:space="0" w:color="auto"/>
              <w:bottom w:val="single" w:sz="4" w:space="0" w:color="auto"/>
              <w:right w:val="single" w:sz="4" w:space="0" w:color="auto"/>
            </w:tcBorders>
            <w:hideMark/>
          </w:tcPr>
          <w:p w14:paraId="651790C5" w14:textId="77777777" w:rsidR="00B808A3" w:rsidRPr="00B808A3" w:rsidRDefault="00B808A3" w:rsidP="006A3954">
            <w:pPr>
              <w:spacing w:after="200" w:line="276" w:lineRule="auto"/>
              <w:jc w:val="both"/>
              <w:rPr>
                <w:rFonts w:ascii="Arial" w:hAnsi="Arial" w:cs="Arial"/>
                <w:sz w:val="24"/>
                <w:szCs w:val="24"/>
              </w:rPr>
            </w:pPr>
            <w:r w:rsidRPr="00B808A3">
              <w:rPr>
                <w:rFonts w:ascii="Arial" w:hAnsi="Arial" w:cs="Arial"/>
                <w:sz w:val="24"/>
                <w:szCs w:val="24"/>
              </w:rPr>
              <w:t>10</w:t>
            </w:r>
          </w:p>
        </w:tc>
        <w:tc>
          <w:tcPr>
            <w:tcW w:w="1695" w:type="dxa"/>
            <w:tcBorders>
              <w:top w:val="single" w:sz="4" w:space="0" w:color="auto"/>
              <w:left w:val="single" w:sz="4" w:space="0" w:color="auto"/>
              <w:bottom w:val="single" w:sz="4" w:space="0" w:color="auto"/>
              <w:right w:val="single" w:sz="4" w:space="0" w:color="auto"/>
            </w:tcBorders>
          </w:tcPr>
          <w:p w14:paraId="5419B15A" w14:textId="2946F6C0" w:rsidR="00B808A3" w:rsidRPr="00B808A3" w:rsidRDefault="00B808A3" w:rsidP="006A3954">
            <w:pPr>
              <w:spacing w:after="200" w:line="276" w:lineRule="auto"/>
              <w:jc w:val="both"/>
              <w:rPr>
                <w:rFonts w:ascii="Arial" w:hAnsi="Arial" w:cs="Arial"/>
                <w:sz w:val="24"/>
                <w:szCs w:val="24"/>
              </w:rPr>
            </w:pPr>
          </w:p>
        </w:tc>
        <w:tc>
          <w:tcPr>
            <w:tcW w:w="7289" w:type="dxa"/>
            <w:tcBorders>
              <w:top w:val="single" w:sz="4" w:space="0" w:color="auto"/>
              <w:left w:val="single" w:sz="4" w:space="0" w:color="auto"/>
              <w:bottom w:val="single" w:sz="4" w:space="0" w:color="auto"/>
              <w:right w:val="single" w:sz="4" w:space="0" w:color="auto"/>
            </w:tcBorders>
            <w:hideMark/>
          </w:tcPr>
          <w:p w14:paraId="78B5B716" w14:textId="6954A5DE" w:rsidR="00B808A3" w:rsidRPr="00B808A3" w:rsidRDefault="00B808A3" w:rsidP="00A75ABC">
            <w:pPr>
              <w:spacing w:after="200" w:line="276" w:lineRule="auto"/>
              <w:rPr>
                <w:rFonts w:ascii="Arial" w:hAnsi="Arial" w:cs="Arial"/>
                <w:sz w:val="24"/>
                <w:szCs w:val="24"/>
              </w:rPr>
            </w:pPr>
            <w:r w:rsidRPr="00B808A3">
              <w:rPr>
                <w:rFonts w:ascii="Arial" w:hAnsi="Arial" w:cs="Arial"/>
                <w:sz w:val="24"/>
                <w:szCs w:val="24"/>
              </w:rPr>
              <w:t xml:space="preserve">Consider the commitment to a </w:t>
            </w:r>
            <w:r w:rsidR="00232E17" w:rsidRPr="00182EC7">
              <w:rPr>
                <w:rFonts w:ascii="Arial" w:hAnsi="Arial" w:cs="Arial"/>
                <w:sz w:val="24"/>
                <w:szCs w:val="24"/>
              </w:rPr>
              <w:t xml:space="preserve">carbon </w:t>
            </w:r>
            <w:r w:rsidRPr="00B808A3">
              <w:rPr>
                <w:rFonts w:ascii="Arial" w:hAnsi="Arial" w:cs="Arial"/>
                <w:sz w:val="24"/>
                <w:szCs w:val="24"/>
              </w:rPr>
              <w:t>low-impact delivery model and environmental reporting.</w:t>
            </w:r>
          </w:p>
        </w:tc>
      </w:tr>
      <w:tr w:rsidR="00B808A3" w:rsidRPr="00B808A3" w14:paraId="32B16096" w14:textId="77777777" w:rsidTr="53A21F4B">
        <w:tc>
          <w:tcPr>
            <w:tcW w:w="2004" w:type="dxa"/>
            <w:tcBorders>
              <w:top w:val="single" w:sz="4" w:space="0" w:color="auto"/>
              <w:left w:val="single" w:sz="4" w:space="0" w:color="auto"/>
              <w:bottom w:val="single" w:sz="4" w:space="0" w:color="auto"/>
              <w:right w:val="single" w:sz="4" w:space="0" w:color="auto"/>
            </w:tcBorders>
            <w:hideMark/>
          </w:tcPr>
          <w:p w14:paraId="542F0DFA" w14:textId="77777777" w:rsidR="00B808A3" w:rsidRPr="00B808A3" w:rsidRDefault="00B808A3" w:rsidP="00A75ABC">
            <w:pPr>
              <w:spacing w:after="200" w:line="276" w:lineRule="auto"/>
              <w:rPr>
                <w:rFonts w:ascii="Arial" w:hAnsi="Arial" w:cs="Arial"/>
                <w:sz w:val="24"/>
                <w:szCs w:val="24"/>
              </w:rPr>
            </w:pPr>
            <w:r w:rsidRPr="00B808A3">
              <w:rPr>
                <w:rFonts w:ascii="Arial" w:hAnsi="Arial" w:cs="Arial"/>
                <w:sz w:val="24"/>
                <w:szCs w:val="24"/>
              </w:rPr>
              <w:t>Financial Sustainability</w:t>
            </w:r>
          </w:p>
        </w:tc>
        <w:tc>
          <w:tcPr>
            <w:tcW w:w="1648" w:type="dxa"/>
            <w:tcBorders>
              <w:top w:val="single" w:sz="4" w:space="0" w:color="auto"/>
              <w:left w:val="single" w:sz="4" w:space="0" w:color="auto"/>
              <w:bottom w:val="single" w:sz="4" w:space="0" w:color="auto"/>
              <w:right w:val="single" w:sz="4" w:space="0" w:color="auto"/>
            </w:tcBorders>
            <w:hideMark/>
          </w:tcPr>
          <w:p w14:paraId="2C381A25" w14:textId="77777777" w:rsidR="00B808A3" w:rsidRPr="00B808A3" w:rsidRDefault="00B808A3" w:rsidP="006A3954">
            <w:pPr>
              <w:spacing w:after="200" w:line="276" w:lineRule="auto"/>
              <w:jc w:val="both"/>
              <w:rPr>
                <w:rFonts w:ascii="Arial" w:hAnsi="Arial" w:cs="Arial"/>
                <w:sz w:val="24"/>
                <w:szCs w:val="24"/>
              </w:rPr>
            </w:pPr>
            <w:r w:rsidRPr="00B808A3">
              <w:rPr>
                <w:rFonts w:ascii="Arial" w:hAnsi="Arial" w:cs="Arial"/>
                <w:sz w:val="24"/>
                <w:szCs w:val="24"/>
              </w:rPr>
              <w:t>10</w:t>
            </w:r>
          </w:p>
        </w:tc>
        <w:tc>
          <w:tcPr>
            <w:tcW w:w="1695" w:type="dxa"/>
            <w:tcBorders>
              <w:top w:val="single" w:sz="4" w:space="0" w:color="auto"/>
              <w:left w:val="single" w:sz="4" w:space="0" w:color="auto"/>
              <w:bottom w:val="single" w:sz="4" w:space="0" w:color="auto"/>
              <w:right w:val="single" w:sz="4" w:space="0" w:color="auto"/>
            </w:tcBorders>
          </w:tcPr>
          <w:p w14:paraId="7F4FCD9C" w14:textId="2274DF3F" w:rsidR="00B808A3" w:rsidRPr="00B808A3" w:rsidRDefault="00B808A3" w:rsidP="006A3954">
            <w:pPr>
              <w:spacing w:after="200" w:line="276" w:lineRule="auto"/>
              <w:jc w:val="both"/>
              <w:rPr>
                <w:rFonts w:ascii="Arial" w:hAnsi="Arial" w:cs="Arial"/>
                <w:sz w:val="24"/>
                <w:szCs w:val="24"/>
              </w:rPr>
            </w:pPr>
          </w:p>
        </w:tc>
        <w:tc>
          <w:tcPr>
            <w:tcW w:w="7289" w:type="dxa"/>
            <w:tcBorders>
              <w:top w:val="single" w:sz="4" w:space="0" w:color="auto"/>
              <w:left w:val="single" w:sz="4" w:space="0" w:color="auto"/>
              <w:bottom w:val="single" w:sz="4" w:space="0" w:color="auto"/>
              <w:right w:val="single" w:sz="4" w:space="0" w:color="auto"/>
            </w:tcBorders>
            <w:hideMark/>
          </w:tcPr>
          <w:p w14:paraId="338FE783" w14:textId="77777777" w:rsidR="00B808A3" w:rsidRPr="00B808A3" w:rsidRDefault="00B808A3" w:rsidP="00A75ABC">
            <w:pPr>
              <w:spacing w:after="200" w:line="276" w:lineRule="auto"/>
              <w:rPr>
                <w:rFonts w:ascii="Arial" w:hAnsi="Arial" w:cs="Arial"/>
                <w:sz w:val="24"/>
                <w:szCs w:val="24"/>
              </w:rPr>
            </w:pPr>
            <w:r w:rsidRPr="00B808A3">
              <w:rPr>
                <w:rFonts w:ascii="Arial" w:hAnsi="Arial" w:cs="Arial"/>
                <w:sz w:val="24"/>
                <w:szCs w:val="24"/>
              </w:rPr>
              <w:t>Review the ability to secure match funding, deliver value for money, and maintain transparent financial records.</w:t>
            </w:r>
          </w:p>
        </w:tc>
      </w:tr>
      <w:tr w:rsidR="00B808A3" w:rsidRPr="00B808A3" w14:paraId="106C2E37" w14:textId="77777777" w:rsidTr="53A21F4B">
        <w:tc>
          <w:tcPr>
            <w:tcW w:w="2004" w:type="dxa"/>
            <w:tcBorders>
              <w:top w:val="single" w:sz="4" w:space="0" w:color="auto"/>
              <w:left w:val="single" w:sz="4" w:space="0" w:color="auto"/>
              <w:bottom w:val="single" w:sz="4" w:space="0" w:color="auto"/>
              <w:right w:val="single" w:sz="4" w:space="0" w:color="auto"/>
            </w:tcBorders>
            <w:hideMark/>
          </w:tcPr>
          <w:p w14:paraId="59D325B8" w14:textId="77777777" w:rsidR="00B808A3" w:rsidRPr="00B808A3" w:rsidRDefault="00B808A3" w:rsidP="00A75ABC">
            <w:pPr>
              <w:spacing w:after="200" w:line="276" w:lineRule="auto"/>
              <w:rPr>
                <w:rFonts w:ascii="Arial" w:hAnsi="Arial" w:cs="Arial"/>
                <w:sz w:val="24"/>
                <w:szCs w:val="24"/>
              </w:rPr>
            </w:pPr>
            <w:r w:rsidRPr="00B808A3">
              <w:rPr>
                <w:rFonts w:ascii="Arial" w:hAnsi="Arial" w:cs="Arial"/>
                <w:sz w:val="24"/>
                <w:szCs w:val="24"/>
              </w:rPr>
              <w:t>Monitoring and Evaluation</w:t>
            </w:r>
          </w:p>
        </w:tc>
        <w:tc>
          <w:tcPr>
            <w:tcW w:w="1648" w:type="dxa"/>
            <w:tcBorders>
              <w:top w:val="single" w:sz="4" w:space="0" w:color="auto"/>
              <w:left w:val="single" w:sz="4" w:space="0" w:color="auto"/>
              <w:bottom w:val="single" w:sz="4" w:space="0" w:color="auto"/>
              <w:right w:val="single" w:sz="4" w:space="0" w:color="auto"/>
            </w:tcBorders>
            <w:hideMark/>
          </w:tcPr>
          <w:p w14:paraId="145AEBC6" w14:textId="77777777" w:rsidR="00B808A3" w:rsidRPr="00B808A3" w:rsidRDefault="00B808A3" w:rsidP="006A3954">
            <w:pPr>
              <w:spacing w:after="200" w:line="276" w:lineRule="auto"/>
              <w:jc w:val="both"/>
              <w:rPr>
                <w:rFonts w:ascii="Arial" w:hAnsi="Arial" w:cs="Arial"/>
                <w:sz w:val="24"/>
                <w:szCs w:val="24"/>
              </w:rPr>
            </w:pPr>
            <w:r w:rsidRPr="00B808A3">
              <w:rPr>
                <w:rFonts w:ascii="Arial" w:hAnsi="Arial" w:cs="Arial"/>
                <w:sz w:val="24"/>
                <w:szCs w:val="24"/>
              </w:rPr>
              <w:t>5</w:t>
            </w:r>
          </w:p>
        </w:tc>
        <w:tc>
          <w:tcPr>
            <w:tcW w:w="1695" w:type="dxa"/>
            <w:tcBorders>
              <w:top w:val="single" w:sz="4" w:space="0" w:color="auto"/>
              <w:left w:val="single" w:sz="4" w:space="0" w:color="auto"/>
              <w:bottom w:val="single" w:sz="4" w:space="0" w:color="auto"/>
              <w:right w:val="single" w:sz="4" w:space="0" w:color="auto"/>
            </w:tcBorders>
          </w:tcPr>
          <w:p w14:paraId="7F13BBEE" w14:textId="78A52FE7" w:rsidR="00B808A3" w:rsidRPr="00B808A3" w:rsidRDefault="00B808A3" w:rsidP="006A3954">
            <w:pPr>
              <w:spacing w:after="200" w:line="276" w:lineRule="auto"/>
              <w:jc w:val="both"/>
              <w:rPr>
                <w:rFonts w:ascii="Arial" w:hAnsi="Arial" w:cs="Arial"/>
                <w:sz w:val="24"/>
                <w:szCs w:val="24"/>
              </w:rPr>
            </w:pPr>
          </w:p>
        </w:tc>
        <w:tc>
          <w:tcPr>
            <w:tcW w:w="7289" w:type="dxa"/>
            <w:tcBorders>
              <w:top w:val="single" w:sz="4" w:space="0" w:color="auto"/>
              <w:left w:val="single" w:sz="4" w:space="0" w:color="auto"/>
              <w:bottom w:val="single" w:sz="4" w:space="0" w:color="auto"/>
              <w:right w:val="single" w:sz="4" w:space="0" w:color="auto"/>
            </w:tcBorders>
            <w:hideMark/>
          </w:tcPr>
          <w:p w14:paraId="331D91B9" w14:textId="77777777" w:rsidR="00B808A3" w:rsidRPr="00B808A3" w:rsidRDefault="00B808A3" w:rsidP="00A75ABC">
            <w:pPr>
              <w:spacing w:after="200" w:line="276" w:lineRule="auto"/>
              <w:rPr>
                <w:rFonts w:ascii="Arial" w:hAnsi="Arial" w:cs="Arial"/>
                <w:sz w:val="24"/>
                <w:szCs w:val="24"/>
              </w:rPr>
            </w:pPr>
            <w:r w:rsidRPr="00B808A3">
              <w:rPr>
                <w:rFonts w:ascii="Arial" w:hAnsi="Arial" w:cs="Arial"/>
                <w:sz w:val="24"/>
                <w:szCs w:val="24"/>
              </w:rPr>
              <w:t>Assess the plan for collecting and reporting on attendance, feedback, and performance metrics.</w:t>
            </w:r>
          </w:p>
        </w:tc>
      </w:tr>
      <w:tr w:rsidR="00B808A3" w:rsidRPr="00B808A3" w14:paraId="55B1DC62" w14:textId="77777777" w:rsidTr="53A21F4B">
        <w:tc>
          <w:tcPr>
            <w:tcW w:w="2004" w:type="dxa"/>
            <w:tcBorders>
              <w:top w:val="single" w:sz="4" w:space="0" w:color="auto"/>
              <w:left w:val="single" w:sz="4" w:space="0" w:color="auto"/>
              <w:bottom w:val="single" w:sz="4" w:space="0" w:color="auto"/>
              <w:right w:val="single" w:sz="4" w:space="0" w:color="auto"/>
            </w:tcBorders>
            <w:hideMark/>
          </w:tcPr>
          <w:p w14:paraId="2135BCD0" w14:textId="55B1FFDA" w:rsidR="00B808A3" w:rsidRPr="00B808A3" w:rsidRDefault="00B808A3" w:rsidP="00A75ABC">
            <w:pPr>
              <w:spacing w:after="200" w:line="276" w:lineRule="auto"/>
              <w:rPr>
                <w:rFonts w:ascii="Arial" w:hAnsi="Arial" w:cs="Arial"/>
                <w:sz w:val="24"/>
                <w:szCs w:val="24"/>
              </w:rPr>
            </w:pPr>
            <w:r w:rsidRPr="00B808A3">
              <w:rPr>
                <w:rFonts w:ascii="Arial" w:hAnsi="Arial" w:cs="Arial"/>
                <w:sz w:val="24"/>
                <w:szCs w:val="24"/>
              </w:rPr>
              <w:lastRenderedPageBreak/>
              <w:t>Collaboration</w:t>
            </w:r>
            <w:r w:rsidR="00A75ABC" w:rsidRPr="00182EC7">
              <w:rPr>
                <w:rFonts w:ascii="Arial" w:hAnsi="Arial" w:cs="Arial"/>
                <w:sz w:val="24"/>
                <w:szCs w:val="24"/>
              </w:rPr>
              <w:t xml:space="preserve">, Decision </w:t>
            </w:r>
            <w:r w:rsidRPr="00B808A3">
              <w:rPr>
                <w:rFonts w:ascii="Arial" w:hAnsi="Arial" w:cs="Arial"/>
                <w:sz w:val="24"/>
                <w:szCs w:val="24"/>
              </w:rPr>
              <w:t>and Governance</w:t>
            </w:r>
          </w:p>
        </w:tc>
        <w:tc>
          <w:tcPr>
            <w:tcW w:w="1648" w:type="dxa"/>
            <w:tcBorders>
              <w:top w:val="single" w:sz="4" w:space="0" w:color="auto"/>
              <w:left w:val="single" w:sz="4" w:space="0" w:color="auto"/>
              <w:bottom w:val="single" w:sz="4" w:space="0" w:color="auto"/>
              <w:right w:val="single" w:sz="4" w:space="0" w:color="auto"/>
            </w:tcBorders>
            <w:hideMark/>
          </w:tcPr>
          <w:p w14:paraId="25994052" w14:textId="77777777" w:rsidR="00B808A3" w:rsidRPr="00B808A3" w:rsidRDefault="00B808A3" w:rsidP="006A3954">
            <w:pPr>
              <w:spacing w:after="200" w:line="276" w:lineRule="auto"/>
              <w:jc w:val="both"/>
              <w:rPr>
                <w:rFonts w:ascii="Arial" w:hAnsi="Arial" w:cs="Arial"/>
                <w:sz w:val="24"/>
                <w:szCs w:val="24"/>
              </w:rPr>
            </w:pPr>
            <w:r w:rsidRPr="00B808A3">
              <w:rPr>
                <w:rFonts w:ascii="Arial" w:hAnsi="Arial" w:cs="Arial"/>
                <w:sz w:val="24"/>
                <w:szCs w:val="24"/>
              </w:rPr>
              <w:t>5</w:t>
            </w:r>
          </w:p>
        </w:tc>
        <w:tc>
          <w:tcPr>
            <w:tcW w:w="1695" w:type="dxa"/>
            <w:tcBorders>
              <w:top w:val="single" w:sz="4" w:space="0" w:color="auto"/>
              <w:left w:val="single" w:sz="4" w:space="0" w:color="auto"/>
              <w:bottom w:val="single" w:sz="4" w:space="0" w:color="auto"/>
              <w:right w:val="single" w:sz="4" w:space="0" w:color="auto"/>
            </w:tcBorders>
            <w:hideMark/>
          </w:tcPr>
          <w:p w14:paraId="03454B95" w14:textId="484E456E" w:rsidR="00B808A3" w:rsidRPr="00B808A3" w:rsidRDefault="00B808A3" w:rsidP="006A3954">
            <w:pPr>
              <w:spacing w:after="200" w:line="276" w:lineRule="auto"/>
              <w:jc w:val="both"/>
              <w:rPr>
                <w:rFonts w:ascii="Arial" w:hAnsi="Arial" w:cs="Arial"/>
                <w:sz w:val="24"/>
                <w:szCs w:val="24"/>
              </w:rPr>
            </w:pPr>
          </w:p>
        </w:tc>
        <w:tc>
          <w:tcPr>
            <w:tcW w:w="7289" w:type="dxa"/>
            <w:tcBorders>
              <w:top w:val="single" w:sz="4" w:space="0" w:color="auto"/>
              <w:left w:val="single" w:sz="4" w:space="0" w:color="auto"/>
              <w:bottom w:val="single" w:sz="4" w:space="0" w:color="auto"/>
              <w:right w:val="single" w:sz="4" w:space="0" w:color="auto"/>
            </w:tcBorders>
            <w:hideMark/>
          </w:tcPr>
          <w:p w14:paraId="147132AD" w14:textId="31342974" w:rsidR="00B808A3" w:rsidRPr="00B808A3" w:rsidRDefault="00B808A3" w:rsidP="00A75ABC">
            <w:pPr>
              <w:spacing w:after="200" w:line="276" w:lineRule="auto"/>
              <w:rPr>
                <w:rFonts w:ascii="Arial" w:hAnsi="Arial" w:cs="Arial"/>
                <w:sz w:val="24"/>
                <w:szCs w:val="24"/>
              </w:rPr>
            </w:pPr>
            <w:r w:rsidRPr="00B808A3">
              <w:rPr>
                <w:rFonts w:ascii="Arial" w:hAnsi="Arial" w:cs="Arial"/>
                <w:sz w:val="24"/>
                <w:szCs w:val="24"/>
              </w:rPr>
              <w:t xml:space="preserve">Evaluate the approach to working with the Council’s Events Officer and attending planning </w:t>
            </w:r>
            <w:r w:rsidR="00232E17" w:rsidRPr="00182EC7">
              <w:rPr>
                <w:rFonts w:ascii="Arial" w:hAnsi="Arial" w:cs="Arial"/>
                <w:sz w:val="24"/>
                <w:szCs w:val="24"/>
              </w:rPr>
              <w:t xml:space="preserve">and Council decision </w:t>
            </w:r>
            <w:r w:rsidRPr="00B808A3">
              <w:rPr>
                <w:rFonts w:ascii="Arial" w:hAnsi="Arial" w:cs="Arial"/>
                <w:sz w:val="24"/>
                <w:szCs w:val="24"/>
              </w:rPr>
              <w:t>meetings.</w:t>
            </w:r>
          </w:p>
        </w:tc>
      </w:tr>
    </w:tbl>
    <w:p w14:paraId="139C6DAD" w14:textId="77777777" w:rsidR="00B808A3" w:rsidRPr="005A23DC" w:rsidRDefault="00B808A3" w:rsidP="006A3954">
      <w:pPr>
        <w:jc w:val="both"/>
        <w:rPr>
          <w:rFonts w:ascii="Arial" w:hAnsi="Arial" w:cs="Arial"/>
          <w:sz w:val="24"/>
          <w:szCs w:val="24"/>
        </w:rPr>
      </w:pPr>
    </w:p>
    <w:sectPr w:rsidR="00B808A3" w:rsidRPr="005A23DC" w:rsidSect="002976B5">
      <w:pgSz w:w="15840" w:h="12240" w:orient="landscape"/>
      <w:pgMar w:top="1276" w:right="1440" w:bottom="141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93F1C" w14:textId="77777777" w:rsidR="003B4A8C" w:rsidRPr="00182EC7" w:rsidRDefault="003B4A8C" w:rsidP="00005058">
      <w:pPr>
        <w:spacing w:after="0" w:line="240" w:lineRule="auto"/>
      </w:pPr>
      <w:r w:rsidRPr="00182EC7">
        <w:separator/>
      </w:r>
    </w:p>
  </w:endnote>
  <w:endnote w:type="continuationSeparator" w:id="0">
    <w:p w14:paraId="7BA09406" w14:textId="77777777" w:rsidR="003B4A8C" w:rsidRPr="00182EC7" w:rsidRDefault="003B4A8C" w:rsidP="00005058">
      <w:pPr>
        <w:spacing w:after="0" w:line="240" w:lineRule="auto"/>
      </w:pPr>
      <w:r w:rsidRPr="00182E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736392365"/>
      <w:docPartObj>
        <w:docPartGallery w:val="Page Numbers (Bottom of Page)"/>
        <w:docPartUnique/>
      </w:docPartObj>
    </w:sdtPr>
    <w:sdtEndPr/>
    <w:sdtContent>
      <w:p w14:paraId="7D1299A0" w14:textId="12C9F30B" w:rsidR="002C2F60" w:rsidRDefault="002C2F60" w:rsidP="002C2F60">
        <w:pPr>
          <w:pStyle w:val="Footer"/>
          <w:jc w:val="center"/>
          <w:rPr>
            <w:rFonts w:ascii="Arial" w:hAnsi="Arial" w:cs="Arial"/>
            <w:sz w:val="16"/>
            <w:szCs w:val="16"/>
          </w:rPr>
        </w:pPr>
        <w:r w:rsidRPr="00206C68">
          <w:rPr>
            <w:rFonts w:ascii="Arial" w:hAnsi="Arial" w:cs="Arial"/>
            <w:b/>
            <w:bCs/>
            <w:noProof/>
            <w:sz w:val="16"/>
            <w:szCs w:val="16"/>
          </w:rPr>
          <w:drawing>
            <wp:anchor distT="0" distB="0" distL="114300" distR="114300" simplePos="0" relativeHeight="251659264" behindDoc="0" locked="0" layoutInCell="1" allowOverlap="1" wp14:anchorId="4A0E016F" wp14:editId="70B8795E">
              <wp:simplePos x="0" y="0"/>
              <wp:positionH relativeFrom="column">
                <wp:posOffset>-263060</wp:posOffset>
              </wp:positionH>
              <wp:positionV relativeFrom="paragraph">
                <wp:posOffset>-42298</wp:posOffset>
              </wp:positionV>
              <wp:extent cx="352425" cy="418382"/>
              <wp:effectExtent l="0" t="0" r="0" b="1270"/>
              <wp:wrapNone/>
              <wp:docPr id="1764480849" name="Picture 2" descr="A logo with colorful circles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185259" name="Picture 2" descr="A logo with colorful circles and white text&#10;&#10;AI-generated content may be incorrect."/>
                      <pic:cNvPicPr/>
                    </pic:nvPicPr>
                    <pic:blipFill>
                      <a:blip r:embed="rId1"/>
                      <a:stretch>
                        <a:fillRect/>
                      </a:stretch>
                    </pic:blipFill>
                    <pic:spPr>
                      <a:xfrm>
                        <a:off x="0" y="0"/>
                        <a:ext cx="352425" cy="418382"/>
                      </a:xfrm>
                      <a:prstGeom prst="rect">
                        <a:avLst/>
                      </a:prstGeom>
                    </pic:spPr>
                  </pic:pic>
                </a:graphicData>
              </a:graphic>
              <wp14:sizeRelH relativeFrom="margin">
                <wp14:pctWidth>0</wp14:pctWidth>
              </wp14:sizeRelH>
              <wp14:sizeRelV relativeFrom="margin">
                <wp14:pctHeight>0</wp14:pctHeight>
              </wp14:sizeRelV>
            </wp:anchor>
          </w:drawing>
        </w:r>
        <w:r w:rsidR="00206C68" w:rsidRPr="00206C68">
          <w:rPr>
            <w:rFonts w:ascii="Arial" w:hAnsi="Arial" w:cs="Arial"/>
            <w:sz w:val="16"/>
            <w:szCs w:val="16"/>
          </w:rPr>
          <w:fldChar w:fldCharType="begin"/>
        </w:r>
        <w:r w:rsidR="00206C68" w:rsidRPr="00206C68">
          <w:rPr>
            <w:rFonts w:ascii="Arial" w:hAnsi="Arial" w:cs="Arial"/>
            <w:sz w:val="16"/>
            <w:szCs w:val="16"/>
          </w:rPr>
          <w:instrText xml:space="preserve"> FILENAME \* MERGEFORMAT </w:instrText>
        </w:r>
        <w:r w:rsidR="00206C68" w:rsidRPr="00206C68">
          <w:rPr>
            <w:rFonts w:ascii="Arial" w:hAnsi="Arial" w:cs="Arial"/>
            <w:sz w:val="16"/>
            <w:szCs w:val="16"/>
          </w:rPr>
          <w:fldChar w:fldCharType="separate"/>
        </w:r>
        <w:r w:rsidR="00206C68" w:rsidRPr="00206C68">
          <w:rPr>
            <w:rFonts w:ascii="Arial" w:hAnsi="Arial" w:cs="Arial"/>
            <w:noProof/>
            <w:sz w:val="16"/>
            <w:szCs w:val="16"/>
          </w:rPr>
          <w:t>Taunton Together Tender Specification</w:t>
        </w:r>
        <w:r w:rsidR="00206C68" w:rsidRPr="00206C68">
          <w:rPr>
            <w:rFonts w:ascii="Arial" w:hAnsi="Arial" w:cs="Arial"/>
            <w:sz w:val="16"/>
            <w:szCs w:val="16"/>
          </w:rPr>
          <w:fldChar w:fldCharType="end"/>
        </w:r>
      </w:p>
      <w:p w14:paraId="68B6DE19" w14:textId="1F0A3B2E" w:rsidR="00005058" w:rsidRPr="00206C68" w:rsidRDefault="00005058" w:rsidP="002C2F60">
        <w:pPr>
          <w:pStyle w:val="Footer"/>
          <w:jc w:val="right"/>
          <w:rPr>
            <w:rFonts w:ascii="Arial" w:hAnsi="Arial" w:cs="Arial"/>
            <w:sz w:val="16"/>
            <w:szCs w:val="16"/>
          </w:rPr>
        </w:pPr>
        <w:r w:rsidRPr="00206C68">
          <w:rPr>
            <w:rFonts w:ascii="Arial" w:hAnsi="Arial" w:cs="Arial"/>
            <w:sz w:val="16"/>
            <w:szCs w:val="16"/>
          </w:rPr>
          <w:fldChar w:fldCharType="begin"/>
        </w:r>
        <w:r w:rsidRPr="00206C68">
          <w:rPr>
            <w:rFonts w:ascii="Arial" w:hAnsi="Arial" w:cs="Arial"/>
            <w:sz w:val="16"/>
            <w:szCs w:val="16"/>
          </w:rPr>
          <w:instrText xml:space="preserve"> PAGE   \* MERGEFORMAT </w:instrText>
        </w:r>
        <w:r w:rsidRPr="00206C68">
          <w:rPr>
            <w:rFonts w:ascii="Arial" w:hAnsi="Arial" w:cs="Arial"/>
            <w:sz w:val="16"/>
            <w:szCs w:val="16"/>
          </w:rPr>
          <w:fldChar w:fldCharType="separate"/>
        </w:r>
        <w:r w:rsidRPr="00206C68">
          <w:rPr>
            <w:rFonts w:ascii="Arial" w:hAnsi="Arial" w:cs="Arial"/>
            <w:sz w:val="16"/>
            <w:szCs w:val="16"/>
          </w:rPr>
          <w:t>2</w:t>
        </w:r>
        <w:r w:rsidRPr="00206C68">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FEB0A" w14:textId="77777777" w:rsidR="003B4A8C" w:rsidRPr="00182EC7" w:rsidRDefault="003B4A8C" w:rsidP="00005058">
      <w:pPr>
        <w:spacing w:after="0" w:line="240" w:lineRule="auto"/>
      </w:pPr>
      <w:r w:rsidRPr="00182EC7">
        <w:separator/>
      </w:r>
    </w:p>
  </w:footnote>
  <w:footnote w:type="continuationSeparator" w:id="0">
    <w:p w14:paraId="546EB3B8" w14:textId="77777777" w:rsidR="003B4A8C" w:rsidRPr="00182EC7" w:rsidRDefault="003B4A8C" w:rsidP="00005058">
      <w:pPr>
        <w:spacing w:after="0" w:line="240" w:lineRule="auto"/>
      </w:pPr>
      <w:r w:rsidRPr="00182EC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C2539C"/>
    <w:multiLevelType w:val="multilevel"/>
    <w:tmpl w:val="5274A904"/>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B0A2257"/>
    <w:multiLevelType w:val="multilevel"/>
    <w:tmpl w:val="5274A904"/>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27F4F35"/>
    <w:multiLevelType w:val="hybridMultilevel"/>
    <w:tmpl w:val="D5F6E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C65E71"/>
    <w:multiLevelType w:val="multilevel"/>
    <w:tmpl w:val="75C6AFA2"/>
    <w:lvl w:ilvl="0">
      <w:start w:val="6"/>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AF1196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C083BBA"/>
    <w:multiLevelType w:val="hybridMultilevel"/>
    <w:tmpl w:val="18A4D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C84536"/>
    <w:multiLevelType w:val="hybridMultilevel"/>
    <w:tmpl w:val="602E579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21852A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2A65E1"/>
    <w:multiLevelType w:val="hybridMultilevel"/>
    <w:tmpl w:val="55C4AC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8D06D9"/>
    <w:multiLevelType w:val="hybridMultilevel"/>
    <w:tmpl w:val="A3C67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D45AD0"/>
    <w:multiLevelType w:val="hybridMultilevel"/>
    <w:tmpl w:val="5902F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660250"/>
    <w:multiLevelType w:val="hybridMultilevel"/>
    <w:tmpl w:val="AB7C2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780406"/>
    <w:multiLevelType w:val="hybridMultilevel"/>
    <w:tmpl w:val="01F45D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B22899"/>
    <w:multiLevelType w:val="multilevel"/>
    <w:tmpl w:val="5274A904"/>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35A3655"/>
    <w:multiLevelType w:val="hybridMultilevel"/>
    <w:tmpl w:val="44DE6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824F9D"/>
    <w:multiLevelType w:val="hybridMultilevel"/>
    <w:tmpl w:val="DFD23B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BF5DE3"/>
    <w:multiLevelType w:val="hybridMultilevel"/>
    <w:tmpl w:val="1CCE6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600B48"/>
    <w:multiLevelType w:val="hybridMultilevel"/>
    <w:tmpl w:val="D7E4C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1E0F19"/>
    <w:multiLevelType w:val="hybridMultilevel"/>
    <w:tmpl w:val="AEBE3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082A03"/>
    <w:multiLevelType w:val="hybridMultilevel"/>
    <w:tmpl w:val="E5FEE1C2"/>
    <w:lvl w:ilvl="0" w:tplc="735628B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936476"/>
    <w:multiLevelType w:val="hybridMultilevel"/>
    <w:tmpl w:val="BCB4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071D6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93942148">
    <w:abstractNumId w:val="8"/>
  </w:num>
  <w:num w:numId="2" w16cid:durableId="2054885849">
    <w:abstractNumId w:val="6"/>
  </w:num>
  <w:num w:numId="3" w16cid:durableId="383022678">
    <w:abstractNumId w:val="5"/>
  </w:num>
  <w:num w:numId="4" w16cid:durableId="495924556">
    <w:abstractNumId w:val="4"/>
  </w:num>
  <w:num w:numId="5" w16cid:durableId="1957566249">
    <w:abstractNumId w:val="7"/>
  </w:num>
  <w:num w:numId="6" w16cid:durableId="1724329281">
    <w:abstractNumId w:val="3"/>
  </w:num>
  <w:num w:numId="7" w16cid:durableId="1595934385">
    <w:abstractNumId w:val="2"/>
  </w:num>
  <w:num w:numId="8" w16cid:durableId="1678733045">
    <w:abstractNumId w:val="1"/>
  </w:num>
  <w:num w:numId="9" w16cid:durableId="28646230">
    <w:abstractNumId w:val="0"/>
  </w:num>
  <w:num w:numId="10" w16cid:durableId="944995515">
    <w:abstractNumId w:val="27"/>
  </w:num>
  <w:num w:numId="11" w16cid:durableId="1461340576">
    <w:abstractNumId w:val="19"/>
  </w:num>
  <w:num w:numId="12" w16cid:durableId="722828377">
    <w:abstractNumId w:val="18"/>
  </w:num>
  <w:num w:numId="13" w16cid:durableId="2011518809">
    <w:abstractNumId w:val="20"/>
  </w:num>
  <w:num w:numId="14" w16cid:durableId="1721244005">
    <w:abstractNumId w:val="28"/>
  </w:num>
  <w:num w:numId="15" w16cid:durableId="1508865306">
    <w:abstractNumId w:val="15"/>
  </w:num>
  <w:num w:numId="16" w16cid:durableId="662125921">
    <w:abstractNumId w:val="23"/>
  </w:num>
  <w:num w:numId="17" w16cid:durableId="681781729">
    <w:abstractNumId w:val="25"/>
  </w:num>
  <w:num w:numId="18" w16cid:durableId="1507092797">
    <w:abstractNumId w:val="11"/>
  </w:num>
  <w:num w:numId="19" w16cid:durableId="1473014098">
    <w:abstractNumId w:val="14"/>
  </w:num>
  <w:num w:numId="20" w16cid:durableId="746923052">
    <w:abstractNumId w:val="29"/>
  </w:num>
  <w:num w:numId="21" w16cid:durableId="1991906450">
    <w:abstractNumId w:val="21"/>
  </w:num>
  <w:num w:numId="22" w16cid:durableId="146240825">
    <w:abstractNumId w:val="24"/>
  </w:num>
  <w:num w:numId="23" w16cid:durableId="827021897">
    <w:abstractNumId w:val="30"/>
  </w:num>
  <w:num w:numId="24" w16cid:durableId="1177501371">
    <w:abstractNumId w:val="16"/>
  </w:num>
  <w:num w:numId="25" w16cid:durableId="899486041">
    <w:abstractNumId w:val="22"/>
  </w:num>
  <w:num w:numId="26" w16cid:durableId="871695413">
    <w:abstractNumId w:val="12"/>
  </w:num>
  <w:num w:numId="27" w16cid:durableId="2007053369">
    <w:abstractNumId w:val="13"/>
  </w:num>
  <w:num w:numId="28" w16cid:durableId="616260543">
    <w:abstractNumId w:val="10"/>
  </w:num>
  <w:num w:numId="29" w16cid:durableId="1812946142">
    <w:abstractNumId w:val="9"/>
  </w:num>
  <w:num w:numId="30" w16cid:durableId="703404581">
    <w:abstractNumId w:val="17"/>
  </w:num>
  <w:num w:numId="31" w16cid:durableId="104517926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058"/>
    <w:rsid w:val="000216E3"/>
    <w:rsid w:val="00034616"/>
    <w:rsid w:val="0006063C"/>
    <w:rsid w:val="00092017"/>
    <w:rsid w:val="00141965"/>
    <w:rsid w:val="00143DE9"/>
    <w:rsid w:val="0015074B"/>
    <w:rsid w:val="001774E3"/>
    <w:rsid w:val="00182EC7"/>
    <w:rsid w:val="00206C68"/>
    <w:rsid w:val="00221860"/>
    <w:rsid w:val="00232E17"/>
    <w:rsid w:val="002735DB"/>
    <w:rsid w:val="00284C3F"/>
    <w:rsid w:val="0029639D"/>
    <w:rsid w:val="002976B5"/>
    <w:rsid w:val="002C2F60"/>
    <w:rsid w:val="002D5846"/>
    <w:rsid w:val="002F3FD3"/>
    <w:rsid w:val="003017FE"/>
    <w:rsid w:val="003043E4"/>
    <w:rsid w:val="00305015"/>
    <w:rsid w:val="0030696F"/>
    <w:rsid w:val="00326F90"/>
    <w:rsid w:val="00333626"/>
    <w:rsid w:val="003451D4"/>
    <w:rsid w:val="003938B3"/>
    <w:rsid w:val="003A6880"/>
    <w:rsid w:val="003B4A8C"/>
    <w:rsid w:val="0040749D"/>
    <w:rsid w:val="00492215"/>
    <w:rsid w:val="004E2FBA"/>
    <w:rsid w:val="005067B6"/>
    <w:rsid w:val="0054660D"/>
    <w:rsid w:val="005A1A12"/>
    <w:rsid w:val="005A23DC"/>
    <w:rsid w:val="00633407"/>
    <w:rsid w:val="00696719"/>
    <w:rsid w:val="006A3954"/>
    <w:rsid w:val="007066DD"/>
    <w:rsid w:val="00765A44"/>
    <w:rsid w:val="0077757E"/>
    <w:rsid w:val="00843442"/>
    <w:rsid w:val="008A4F06"/>
    <w:rsid w:val="008E404C"/>
    <w:rsid w:val="008F13A6"/>
    <w:rsid w:val="00915778"/>
    <w:rsid w:val="00924C76"/>
    <w:rsid w:val="0097618A"/>
    <w:rsid w:val="009B340B"/>
    <w:rsid w:val="00A15C10"/>
    <w:rsid w:val="00A21509"/>
    <w:rsid w:val="00A4787F"/>
    <w:rsid w:val="00A72066"/>
    <w:rsid w:val="00A75ABC"/>
    <w:rsid w:val="00A80851"/>
    <w:rsid w:val="00A80BF2"/>
    <w:rsid w:val="00AA1D8D"/>
    <w:rsid w:val="00AB5D98"/>
    <w:rsid w:val="00AB6295"/>
    <w:rsid w:val="00B47730"/>
    <w:rsid w:val="00B52166"/>
    <w:rsid w:val="00B65B58"/>
    <w:rsid w:val="00B808A3"/>
    <w:rsid w:val="00B95252"/>
    <w:rsid w:val="00BD0F1F"/>
    <w:rsid w:val="00BD23D6"/>
    <w:rsid w:val="00BE0D7C"/>
    <w:rsid w:val="00BF5F92"/>
    <w:rsid w:val="00C00A0C"/>
    <w:rsid w:val="00C024DA"/>
    <w:rsid w:val="00C50619"/>
    <w:rsid w:val="00C805FA"/>
    <w:rsid w:val="00CA2E9F"/>
    <w:rsid w:val="00CA4542"/>
    <w:rsid w:val="00CB0664"/>
    <w:rsid w:val="00CC24BC"/>
    <w:rsid w:val="00CE1489"/>
    <w:rsid w:val="00CE7640"/>
    <w:rsid w:val="00D326BD"/>
    <w:rsid w:val="00D45EAA"/>
    <w:rsid w:val="00E03AA7"/>
    <w:rsid w:val="00E16501"/>
    <w:rsid w:val="00E36784"/>
    <w:rsid w:val="00EF600D"/>
    <w:rsid w:val="00F06E98"/>
    <w:rsid w:val="00F072AC"/>
    <w:rsid w:val="00F1565E"/>
    <w:rsid w:val="00F815D8"/>
    <w:rsid w:val="00FC693F"/>
    <w:rsid w:val="00FD362A"/>
    <w:rsid w:val="095A704A"/>
    <w:rsid w:val="098E10E8"/>
    <w:rsid w:val="0B38921E"/>
    <w:rsid w:val="17640458"/>
    <w:rsid w:val="2E62E1D4"/>
    <w:rsid w:val="354F89E0"/>
    <w:rsid w:val="4042B0BD"/>
    <w:rsid w:val="477BB7A2"/>
    <w:rsid w:val="4DA359AD"/>
    <w:rsid w:val="53A21F4B"/>
    <w:rsid w:val="63C0CA8E"/>
    <w:rsid w:val="721F2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724F73"/>
  <w14:defaultImageDpi w14:val="300"/>
  <w15:docId w15:val="{92363384-07BB-49EF-B4B9-C03720626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ceholderText">
    <w:name w:val="Placeholder Text"/>
    <w:basedOn w:val="DefaultParagraphFont"/>
    <w:uiPriority w:val="99"/>
    <w:semiHidden/>
    <w:rsid w:val="00005058"/>
    <w:rPr>
      <w:color w:val="666666"/>
    </w:rPr>
  </w:style>
  <w:style w:type="paragraph" w:styleId="TOC1">
    <w:name w:val="toc 1"/>
    <w:basedOn w:val="Normal"/>
    <w:next w:val="Normal"/>
    <w:autoRedefine/>
    <w:uiPriority w:val="39"/>
    <w:unhideWhenUsed/>
    <w:rsid w:val="00005058"/>
    <w:pPr>
      <w:spacing w:after="100"/>
    </w:pPr>
  </w:style>
  <w:style w:type="paragraph" w:styleId="TOC2">
    <w:name w:val="toc 2"/>
    <w:basedOn w:val="Normal"/>
    <w:next w:val="Normal"/>
    <w:autoRedefine/>
    <w:uiPriority w:val="39"/>
    <w:unhideWhenUsed/>
    <w:rsid w:val="00005058"/>
    <w:pPr>
      <w:spacing w:after="100"/>
      <w:ind w:left="220"/>
    </w:pPr>
  </w:style>
  <w:style w:type="character" w:styleId="Hyperlink">
    <w:name w:val="Hyperlink"/>
    <w:basedOn w:val="DefaultParagraphFont"/>
    <w:uiPriority w:val="99"/>
    <w:unhideWhenUsed/>
    <w:rsid w:val="00005058"/>
    <w:rPr>
      <w:color w:val="0000FF" w:themeColor="hyperlink"/>
      <w:u w:val="single"/>
    </w:rPr>
  </w:style>
  <w:style w:type="character" w:styleId="UnresolvedMention">
    <w:name w:val="Unresolved Mention"/>
    <w:basedOn w:val="DefaultParagraphFont"/>
    <w:uiPriority w:val="99"/>
    <w:semiHidden/>
    <w:unhideWhenUsed/>
    <w:rsid w:val="00B65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613572">
      <w:bodyDiv w:val="1"/>
      <w:marLeft w:val="0"/>
      <w:marRight w:val="0"/>
      <w:marTop w:val="0"/>
      <w:marBottom w:val="0"/>
      <w:divBdr>
        <w:top w:val="none" w:sz="0" w:space="0" w:color="auto"/>
        <w:left w:val="none" w:sz="0" w:space="0" w:color="auto"/>
        <w:bottom w:val="none" w:sz="0" w:space="0" w:color="auto"/>
        <w:right w:val="none" w:sz="0" w:space="0" w:color="auto"/>
      </w:divBdr>
    </w:div>
    <w:div w:id="6171794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aunton-tc.gov.uk/wp-content/uploads/sites/98/2024/04/Taunton-Town-Council-Arts-and-Culture-Strategy-final.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lace@taunton-tc.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ommunity@taunton-tc.gov.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aunton-tc.gov.uk/wp-content/uploads/sites/98/2024/08/Taunton-Town-Council-Corporate-Plan-24-28.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390d41-fdbb-4f9f-9194-01fe23964617">
      <Terms xmlns="http://schemas.microsoft.com/office/infopath/2007/PartnerControls"/>
    </lcf76f155ced4ddcb4097134ff3c332f>
    <TaxCatchAll xmlns="04ed26ce-ed03-41e2-9c11-bab4c50f8fd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CEE15314014942956253B0EA8EFAEB" ma:contentTypeVersion="13" ma:contentTypeDescription="Create a new document." ma:contentTypeScope="" ma:versionID="b18f34e75fc1341e52bbb8e7b2cb7647">
  <xsd:schema xmlns:xsd="http://www.w3.org/2001/XMLSchema" xmlns:xs="http://www.w3.org/2001/XMLSchema" xmlns:p="http://schemas.microsoft.com/office/2006/metadata/properties" xmlns:ns2="f4390d41-fdbb-4f9f-9194-01fe23964617" xmlns:ns3="04ed26ce-ed03-41e2-9c11-bab4c50f8fd3" targetNamespace="http://schemas.microsoft.com/office/2006/metadata/properties" ma:root="true" ma:fieldsID="acecd322c34613affc96ba7fdc68fe0d" ns2:_="" ns3:_="">
    <xsd:import namespace="f4390d41-fdbb-4f9f-9194-01fe23964617"/>
    <xsd:import namespace="04ed26ce-ed03-41e2-9c11-bab4c50f8f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90d41-fdbb-4f9f-9194-01fe23964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cd8a6c-4764-43c3-ade4-7950e13fad5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ed26ce-ed03-41e2-9c11-bab4c50f8fd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5a79758-ef24-4936-b074-7fa70f5b670d}" ma:internalName="TaxCatchAll" ma:showField="CatchAllData" ma:web="04ed26ce-ed03-41e2-9c11-bab4c50f8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1C09A-C3C1-4E6A-A06D-EF3D91D0FA5C}">
  <ds:schemaRefs>
    <ds:schemaRef ds:uri="http://schemas.microsoft.com/office/2006/metadata/properties"/>
    <ds:schemaRef ds:uri="http://schemas.microsoft.com/office/infopath/2007/PartnerControls"/>
    <ds:schemaRef ds:uri="f4390d41-fdbb-4f9f-9194-01fe23964617"/>
    <ds:schemaRef ds:uri="04ed26ce-ed03-41e2-9c11-bab4c50f8fd3"/>
  </ds:schemaRefs>
</ds:datastoreItem>
</file>

<file path=customXml/itemProps2.xml><?xml version="1.0" encoding="utf-8"?>
<ds:datastoreItem xmlns:ds="http://schemas.openxmlformats.org/officeDocument/2006/customXml" ds:itemID="{C99781CE-52C6-4AFE-952B-714CEFDBA175}">
  <ds:schemaRefs>
    <ds:schemaRef ds:uri="http://schemas.microsoft.com/sharepoint/v3/contenttype/forms"/>
  </ds:schemaRefs>
</ds:datastoreItem>
</file>

<file path=customXml/itemProps3.xml><?xml version="1.0" encoding="utf-8"?>
<ds:datastoreItem xmlns:ds="http://schemas.openxmlformats.org/officeDocument/2006/customXml" ds:itemID="{95823113-2541-4947-95E9-0D71EC85B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90d41-fdbb-4f9f-9194-01fe23964617"/>
    <ds:schemaRef ds:uri="04ed26ce-ed03-41e2-9c11-bab4c50f8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2755</Words>
  <Characters>15708</Characters>
  <Application>Microsoft Office Word</Application>
  <DocSecurity>4</DocSecurity>
  <Lines>130</Lines>
  <Paragraphs>36</Paragraphs>
  <ScaleCrop>false</ScaleCrop>
  <Manager/>
  <Company/>
  <LinksUpToDate>false</LinksUpToDate>
  <CharactersWithSpaces>18427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Louise Rowe</cp:lastModifiedBy>
  <cp:revision>2</cp:revision>
  <dcterms:created xsi:type="dcterms:W3CDTF">2025-09-16T08:29:00Z</dcterms:created>
  <dcterms:modified xsi:type="dcterms:W3CDTF">2025-09-16T08:29:00Z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0x0101002FCEE15314014942956253B0EA8EFAEB</vt:lpwstr>
  </property>
  <property fmtid="{D5CDD505-2E9C-101B-9397-08002B2CF9AE}" pid="3" name="MediaServiceImageTags">
    <vt:lpwstr/>
  </property>
</Properties>
</file>