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E154" w14:textId="149123C4" w:rsidR="00AE27C1" w:rsidRDefault="00AE27C1" w:rsidP="00AE27C1">
      <w:pPr>
        <w:jc w:val="center"/>
        <w:rPr>
          <w:b/>
          <w:bCs/>
          <w:i/>
          <w:iCs/>
          <w:u w:val="single"/>
        </w:rPr>
      </w:pPr>
      <w:r>
        <w:rPr>
          <w:noProof/>
        </w:rPr>
        <w:drawing>
          <wp:inline distT="0" distB="0" distL="0" distR="0" wp14:anchorId="1F15DE49" wp14:editId="24FD6652">
            <wp:extent cx="1389255" cy="1394815"/>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879" cy="1406486"/>
                    </a:xfrm>
                    <a:prstGeom prst="rect">
                      <a:avLst/>
                    </a:prstGeom>
                    <a:noFill/>
                    <a:ln>
                      <a:noFill/>
                    </a:ln>
                  </pic:spPr>
                </pic:pic>
              </a:graphicData>
            </a:graphic>
          </wp:inline>
        </w:drawing>
      </w:r>
    </w:p>
    <w:p w14:paraId="18B996BC" w14:textId="418231E4" w:rsidR="00785179" w:rsidRPr="00180DCF" w:rsidRDefault="00785179" w:rsidP="00785179">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22D87B12" w14:textId="77777777" w:rsidR="00785179" w:rsidRDefault="00785179" w:rsidP="00785179">
      <w:pPr>
        <w:jc w:val="center"/>
        <w:rPr>
          <w:b/>
          <w:bCs/>
          <w:i/>
          <w:iCs/>
        </w:rPr>
      </w:pPr>
      <w:r>
        <w:rPr>
          <w:b/>
          <w:bCs/>
          <w:i/>
          <w:iCs/>
        </w:rPr>
        <w:t xml:space="preserve">Tender </w:t>
      </w:r>
      <w:r w:rsidRPr="00180DCF">
        <w:rPr>
          <w:b/>
          <w:bCs/>
          <w:i/>
          <w:iCs/>
        </w:rPr>
        <w:t>Clarifications</w:t>
      </w:r>
      <w:r>
        <w:rPr>
          <w:b/>
          <w:bCs/>
          <w:i/>
          <w:iCs/>
        </w:rPr>
        <w:t xml:space="preserve"> and Guidance 5</w:t>
      </w:r>
      <w:r w:rsidRPr="00180DCF">
        <w:rPr>
          <w:b/>
          <w:bCs/>
          <w:i/>
          <w:iCs/>
        </w:rPr>
        <w:t xml:space="preserve"> </w:t>
      </w:r>
    </w:p>
    <w:p w14:paraId="65F63408" w14:textId="4B4F16BA" w:rsidR="00785179" w:rsidRDefault="004B2089" w:rsidP="00785179">
      <w:pPr>
        <w:jc w:val="center"/>
        <w:rPr>
          <w:b/>
          <w:bCs/>
          <w:i/>
          <w:iCs/>
        </w:rPr>
      </w:pPr>
      <w:r>
        <w:rPr>
          <w:b/>
          <w:bCs/>
          <w:i/>
          <w:iCs/>
        </w:rPr>
        <w:t>12</w:t>
      </w:r>
      <w:r w:rsidR="00785179" w:rsidRPr="00180DCF">
        <w:rPr>
          <w:b/>
          <w:bCs/>
          <w:i/>
          <w:iCs/>
        </w:rPr>
        <w:t xml:space="preserve"> September 2025</w:t>
      </w:r>
    </w:p>
    <w:p w14:paraId="31371696" w14:textId="77777777" w:rsidR="00785179" w:rsidRDefault="00785179" w:rsidP="00785179">
      <w:pPr>
        <w:rPr>
          <w:b/>
          <w:bCs/>
          <w:i/>
          <w:iCs/>
        </w:rPr>
      </w:pPr>
    </w:p>
    <w:p w14:paraId="296A3FC0" w14:textId="77777777" w:rsidR="00785179" w:rsidRPr="00B02C0D" w:rsidRDefault="00785179" w:rsidP="00785179">
      <w:pPr>
        <w:jc w:val="center"/>
        <w:rPr>
          <w:b/>
          <w:bCs/>
          <w:u w:val="single"/>
        </w:rPr>
      </w:pPr>
      <w:r w:rsidRPr="00B02C0D">
        <w:rPr>
          <w:b/>
          <w:bCs/>
          <w:u w:val="single"/>
        </w:rPr>
        <w:t>ONE</w:t>
      </w:r>
    </w:p>
    <w:p w14:paraId="6C1C789F" w14:textId="77777777" w:rsidR="00785179" w:rsidRDefault="00785179" w:rsidP="00785179">
      <w:pPr>
        <w:numPr>
          <w:ilvl w:val="0"/>
          <w:numId w:val="3"/>
        </w:numPr>
        <w:rPr>
          <w:b/>
          <w:bCs/>
          <w:i/>
          <w:iCs/>
        </w:rPr>
      </w:pPr>
      <w:r w:rsidRPr="00C55454">
        <w:rPr>
          <w:b/>
          <w:bCs/>
          <w:i/>
          <w:iCs/>
        </w:rPr>
        <w:t xml:space="preserve">Are you anticipating all legal spend to be a retainer? For example, are you expecting dealing with disputes or completing capital projects to be included in the fixed price? </w:t>
      </w:r>
    </w:p>
    <w:p w14:paraId="381214CB" w14:textId="77777777" w:rsidR="00C0020C" w:rsidRPr="0088008E" w:rsidRDefault="00C0020C" w:rsidP="00C0020C">
      <w:pPr>
        <w:rPr>
          <w:color w:val="215E99" w:themeColor="text2" w:themeTint="BF"/>
        </w:rPr>
      </w:pPr>
      <w:r w:rsidRPr="0088008E">
        <w:rPr>
          <w:color w:val="215E99" w:themeColor="text2" w:themeTint="BF"/>
        </w:rPr>
        <w:t xml:space="preserve">The retainer is the principal legal spend, as relates to the proposed three-year contract under this tender. </w:t>
      </w:r>
    </w:p>
    <w:p w14:paraId="28B48564" w14:textId="77777777" w:rsidR="00C0020C" w:rsidRPr="00C0020C" w:rsidRDefault="00C0020C" w:rsidP="00C0020C">
      <w:pPr>
        <w:rPr>
          <w:color w:val="215E99" w:themeColor="text2" w:themeTint="BF"/>
        </w:rPr>
      </w:pPr>
      <w:r w:rsidRPr="0088008E">
        <w:rPr>
          <w:color w:val="215E99" w:themeColor="text2" w:themeTint="BF"/>
        </w:rPr>
        <w:t>Disputes and larger scale capital project legal support could be outside of the scope of this retainer. In such cases, the Group would likely seek to tender for representation for this separately. The retained legal provider of course would be welcome to bid for that future tender should the need arise.</w:t>
      </w:r>
      <w:r w:rsidRPr="00C0020C">
        <w:rPr>
          <w:color w:val="215E99" w:themeColor="text2" w:themeTint="BF"/>
        </w:rPr>
        <w:t xml:space="preserve"> </w:t>
      </w:r>
    </w:p>
    <w:p w14:paraId="1F3C32CB" w14:textId="77777777" w:rsidR="00785179" w:rsidRPr="005D5629" w:rsidRDefault="00785179" w:rsidP="00785179">
      <w:pPr>
        <w:rPr>
          <w:color w:val="156082" w:themeColor="accent1"/>
        </w:rPr>
      </w:pPr>
    </w:p>
    <w:p w14:paraId="63754C71" w14:textId="77777777" w:rsidR="00785179" w:rsidRPr="00B02C0D" w:rsidRDefault="00785179" w:rsidP="00785179">
      <w:pPr>
        <w:jc w:val="center"/>
        <w:rPr>
          <w:b/>
          <w:bCs/>
          <w:u w:val="single"/>
        </w:rPr>
      </w:pPr>
      <w:r w:rsidRPr="00B02C0D">
        <w:rPr>
          <w:b/>
          <w:bCs/>
          <w:u w:val="single"/>
        </w:rPr>
        <w:t>TWO</w:t>
      </w:r>
    </w:p>
    <w:p w14:paraId="26027BD2" w14:textId="77777777" w:rsidR="00785179" w:rsidRPr="00C55454" w:rsidRDefault="00785179" w:rsidP="00785179">
      <w:pPr>
        <w:numPr>
          <w:ilvl w:val="0"/>
          <w:numId w:val="3"/>
        </w:numPr>
        <w:rPr>
          <w:b/>
          <w:bCs/>
          <w:i/>
          <w:iCs/>
        </w:rPr>
      </w:pPr>
      <w:r w:rsidRPr="00C55454">
        <w:rPr>
          <w:b/>
          <w:bCs/>
          <w:i/>
          <w:iCs/>
        </w:rPr>
        <w:t>Could you confirm your legal spend for the last 3 years and the split between the specified areas?</w:t>
      </w:r>
    </w:p>
    <w:p w14:paraId="4854E8ED" w14:textId="77777777" w:rsidR="00785179" w:rsidRPr="008729C6" w:rsidRDefault="00785179" w:rsidP="00785179">
      <w:pPr>
        <w:rPr>
          <w:b/>
          <w:bCs/>
          <w:i/>
          <w:iCs/>
          <w:color w:val="215E99" w:themeColor="text2" w:themeTint="BF"/>
        </w:rPr>
      </w:pPr>
      <w:r w:rsidRPr="008729C6">
        <w:rPr>
          <w:color w:val="215E99" w:themeColor="text2" w:themeTint="BF"/>
        </w:rPr>
        <w:t>Previous retainers represented a general spend covering all priorities areas set out in ITT Section 3, Tender Requirements, paragraph 1 (a) to (</w:t>
      </w:r>
      <w:proofErr w:type="spellStart"/>
      <w:r w:rsidRPr="008729C6">
        <w:rPr>
          <w:color w:val="215E99" w:themeColor="text2" w:themeTint="BF"/>
        </w:rPr>
        <w:t>i</w:t>
      </w:r>
      <w:proofErr w:type="spellEnd"/>
      <w:r w:rsidRPr="008729C6">
        <w:rPr>
          <w:color w:val="215E99" w:themeColor="text2" w:themeTint="BF"/>
        </w:rPr>
        <w:t>) and as such it is not possible to itemise or separate each element of advice and services individually.</w:t>
      </w:r>
      <w:r w:rsidRPr="008729C6">
        <w:rPr>
          <w:b/>
          <w:bCs/>
          <w:i/>
          <w:iCs/>
          <w:color w:val="215E99" w:themeColor="text2" w:themeTint="BF"/>
        </w:rPr>
        <w:t xml:space="preserve"> </w:t>
      </w:r>
    </w:p>
    <w:p w14:paraId="7C78AA6E" w14:textId="77777777" w:rsidR="00785179" w:rsidRPr="008729C6" w:rsidRDefault="00785179" w:rsidP="00785179">
      <w:pPr>
        <w:rPr>
          <w:color w:val="215E99" w:themeColor="text2" w:themeTint="BF"/>
        </w:rPr>
      </w:pPr>
      <w:r w:rsidRPr="008729C6">
        <w:rPr>
          <w:color w:val="215E99" w:themeColor="text2" w:themeTint="BF"/>
        </w:rPr>
        <w:t xml:space="preserve">Pricing/Cost is one of the key scoring criteria, and as such it is expected that bidders calculate their own cost of providing this service to meet EKC Group’s requirements and tender evaluation parameters. </w:t>
      </w:r>
    </w:p>
    <w:p w14:paraId="3C2F321A" w14:textId="77777777" w:rsidR="00785179" w:rsidRPr="008729C6" w:rsidRDefault="00785179" w:rsidP="00785179">
      <w:pPr>
        <w:rPr>
          <w:color w:val="215E99" w:themeColor="text2" w:themeTint="BF"/>
        </w:rPr>
      </w:pPr>
      <w:r w:rsidRPr="008729C6">
        <w:rPr>
          <w:color w:val="215E99" w:themeColor="text2" w:themeTint="BF"/>
        </w:rPr>
        <w:t xml:space="preserve">Therefore, in the interests of maintaining fairness throughout the tender process, any previous years’ spend in this area has been deemed not relevant to this year’s current tender. </w:t>
      </w:r>
    </w:p>
    <w:p w14:paraId="79A1D7E6" w14:textId="77777777" w:rsidR="00785179" w:rsidRDefault="00785179" w:rsidP="00785179">
      <w:pPr>
        <w:rPr>
          <w:b/>
          <w:bCs/>
          <w:i/>
          <w:iCs/>
        </w:rPr>
      </w:pPr>
    </w:p>
    <w:p w14:paraId="50E48532" w14:textId="77777777" w:rsidR="00785179" w:rsidRDefault="00785179" w:rsidP="00785179">
      <w:pPr>
        <w:rPr>
          <w:b/>
          <w:bCs/>
          <w:i/>
          <w:iCs/>
        </w:rPr>
      </w:pPr>
    </w:p>
    <w:p w14:paraId="69D6A5B4" w14:textId="77777777" w:rsidR="00785179" w:rsidRDefault="00785179" w:rsidP="00785179">
      <w:pPr>
        <w:rPr>
          <w:b/>
          <w:bCs/>
          <w:i/>
          <w:iCs/>
        </w:rPr>
      </w:pPr>
    </w:p>
    <w:p w14:paraId="15C959D3" w14:textId="77777777" w:rsidR="009B58E0" w:rsidRDefault="009B58E0" w:rsidP="00785179">
      <w:pPr>
        <w:rPr>
          <w:b/>
          <w:bCs/>
          <w:i/>
          <w:iCs/>
        </w:rPr>
      </w:pPr>
    </w:p>
    <w:p w14:paraId="392BB741" w14:textId="77777777" w:rsidR="009B58E0" w:rsidRDefault="009B58E0" w:rsidP="00785179">
      <w:pPr>
        <w:rPr>
          <w:b/>
          <w:bCs/>
          <w:i/>
          <w:iCs/>
        </w:rPr>
      </w:pPr>
    </w:p>
    <w:p w14:paraId="6A9FE2B9" w14:textId="77777777" w:rsidR="00785179" w:rsidRPr="00B02C0D" w:rsidRDefault="00785179" w:rsidP="00785179">
      <w:pPr>
        <w:jc w:val="center"/>
        <w:rPr>
          <w:b/>
          <w:bCs/>
          <w:u w:val="single"/>
        </w:rPr>
      </w:pPr>
      <w:r w:rsidRPr="00B02C0D">
        <w:rPr>
          <w:b/>
          <w:bCs/>
          <w:u w:val="single"/>
        </w:rPr>
        <w:t>THREE</w:t>
      </w:r>
    </w:p>
    <w:p w14:paraId="12C9C879" w14:textId="77777777" w:rsidR="00785179" w:rsidRPr="0025672A" w:rsidRDefault="00785179" w:rsidP="00785179">
      <w:pPr>
        <w:pStyle w:val="ListParagraph"/>
        <w:numPr>
          <w:ilvl w:val="0"/>
          <w:numId w:val="3"/>
        </w:numPr>
        <w:rPr>
          <w:b/>
          <w:bCs/>
          <w:i/>
          <w:iCs/>
        </w:rPr>
      </w:pPr>
      <w:r w:rsidRPr="0025672A">
        <w:rPr>
          <w:b/>
          <w:bCs/>
          <w:i/>
          <w:iCs/>
        </w:rPr>
        <w:t>How will the clarification responses be issued? Via email?</w:t>
      </w:r>
    </w:p>
    <w:p w14:paraId="621C87B2" w14:textId="77777777" w:rsidR="00785179" w:rsidRPr="005C149D" w:rsidRDefault="00785179" w:rsidP="00785179">
      <w:pPr>
        <w:rPr>
          <w:color w:val="215E99" w:themeColor="text2" w:themeTint="BF"/>
        </w:rPr>
      </w:pPr>
      <w:r w:rsidRPr="005C149D">
        <w:rPr>
          <w:color w:val="215E99" w:themeColor="text2" w:themeTint="BF"/>
        </w:rPr>
        <w:t xml:space="preserve">Responses to questions will be communicated via direct email reply to each enquirer, and will be posted in a Clarifications and Guidance document which will be made available for download in the Documents section of the tender on the Central Digital Platform (Find a tender website). </w:t>
      </w:r>
    </w:p>
    <w:p w14:paraId="7B8EAB46" w14:textId="77777777" w:rsidR="00785179" w:rsidRPr="005C149D" w:rsidRDefault="00785179" w:rsidP="00785179">
      <w:pPr>
        <w:rPr>
          <w:color w:val="215E99" w:themeColor="text2" w:themeTint="BF"/>
        </w:rPr>
      </w:pPr>
      <w:r w:rsidRPr="005C149D">
        <w:rPr>
          <w:color w:val="215E99" w:themeColor="text2" w:themeTint="BF"/>
        </w:rPr>
        <w:t>If you have you set your account to ‘watch’ this tender, you will be automatically notified once the new attachments have been uploaded to the tender.</w:t>
      </w:r>
    </w:p>
    <w:p w14:paraId="2B4DA70C" w14:textId="77777777" w:rsidR="00785179" w:rsidRPr="005C149D" w:rsidRDefault="00785179" w:rsidP="00785179">
      <w:pPr>
        <w:rPr>
          <w:color w:val="215E99" w:themeColor="text2" w:themeTint="BF"/>
        </w:rPr>
      </w:pPr>
      <w:r w:rsidRPr="005C149D">
        <w:rPr>
          <w:color w:val="215E99" w:themeColor="text2" w:themeTint="BF"/>
        </w:rPr>
        <w:t xml:space="preserve">But do check the Documents section of the tender regularly throughout the tender process to stay up to date. </w:t>
      </w:r>
    </w:p>
    <w:p w14:paraId="29923ABB" w14:textId="77777777" w:rsidR="00785179" w:rsidRPr="005C149D" w:rsidRDefault="00785179" w:rsidP="00785179">
      <w:pPr>
        <w:jc w:val="center"/>
        <w:rPr>
          <w:b/>
          <w:bCs/>
        </w:rPr>
      </w:pPr>
      <w:r w:rsidRPr="005C149D">
        <w:rPr>
          <w:b/>
          <w:bCs/>
        </w:rPr>
        <w:t>_END_</w:t>
      </w:r>
    </w:p>
    <w:p w14:paraId="69E3EDA6" w14:textId="77777777" w:rsidR="00785179" w:rsidRPr="008729C6" w:rsidRDefault="00785179" w:rsidP="00785179">
      <w:pPr>
        <w:rPr>
          <w:i/>
          <w:iCs/>
          <w:color w:val="215E99" w:themeColor="text2" w:themeTint="BF"/>
        </w:rPr>
      </w:pPr>
    </w:p>
    <w:p w14:paraId="6820F1B6" w14:textId="77777777" w:rsidR="00785179" w:rsidRDefault="00785179" w:rsidP="00785179">
      <w:pPr>
        <w:rPr>
          <w:b/>
          <w:bCs/>
          <w:i/>
          <w:iCs/>
        </w:rPr>
      </w:pPr>
    </w:p>
    <w:p w14:paraId="52E5CF59" w14:textId="77777777" w:rsidR="00785179" w:rsidRDefault="00785179" w:rsidP="00785179">
      <w:pPr>
        <w:rPr>
          <w:b/>
          <w:bCs/>
          <w:i/>
          <w:iCs/>
        </w:rPr>
      </w:pPr>
    </w:p>
    <w:p w14:paraId="55506950" w14:textId="77777777" w:rsidR="00785179" w:rsidRDefault="00785179" w:rsidP="00785179">
      <w:pPr>
        <w:rPr>
          <w:b/>
          <w:bCs/>
          <w:i/>
          <w:iCs/>
        </w:rPr>
      </w:pPr>
    </w:p>
    <w:p w14:paraId="08E5160E" w14:textId="77777777" w:rsidR="00785179" w:rsidRDefault="00785179" w:rsidP="00785179"/>
    <w:p w14:paraId="03B02CF6" w14:textId="77777777" w:rsidR="00785179" w:rsidRPr="00C55454" w:rsidRDefault="00785179" w:rsidP="00C55454">
      <w:pPr>
        <w:rPr>
          <w:b/>
          <w:bCs/>
          <w:i/>
          <w:iCs/>
        </w:rPr>
      </w:pPr>
    </w:p>
    <w:p w14:paraId="5E771605" w14:textId="77777777" w:rsidR="00C55454" w:rsidRDefault="00C55454" w:rsidP="00C55454">
      <w:pPr>
        <w:rPr>
          <w:b/>
          <w:bCs/>
          <w:i/>
          <w:iCs/>
        </w:rPr>
      </w:pPr>
    </w:p>
    <w:p w14:paraId="3D476F9B" w14:textId="77777777" w:rsidR="00E466CC" w:rsidRDefault="00E466CC"/>
    <w:sectPr w:rsidR="00E466CC">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F53D" w14:textId="77777777" w:rsidR="00A25955" w:rsidRDefault="00A25955" w:rsidP="00C55454">
      <w:pPr>
        <w:spacing w:after="0" w:line="240" w:lineRule="auto"/>
      </w:pPr>
      <w:r>
        <w:separator/>
      </w:r>
    </w:p>
  </w:endnote>
  <w:endnote w:type="continuationSeparator" w:id="0">
    <w:p w14:paraId="49ACEAE6" w14:textId="77777777" w:rsidR="00A25955" w:rsidRDefault="00A25955" w:rsidP="00C5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C731" w14:textId="18168CC0" w:rsidR="00C55454" w:rsidRDefault="00E76D97">
    <w:pPr>
      <w:pStyle w:val="Footer"/>
    </w:pPr>
    <w:r>
      <w:rPr>
        <w:noProof/>
      </w:rPr>
      <mc:AlternateContent>
        <mc:Choice Requires="wps">
          <w:drawing>
            <wp:anchor distT="0" distB="0" distL="0" distR="0" simplePos="0" relativeHeight="251659264" behindDoc="0" locked="0" layoutInCell="1" allowOverlap="1" wp14:anchorId="34226C28" wp14:editId="3EB4E5A2">
              <wp:simplePos x="635" y="635"/>
              <wp:positionH relativeFrom="page">
                <wp:align>left</wp:align>
              </wp:positionH>
              <wp:positionV relativeFrom="page">
                <wp:align>bottom</wp:align>
              </wp:positionV>
              <wp:extent cx="627380" cy="405765"/>
              <wp:effectExtent l="0" t="0" r="1270" b="0"/>
              <wp:wrapNone/>
              <wp:docPr id="92050181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27DF181B" w14:textId="34AC91FF" w:rsidR="00E76D97" w:rsidRPr="00E76D97" w:rsidRDefault="00E76D97" w:rsidP="00E76D97">
                          <w:pPr>
                            <w:spacing w:after="0"/>
                            <w:rPr>
                              <w:rFonts w:ascii="Calibri" w:eastAsia="Calibri" w:hAnsi="Calibri" w:cs="Calibri"/>
                              <w:noProof/>
                              <w:color w:val="000000"/>
                            </w:rPr>
                          </w:pPr>
                          <w:r w:rsidRPr="00E76D9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226C28"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fill o:detectmouseclick="t"/>
              <v:textbox style="mso-fit-shape-to-text:t" inset="20pt,0,0,15pt">
                <w:txbxContent>
                  <w:p w14:paraId="27DF181B" w14:textId="34AC91FF" w:rsidR="00E76D97" w:rsidRPr="00E76D97" w:rsidRDefault="00E76D97" w:rsidP="00E76D97">
                    <w:pPr>
                      <w:spacing w:after="0"/>
                      <w:rPr>
                        <w:rFonts w:ascii="Calibri" w:eastAsia="Calibri" w:hAnsi="Calibri" w:cs="Calibri"/>
                        <w:noProof/>
                        <w:color w:val="000000"/>
                      </w:rPr>
                    </w:pPr>
                    <w:r w:rsidRPr="00E76D97">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8E38" w14:textId="20377C86" w:rsidR="00C55454" w:rsidRDefault="00E76D97">
    <w:pPr>
      <w:pStyle w:val="Footer"/>
    </w:pPr>
    <w:r>
      <w:rPr>
        <w:noProof/>
      </w:rPr>
      <mc:AlternateContent>
        <mc:Choice Requires="wps">
          <w:drawing>
            <wp:anchor distT="0" distB="0" distL="0" distR="0" simplePos="0" relativeHeight="251660288" behindDoc="0" locked="0" layoutInCell="1" allowOverlap="1" wp14:anchorId="0BB0DD3A" wp14:editId="6C8D7FFB">
              <wp:simplePos x="635" y="635"/>
              <wp:positionH relativeFrom="page">
                <wp:align>left</wp:align>
              </wp:positionH>
              <wp:positionV relativeFrom="page">
                <wp:align>bottom</wp:align>
              </wp:positionV>
              <wp:extent cx="627380" cy="405765"/>
              <wp:effectExtent l="0" t="0" r="1270" b="0"/>
              <wp:wrapNone/>
              <wp:docPr id="212440549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416CB50D" w14:textId="026A88EC" w:rsidR="00E76D97" w:rsidRPr="00E76D97" w:rsidRDefault="00E76D97" w:rsidP="00E76D97">
                          <w:pPr>
                            <w:spacing w:after="0"/>
                            <w:rPr>
                              <w:rFonts w:ascii="Calibri" w:eastAsia="Calibri" w:hAnsi="Calibri" w:cs="Calibri"/>
                              <w:noProof/>
                              <w:color w:val="000000"/>
                            </w:rPr>
                          </w:pPr>
                          <w:r w:rsidRPr="00E76D9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B0DD3A"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fill o:detectmouseclick="t"/>
              <v:textbox style="mso-fit-shape-to-text:t" inset="20pt,0,0,15pt">
                <w:txbxContent>
                  <w:p w14:paraId="416CB50D" w14:textId="026A88EC" w:rsidR="00E76D97" w:rsidRPr="00E76D97" w:rsidRDefault="00E76D97" w:rsidP="00E76D97">
                    <w:pPr>
                      <w:spacing w:after="0"/>
                      <w:rPr>
                        <w:rFonts w:ascii="Calibri" w:eastAsia="Calibri" w:hAnsi="Calibri" w:cs="Calibri"/>
                        <w:noProof/>
                        <w:color w:val="000000"/>
                      </w:rPr>
                    </w:pPr>
                    <w:r w:rsidRPr="00E76D97">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1B6B" w14:textId="7B357043" w:rsidR="00C55454" w:rsidRDefault="00E76D97">
    <w:pPr>
      <w:pStyle w:val="Footer"/>
    </w:pPr>
    <w:r>
      <w:rPr>
        <w:noProof/>
      </w:rPr>
      <mc:AlternateContent>
        <mc:Choice Requires="wps">
          <w:drawing>
            <wp:anchor distT="0" distB="0" distL="0" distR="0" simplePos="0" relativeHeight="251658240" behindDoc="0" locked="0" layoutInCell="1" allowOverlap="1" wp14:anchorId="4C20B8E5" wp14:editId="69FF4251">
              <wp:simplePos x="635" y="635"/>
              <wp:positionH relativeFrom="page">
                <wp:align>left</wp:align>
              </wp:positionH>
              <wp:positionV relativeFrom="page">
                <wp:align>bottom</wp:align>
              </wp:positionV>
              <wp:extent cx="627380" cy="405765"/>
              <wp:effectExtent l="0" t="0" r="1270" b="0"/>
              <wp:wrapNone/>
              <wp:docPr id="180148548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2FEA694A" w14:textId="4ED5FDBF" w:rsidR="00E76D97" w:rsidRPr="00E76D97" w:rsidRDefault="00E76D97" w:rsidP="00E76D97">
                          <w:pPr>
                            <w:spacing w:after="0"/>
                            <w:rPr>
                              <w:rFonts w:ascii="Calibri" w:eastAsia="Calibri" w:hAnsi="Calibri" w:cs="Calibri"/>
                              <w:noProof/>
                              <w:color w:val="000000"/>
                            </w:rPr>
                          </w:pPr>
                          <w:r w:rsidRPr="00E76D9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20B8E5"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fill o:detectmouseclick="t"/>
              <v:textbox style="mso-fit-shape-to-text:t" inset="20pt,0,0,15pt">
                <w:txbxContent>
                  <w:p w14:paraId="2FEA694A" w14:textId="4ED5FDBF" w:rsidR="00E76D97" w:rsidRPr="00E76D97" w:rsidRDefault="00E76D97" w:rsidP="00E76D97">
                    <w:pPr>
                      <w:spacing w:after="0"/>
                      <w:rPr>
                        <w:rFonts w:ascii="Calibri" w:eastAsia="Calibri" w:hAnsi="Calibri" w:cs="Calibri"/>
                        <w:noProof/>
                        <w:color w:val="000000"/>
                      </w:rPr>
                    </w:pPr>
                    <w:r w:rsidRPr="00E76D97">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D4F8" w14:textId="77777777" w:rsidR="00A25955" w:rsidRDefault="00A25955" w:rsidP="00C55454">
      <w:pPr>
        <w:spacing w:after="0" w:line="240" w:lineRule="auto"/>
      </w:pPr>
      <w:r>
        <w:separator/>
      </w:r>
    </w:p>
  </w:footnote>
  <w:footnote w:type="continuationSeparator" w:id="0">
    <w:p w14:paraId="0AA432BB" w14:textId="77777777" w:rsidR="00A25955" w:rsidRDefault="00A25955" w:rsidP="00C5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C7336"/>
    <w:multiLevelType w:val="hybridMultilevel"/>
    <w:tmpl w:val="DA8021A4"/>
    <w:lvl w:ilvl="0" w:tplc="4106D362">
      <w:start w:val="1"/>
      <w:numFmt w:val="decimal"/>
      <w:lvlText w:val="%1."/>
      <w:lvlJc w:val="left"/>
      <w:pPr>
        <w:ind w:left="720" w:hanging="360"/>
      </w:pPr>
      <w:rPr>
        <w:rFonts w:ascii="Aptos" w:hAnsi="Aptos" w:cs="Times New Roman"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1A2285"/>
    <w:multiLevelType w:val="hybridMultilevel"/>
    <w:tmpl w:val="DA8021A4"/>
    <w:lvl w:ilvl="0" w:tplc="FFFFFFFF">
      <w:start w:val="1"/>
      <w:numFmt w:val="decimal"/>
      <w:lvlText w:val="%1."/>
      <w:lvlJc w:val="left"/>
      <w:pPr>
        <w:ind w:left="720" w:hanging="360"/>
      </w:pPr>
      <w:rPr>
        <w:rFonts w:ascii="Aptos" w:hAnsi="Aptos" w:cs="Times New Roman" w:hint="default"/>
        <w:color w:val="auto"/>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83371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457732">
    <w:abstractNumId w:val="0"/>
  </w:num>
  <w:num w:numId="3" w16cid:durableId="213640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A3"/>
    <w:rsid w:val="001D69A3"/>
    <w:rsid w:val="002073E2"/>
    <w:rsid w:val="003308BB"/>
    <w:rsid w:val="004B2089"/>
    <w:rsid w:val="00785179"/>
    <w:rsid w:val="0088008E"/>
    <w:rsid w:val="00885C0F"/>
    <w:rsid w:val="009A50A3"/>
    <w:rsid w:val="009B58E0"/>
    <w:rsid w:val="00A25955"/>
    <w:rsid w:val="00AE27C1"/>
    <w:rsid w:val="00BE79CA"/>
    <w:rsid w:val="00C0020C"/>
    <w:rsid w:val="00C55454"/>
    <w:rsid w:val="00D96167"/>
    <w:rsid w:val="00E11355"/>
    <w:rsid w:val="00E466CC"/>
    <w:rsid w:val="00E76D97"/>
    <w:rsid w:val="00EC4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3DC3"/>
  <w15:chartTrackingRefBased/>
  <w15:docId w15:val="{85B54BF5-C0B0-4781-AACA-25B83C7A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9A3"/>
  </w:style>
  <w:style w:type="paragraph" w:styleId="Heading1">
    <w:name w:val="heading 1"/>
    <w:basedOn w:val="Normal"/>
    <w:next w:val="Normal"/>
    <w:link w:val="Heading1Char"/>
    <w:uiPriority w:val="9"/>
    <w:qFormat/>
    <w:rsid w:val="001D6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9A3"/>
    <w:rPr>
      <w:rFonts w:eastAsiaTheme="majorEastAsia" w:cstheme="majorBidi"/>
      <w:color w:val="272727" w:themeColor="text1" w:themeTint="D8"/>
    </w:rPr>
  </w:style>
  <w:style w:type="paragraph" w:styleId="Title">
    <w:name w:val="Title"/>
    <w:basedOn w:val="Normal"/>
    <w:next w:val="Normal"/>
    <w:link w:val="TitleChar"/>
    <w:uiPriority w:val="10"/>
    <w:qFormat/>
    <w:rsid w:val="001D6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9A3"/>
    <w:pPr>
      <w:spacing w:before="160"/>
      <w:jc w:val="center"/>
    </w:pPr>
    <w:rPr>
      <w:i/>
      <w:iCs/>
      <w:color w:val="404040" w:themeColor="text1" w:themeTint="BF"/>
    </w:rPr>
  </w:style>
  <w:style w:type="character" w:customStyle="1" w:styleId="QuoteChar">
    <w:name w:val="Quote Char"/>
    <w:basedOn w:val="DefaultParagraphFont"/>
    <w:link w:val="Quote"/>
    <w:uiPriority w:val="29"/>
    <w:rsid w:val="001D69A3"/>
    <w:rPr>
      <w:i/>
      <w:iCs/>
      <w:color w:val="404040" w:themeColor="text1" w:themeTint="BF"/>
    </w:rPr>
  </w:style>
  <w:style w:type="paragraph" w:styleId="ListParagraph">
    <w:name w:val="List Paragraph"/>
    <w:basedOn w:val="Normal"/>
    <w:uiPriority w:val="34"/>
    <w:qFormat/>
    <w:rsid w:val="001D69A3"/>
    <w:pPr>
      <w:ind w:left="720"/>
      <w:contextualSpacing/>
    </w:pPr>
  </w:style>
  <w:style w:type="character" w:styleId="IntenseEmphasis">
    <w:name w:val="Intense Emphasis"/>
    <w:basedOn w:val="DefaultParagraphFont"/>
    <w:uiPriority w:val="21"/>
    <w:qFormat/>
    <w:rsid w:val="001D69A3"/>
    <w:rPr>
      <w:i/>
      <w:iCs/>
      <w:color w:val="0F4761" w:themeColor="accent1" w:themeShade="BF"/>
    </w:rPr>
  </w:style>
  <w:style w:type="paragraph" w:styleId="IntenseQuote">
    <w:name w:val="Intense Quote"/>
    <w:basedOn w:val="Normal"/>
    <w:next w:val="Normal"/>
    <w:link w:val="IntenseQuoteChar"/>
    <w:uiPriority w:val="30"/>
    <w:qFormat/>
    <w:rsid w:val="001D6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9A3"/>
    <w:rPr>
      <w:i/>
      <w:iCs/>
      <w:color w:val="0F4761" w:themeColor="accent1" w:themeShade="BF"/>
    </w:rPr>
  </w:style>
  <w:style w:type="character" w:styleId="IntenseReference">
    <w:name w:val="Intense Reference"/>
    <w:basedOn w:val="DefaultParagraphFont"/>
    <w:uiPriority w:val="32"/>
    <w:qFormat/>
    <w:rsid w:val="001D69A3"/>
    <w:rPr>
      <w:b/>
      <w:bCs/>
      <w:smallCaps/>
      <w:color w:val="0F4761" w:themeColor="accent1" w:themeShade="BF"/>
      <w:spacing w:val="5"/>
    </w:rPr>
  </w:style>
  <w:style w:type="paragraph" w:styleId="Footer">
    <w:name w:val="footer"/>
    <w:basedOn w:val="Normal"/>
    <w:link w:val="FooterChar"/>
    <w:uiPriority w:val="99"/>
    <w:unhideWhenUsed/>
    <w:rsid w:val="00C55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60532-E12E-429B-A46D-FC628D9AFEFF}">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customXml/itemProps2.xml><?xml version="1.0" encoding="utf-8"?>
<ds:datastoreItem xmlns:ds="http://schemas.openxmlformats.org/officeDocument/2006/customXml" ds:itemID="{A03BA894-40C0-42D6-BAD2-F92309C3CEDB}">
  <ds:schemaRefs>
    <ds:schemaRef ds:uri="http://schemas.microsoft.com/sharepoint/v3/contenttype/forms"/>
  </ds:schemaRefs>
</ds:datastoreItem>
</file>

<file path=customXml/itemProps3.xml><?xml version="1.0" encoding="utf-8"?>
<ds:datastoreItem xmlns:ds="http://schemas.openxmlformats.org/officeDocument/2006/customXml" ds:itemID="{2364016E-EF1F-47ED-B61D-825918A2C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2</cp:revision>
  <dcterms:created xsi:type="dcterms:W3CDTF">2025-09-12T15:48:00Z</dcterms:created>
  <dcterms:modified xsi:type="dcterms:W3CDTF">2025-09-12T15:48:00Z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6b607cab,36ddbe37,7e9fdaf6</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