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E51A" w14:textId="7A206ED2" w:rsidR="008524D8" w:rsidRPr="003C15F2" w:rsidRDefault="003C15F2" w:rsidP="00B16510">
      <w:pPr>
        <w:jc w:val="both"/>
        <w:rPr>
          <w:rFonts w:cs="Arial"/>
          <w:highlight w:val="yellow"/>
        </w:rPr>
      </w:pPr>
      <w:r>
        <w:rPr>
          <w:rFonts w:cs="Arial"/>
          <w:noProof/>
        </w:rPr>
        <w:drawing>
          <wp:anchor distT="0" distB="0" distL="114300" distR="114300" simplePos="0" relativeHeight="251658241" behindDoc="1" locked="0" layoutInCell="1" allowOverlap="1" wp14:anchorId="49487A08" wp14:editId="6A574DC8">
            <wp:simplePos x="0" y="0"/>
            <wp:positionH relativeFrom="margin">
              <wp:posOffset>-89976</wp:posOffset>
            </wp:positionH>
            <wp:positionV relativeFrom="paragraph">
              <wp:posOffset>-662305</wp:posOffset>
            </wp:positionV>
            <wp:extent cx="6188710" cy="2571750"/>
            <wp:effectExtent l="0" t="0" r="2540" b="0"/>
            <wp:wrapNone/>
            <wp:docPr id="2104117827" name="Picture 1" descr="Several logos of various br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117827" name="Picture 1" descr="Several logos of various brand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88710" cy="2571750"/>
                    </a:xfrm>
                    <a:prstGeom prst="rect">
                      <a:avLst/>
                    </a:prstGeom>
                  </pic:spPr>
                </pic:pic>
              </a:graphicData>
            </a:graphic>
          </wp:anchor>
        </w:drawing>
      </w:r>
    </w:p>
    <w:p w14:paraId="41846956" w14:textId="0148ECF3" w:rsidR="00EE1034" w:rsidRPr="003C15F2" w:rsidRDefault="00EE1034" w:rsidP="00652D03">
      <w:pPr>
        <w:jc w:val="center"/>
        <w:rPr>
          <w:rFonts w:cs="Arial"/>
          <w:b/>
          <w:bCs/>
          <w:sz w:val="32"/>
          <w:szCs w:val="32"/>
          <w:highlight w:val="yellow"/>
        </w:rPr>
      </w:pPr>
    </w:p>
    <w:p w14:paraId="4FF2E5CA" w14:textId="77777777" w:rsidR="00EE1034" w:rsidRPr="003C15F2" w:rsidRDefault="00EE1034" w:rsidP="00652D03">
      <w:pPr>
        <w:jc w:val="center"/>
        <w:rPr>
          <w:rFonts w:cs="Arial"/>
          <w:b/>
          <w:bCs/>
          <w:sz w:val="32"/>
          <w:szCs w:val="32"/>
          <w:highlight w:val="yellow"/>
        </w:rPr>
      </w:pPr>
    </w:p>
    <w:p w14:paraId="4083DE0E" w14:textId="77777777" w:rsidR="00EE1034" w:rsidRPr="003C15F2" w:rsidRDefault="00EE1034" w:rsidP="00652D03">
      <w:pPr>
        <w:jc w:val="center"/>
        <w:rPr>
          <w:rFonts w:cs="Arial"/>
          <w:b/>
          <w:bCs/>
          <w:sz w:val="32"/>
          <w:szCs w:val="32"/>
          <w:highlight w:val="yellow"/>
        </w:rPr>
      </w:pPr>
    </w:p>
    <w:p w14:paraId="43E0D488" w14:textId="77777777" w:rsidR="00037893" w:rsidRPr="003C15F2" w:rsidRDefault="00037893" w:rsidP="00652D03">
      <w:pPr>
        <w:jc w:val="center"/>
        <w:rPr>
          <w:rFonts w:cs="Arial"/>
          <w:b/>
          <w:bCs/>
          <w:sz w:val="32"/>
          <w:szCs w:val="32"/>
          <w:highlight w:val="yellow"/>
        </w:rPr>
      </w:pPr>
    </w:p>
    <w:p w14:paraId="113C5A74" w14:textId="77777777" w:rsidR="00031AC3" w:rsidRDefault="00031AC3" w:rsidP="00652D03">
      <w:pPr>
        <w:jc w:val="center"/>
        <w:rPr>
          <w:rFonts w:cs="Arial"/>
          <w:b/>
          <w:bCs/>
          <w:sz w:val="44"/>
          <w:szCs w:val="44"/>
        </w:rPr>
      </w:pPr>
    </w:p>
    <w:p w14:paraId="2916094C" w14:textId="77777777" w:rsidR="00031AC3" w:rsidRDefault="00031AC3" w:rsidP="00652D03">
      <w:pPr>
        <w:jc w:val="center"/>
        <w:rPr>
          <w:rFonts w:cs="Arial"/>
          <w:b/>
          <w:bCs/>
          <w:sz w:val="44"/>
          <w:szCs w:val="44"/>
        </w:rPr>
      </w:pPr>
    </w:p>
    <w:p w14:paraId="3BAE8841" w14:textId="77777777" w:rsidR="0087582A" w:rsidRDefault="0087582A" w:rsidP="00652D03">
      <w:pPr>
        <w:jc w:val="center"/>
        <w:rPr>
          <w:rFonts w:cs="Arial"/>
          <w:b/>
          <w:bCs/>
          <w:sz w:val="44"/>
          <w:szCs w:val="44"/>
        </w:rPr>
      </w:pPr>
    </w:p>
    <w:p w14:paraId="3F2645DB" w14:textId="5366C811" w:rsidR="001E0A8F" w:rsidRPr="003C15F2" w:rsidRDefault="001E0A8F" w:rsidP="00652D03">
      <w:pPr>
        <w:jc w:val="center"/>
        <w:rPr>
          <w:rFonts w:cs="Arial"/>
          <w:b/>
          <w:bCs/>
          <w:sz w:val="44"/>
          <w:szCs w:val="44"/>
        </w:rPr>
      </w:pPr>
      <w:r w:rsidRPr="003C15F2">
        <w:rPr>
          <w:rFonts w:cs="Arial"/>
          <w:b/>
          <w:bCs/>
          <w:sz w:val="44"/>
          <w:szCs w:val="44"/>
        </w:rPr>
        <w:t>Invitation to Tender</w:t>
      </w:r>
    </w:p>
    <w:p w14:paraId="2CC95808" w14:textId="77777777" w:rsidR="00142A1D" w:rsidRPr="003C15F2" w:rsidRDefault="00142A1D" w:rsidP="00037893">
      <w:pPr>
        <w:rPr>
          <w:rFonts w:cs="Arial"/>
          <w:szCs w:val="24"/>
        </w:rPr>
      </w:pPr>
    </w:p>
    <w:p w14:paraId="2C6AC1DB" w14:textId="3F87A233" w:rsidR="00630E43" w:rsidRPr="003C15F2" w:rsidRDefault="001E0A8F" w:rsidP="00037893">
      <w:pPr>
        <w:rPr>
          <w:rFonts w:cs="Arial"/>
          <w:sz w:val="28"/>
          <w:szCs w:val="28"/>
        </w:rPr>
      </w:pPr>
      <w:r w:rsidRPr="003C15F2">
        <w:rPr>
          <w:rFonts w:cs="Arial"/>
          <w:b/>
          <w:bCs/>
          <w:sz w:val="28"/>
          <w:szCs w:val="28"/>
        </w:rPr>
        <w:t>Title</w:t>
      </w:r>
      <w:r w:rsidRPr="003C15F2">
        <w:rPr>
          <w:rFonts w:cs="Arial"/>
          <w:sz w:val="28"/>
          <w:szCs w:val="28"/>
        </w:rPr>
        <w:t xml:space="preserve">: Evaluation of the </w:t>
      </w:r>
      <w:r w:rsidR="003C15F2" w:rsidRPr="003C15F2">
        <w:rPr>
          <w:rFonts w:cs="Arial"/>
          <w:sz w:val="28"/>
          <w:szCs w:val="28"/>
        </w:rPr>
        <w:t>‘Spaces, Places and Belonging’ Community Hub</w:t>
      </w:r>
      <w:r w:rsidRPr="003C15F2">
        <w:rPr>
          <w:rFonts w:cs="Arial"/>
          <w:sz w:val="28"/>
          <w:szCs w:val="28"/>
        </w:rPr>
        <w:t xml:space="preserve"> </w:t>
      </w:r>
      <w:r w:rsidR="003C15F2" w:rsidRPr="003C15F2">
        <w:rPr>
          <w:rFonts w:cs="Arial"/>
          <w:sz w:val="28"/>
          <w:szCs w:val="28"/>
        </w:rPr>
        <w:t>2025 - 2027</w:t>
      </w:r>
    </w:p>
    <w:p w14:paraId="500C3692" w14:textId="4E37A400" w:rsidR="001E0A8F" w:rsidRPr="003C15F2" w:rsidRDefault="00B91ED7" w:rsidP="00037893">
      <w:pPr>
        <w:rPr>
          <w:rFonts w:cs="Arial"/>
          <w:sz w:val="28"/>
          <w:szCs w:val="28"/>
        </w:rPr>
      </w:pPr>
      <w:r w:rsidRPr="5879A542">
        <w:rPr>
          <w:rFonts w:cs="Arial"/>
          <w:b/>
          <w:bCs/>
          <w:sz w:val="28"/>
          <w:szCs w:val="28"/>
        </w:rPr>
        <w:t>Date of Issue</w:t>
      </w:r>
      <w:r w:rsidRPr="5879A542">
        <w:rPr>
          <w:rFonts w:cs="Arial"/>
          <w:sz w:val="28"/>
          <w:szCs w:val="28"/>
        </w:rPr>
        <w:t xml:space="preserve">: </w:t>
      </w:r>
      <w:r w:rsidR="007E153C">
        <w:rPr>
          <w:rFonts w:cs="Arial"/>
          <w:sz w:val="28"/>
          <w:szCs w:val="28"/>
        </w:rPr>
        <w:t>5</w:t>
      </w:r>
      <w:r w:rsidR="007E153C" w:rsidRPr="5879A542">
        <w:rPr>
          <w:rFonts w:cs="Arial"/>
          <w:sz w:val="28"/>
          <w:szCs w:val="28"/>
          <w:vertAlign w:val="superscript"/>
        </w:rPr>
        <w:t>th</w:t>
      </w:r>
      <w:r w:rsidR="7955C19A" w:rsidRPr="5879A542">
        <w:rPr>
          <w:rFonts w:cs="Arial"/>
          <w:sz w:val="28"/>
          <w:szCs w:val="28"/>
        </w:rPr>
        <w:t xml:space="preserve"> September 2025</w:t>
      </w:r>
    </w:p>
    <w:p w14:paraId="46947922" w14:textId="5C7F374B" w:rsidR="001E0A8F" w:rsidRPr="003C15F2" w:rsidRDefault="001E0A8F" w:rsidP="00037893">
      <w:pPr>
        <w:rPr>
          <w:rFonts w:cs="Arial"/>
          <w:sz w:val="28"/>
          <w:szCs w:val="28"/>
        </w:rPr>
      </w:pPr>
      <w:r w:rsidRPr="5879A542">
        <w:rPr>
          <w:rFonts w:cs="Arial"/>
          <w:b/>
          <w:bCs/>
          <w:sz w:val="28"/>
          <w:szCs w:val="28"/>
        </w:rPr>
        <w:t xml:space="preserve">Deadline for </w:t>
      </w:r>
      <w:r w:rsidR="00B91ED7" w:rsidRPr="5879A542">
        <w:rPr>
          <w:rFonts w:cs="Arial"/>
          <w:b/>
          <w:bCs/>
          <w:sz w:val="28"/>
          <w:szCs w:val="28"/>
        </w:rPr>
        <w:t>R</w:t>
      </w:r>
      <w:r w:rsidRPr="5879A542">
        <w:rPr>
          <w:rFonts w:cs="Arial"/>
          <w:b/>
          <w:bCs/>
          <w:sz w:val="28"/>
          <w:szCs w:val="28"/>
        </w:rPr>
        <w:t xml:space="preserve">eceipt of </w:t>
      </w:r>
      <w:r w:rsidR="00B91ED7" w:rsidRPr="5879A542">
        <w:rPr>
          <w:rFonts w:cs="Arial"/>
          <w:b/>
          <w:bCs/>
          <w:sz w:val="28"/>
          <w:szCs w:val="28"/>
        </w:rPr>
        <w:t>T</w:t>
      </w:r>
      <w:r w:rsidRPr="5879A542">
        <w:rPr>
          <w:rFonts w:cs="Arial"/>
          <w:b/>
          <w:bCs/>
          <w:sz w:val="28"/>
          <w:szCs w:val="28"/>
        </w:rPr>
        <w:t>ender</w:t>
      </w:r>
      <w:r w:rsidR="00B91ED7" w:rsidRPr="5879A542">
        <w:rPr>
          <w:rFonts w:cs="Arial"/>
          <w:b/>
          <w:bCs/>
          <w:sz w:val="28"/>
          <w:szCs w:val="28"/>
        </w:rPr>
        <w:t>s</w:t>
      </w:r>
      <w:r w:rsidRPr="5879A542">
        <w:rPr>
          <w:rFonts w:cs="Arial"/>
          <w:sz w:val="28"/>
          <w:szCs w:val="28"/>
        </w:rPr>
        <w:t xml:space="preserve">: </w:t>
      </w:r>
      <w:r w:rsidR="43D04B73" w:rsidRPr="5879A542">
        <w:rPr>
          <w:rFonts w:cs="Arial"/>
          <w:sz w:val="28"/>
          <w:szCs w:val="28"/>
        </w:rPr>
        <w:t>24</w:t>
      </w:r>
      <w:r w:rsidR="43D04B73" w:rsidRPr="5879A542">
        <w:rPr>
          <w:rFonts w:cs="Arial"/>
          <w:sz w:val="28"/>
          <w:szCs w:val="28"/>
          <w:vertAlign w:val="superscript"/>
        </w:rPr>
        <w:t>th</w:t>
      </w:r>
      <w:r w:rsidR="43D04B73" w:rsidRPr="5879A542">
        <w:rPr>
          <w:rFonts w:cs="Arial"/>
          <w:sz w:val="28"/>
          <w:szCs w:val="28"/>
        </w:rPr>
        <w:t xml:space="preserve"> October 2025</w:t>
      </w:r>
    </w:p>
    <w:p w14:paraId="4856D4D9" w14:textId="3580422E" w:rsidR="001E0A8F" w:rsidRPr="003C15F2" w:rsidRDefault="001E0A8F" w:rsidP="00037893">
      <w:pPr>
        <w:rPr>
          <w:rFonts w:cs="Arial"/>
          <w:sz w:val="28"/>
          <w:szCs w:val="28"/>
        </w:rPr>
      </w:pPr>
      <w:r w:rsidRPr="003C15F2">
        <w:rPr>
          <w:rFonts w:cs="Arial"/>
          <w:b/>
          <w:bCs/>
          <w:sz w:val="28"/>
          <w:szCs w:val="28"/>
        </w:rPr>
        <w:t>Return to</w:t>
      </w:r>
      <w:r w:rsidRPr="003C15F2">
        <w:rPr>
          <w:rFonts w:cs="Arial"/>
          <w:sz w:val="28"/>
          <w:szCs w:val="28"/>
        </w:rPr>
        <w:t xml:space="preserve">: </w:t>
      </w:r>
      <w:hyperlink r:id="rId15" w:history="1">
        <w:r w:rsidR="000321A2" w:rsidRPr="003C15F2">
          <w:rPr>
            <w:rStyle w:val="Hyperlink"/>
            <w:rFonts w:cs="Arial"/>
            <w:sz w:val="28"/>
            <w:szCs w:val="28"/>
          </w:rPr>
          <w:t>procurement@nationalarchives.gov.uk</w:t>
        </w:r>
      </w:hyperlink>
    </w:p>
    <w:p w14:paraId="039D027B" w14:textId="5CADD3DA" w:rsidR="00B16510" w:rsidRPr="003C15F2" w:rsidRDefault="00B91ED7" w:rsidP="00037893">
      <w:pPr>
        <w:rPr>
          <w:rFonts w:cs="Arial"/>
          <w:sz w:val="28"/>
          <w:szCs w:val="28"/>
        </w:rPr>
      </w:pPr>
      <w:r w:rsidRPr="003C15F2">
        <w:rPr>
          <w:rFonts w:cs="Arial"/>
          <w:b/>
          <w:bCs/>
          <w:sz w:val="28"/>
          <w:szCs w:val="28"/>
        </w:rPr>
        <w:t>Organisation</w:t>
      </w:r>
      <w:r w:rsidRPr="003C15F2">
        <w:rPr>
          <w:rFonts w:cs="Arial"/>
          <w:sz w:val="28"/>
          <w:szCs w:val="28"/>
        </w:rPr>
        <w:t>:</w:t>
      </w:r>
      <w:r w:rsidRPr="003C15F2">
        <w:rPr>
          <w:rFonts w:cs="Arial"/>
          <w:b/>
          <w:bCs/>
          <w:sz w:val="28"/>
          <w:szCs w:val="28"/>
        </w:rPr>
        <w:t xml:space="preserve"> </w:t>
      </w:r>
      <w:r w:rsidRPr="003C15F2">
        <w:rPr>
          <w:rFonts w:cs="Arial"/>
          <w:sz w:val="28"/>
          <w:szCs w:val="28"/>
        </w:rPr>
        <w:t xml:space="preserve">The National Archives, Kew, Richmond </w:t>
      </w:r>
      <w:r w:rsidR="00B16510" w:rsidRPr="003C15F2">
        <w:rPr>
          <w:rFonts w:cs="Arial"/>
          <w:sz w:val="28"/>
          <w:szCs w:val="28"/>
        </w:rPr>
        <w:t>TW9 4DU</w:t>
      </w:r>
    </w:p>
    <w:p w14:paraId="42947466" w14:textId="174B7FFB" w:rsidR="00DF3C79" w:rsidRPr="003C15F2" w:rsidRDefault="00B16510" w:rsidP="00037893">
      <w:pPr>
        <w:rPr>
          <w:rFonts w:cs="Arial"/>
          <w:sz w:val="28"/>
          <w:szCs w:val="24"/>
        </w:rPr>
      </w:pPr>
      <w:r w:rsidRPr="003C15F2">
        <w:rPr>
          <w:rFonts w:cs="Arial"/>
          <w:b/>
          <w:bCs/>
          <w:sz w:val="28"/>
          <w:szCs w:val="28"/>
        </w:rPr>
        <w:t>Website</w:t>
      </w:r>
      <w:r w:rsidRPr="003C15F2">
        <w:rPr>
          <w:rFonts w:cs="Arial"/>
          <w:sz w:val="28"/>
          <w:szCs w:val="28"/>
        </w:rPr>
        <w:t xml:space="preserve">: </w:t>
      </w:r>
      <w:hyperlink r:id="rId16" w:history="1">
        <w:r w:rsidRPr="003C15F2">
          <w:rPr>
            <w:rStyle w:val="Hyperlink"/>
            <w:rFonts w:cs="Arial"/>
            <w:sz w:val="28"/>
            <w:szCs w:val="24"/>
          </w:rPr>
          <w:t>The National Archives</w:t>
        </w:r>
      </w:hyperlink>
    </w:p>
    <w:p w14:paraId="26BA6FF6" w14:textId="77777777" w:rsidR="008A2AE6" w:rsidRPr="003C15F2" w:rsidRDefault="008A2AE6" w:rsidP="00B16510">
      <w:pPr>
        <w:jc w:val="both"/>
        <w:rPr>
          <w:rFonts w:cs="Arial"/>
          <w:highlight w:val="yellow"/>
        </w:rPr>
      </w:pPr>
    </w:p>
    <w:p w14:paraId="38C81A44" w14:textId="77777777" w:rsidR="008A2AE6" w:rsidRDefault="008A2AE6" w:rsidP="00B16510">
      <w:pPr>
        <w:jc w:val="both"/>
        <w:rPr>
          <w:rFonts w:cs="Arial"/>
          <w:highlight w:val="yellow"/>
        </w:rPr>
      </w:pPr>
    </w:p>
    <w:p w14:paraId="462672E7" w14:textId="77777777" w:rsidR="00031AC3" w:rsidRDefault="00031AC3" w:rsidP="00B16510">
      <w:pPr>
        <w:jc w:val="both"/>
        <w:rPr>
          <w:rFonts w:cs="Arial"/>
          <w:highlight w:val="yellow"/>
        </w:rPr>
      </w:pPr>
    </w:p>
    <w:p w14:paraId="0BE45BB8" w14:textId="77777777" w:rsidR="00031AC3" w:rsidRDefault="00031AC3" w:rsidP="00B16510">
      <w:pPr>
        <w:jc w:val="both"/>
        <w:rPr>
          <w:rFonts w:cs="Arial"/>
          <w:highlight w:val="yellow"/>
        </w:rPr>
      </w:pPr>
    </w:p>
    <w:p w14:paraId="48565CE8" w14:textId="77777777" w:rsidR="00031AC3" w:rsidRDefault="00031AC3" w:rsidP="00B16510">
      <w:pPr>
        <w:jc w:val="both"/>
        <w:rPr>
          <w:rFonts w:cs="Arial"/>
          <w:highlight w:val="yellow"/>
        </w:rPr>
      </w:pPr>
    </w:p>
    <w:p w14:paraId="3D4467AD" w14:textId="77777777" w:rsidR="00031AC3" w:rsidRDefault="00031AC3" w:rsidP="00B16510">
      <w:pPr>
        <w:jc w:val="both"/>
        <w:rPr>
          <w:rFonts w:cs="Arial"/>
          <w:highlight w:val="yellow"/>
        </w:rPr>
      </w:pPr>
    </w:p>
    <w:p w14:paraId="2EB9EF17" w14:textId="77777777" w:rsidR="00031AC3" w:rsidRDefault="00031AC3" w:rsidP="00B16510">
      <w:pPr>
        <w:jc w:val="both"/>
        <w:rPr>
          <w:rFonts w:cs="Arial"/>
          <w:highlight w:val="yellow"/>
        </w:rPr>
      </w:pPr>
    </w:p>
    <w:p w14:paraId="22474C5F" w14:textId="77777777" w:rsidR="00031AC3" w:rsidRDefault="00031AC3" w:rsidP="00B16510">
      <w:pPr>
        <w:jc w:val="both"/>
        <w:rPr>
          <w:rFonts w:cs="Arial"/>
          <w:highlight w:val="yellow"/>
        </w:rPr>
      </w:pPr>
    </w:p>
    <w:p w14:paraId="381891B7" w14:textId="77777777" w:rsidR="00031AC3" w:rsidRPr="003C15F2" w:rsidRDefault="00031AC3" w:rsidP="00B16510">
      <w:pPr>
        <w:jc w:val="both"/>
        <w:rPr>
          <w:rFonts w:cs="Arial"/>
          <w:highlight w:val="yellow"/>
        </w:rPr>
      </w:pPr>
    </w:p>
    <w:p w14:paraId="12A4252F" w14:textId="77777777" w:rsidR="008A2AE6" w:rsidRPr="003C15F2" w:rsidRDefault="008A2AE6" w:rsidP="00B16510">
      <w:pPr>
        <w:jc w:val="both"/>
        <w:rPr>
          <w:rFonts w:cs="Arial"/>
          <w:highlight w:val="yellow"/>
        </w:rPr>
      </w:pPr>
    </w:p>
    <w:p w14:paraId="0B59E80B" w14:textId="77777777" w:rsidR="00EE1034" w:rsidRPr="003C15F2" w:rsidRDefault="00EE1034" w:rsidP="00B16510">
      <w:pPr>
        <w:jc w:val="both"/>
        <w:rPr>
          <w:rFonts w:cs="Arial"/>
          <w:highlight w:val="yellow"/>
        </w:rPr>
      </w:pPr>
    </w:p>
    <w:p w14:paraId="54E6C0D6" w14:textId="77777777" w:rsidR="00084DE0" w:rsidRPr="003C15F2" w:rsidRDefault="00084DE0" w:rsidP="00B16510">
      <w:pPr>
        <w:jc w:val="both"/>
        <w:rPr>
          <w:rFonts w:cs="Arial"/>
          <w:highlight w:val="yellow"/>
        </w:rPr>
      </w:pPr>
    </w:p>
    <w:sdt>
      <w:sdtPr>
        <w:rPr>
          <w:rFonts w:ascii="Arial" w:eastAsiaTheme="minorEastAsia" w:hAnsi="Arial" w:cs="Arial"/>
          <w:color w:val="auto"/>
          <w:kern w:val="2"/>
          <w:sz w:val="24"/>
          <w:szCs w:val="24"/>
          <w:highlight w:val="yellow"/>
          <w:lang w:eastAsia="en-US"/>
          <w14:ligatures w14:val="standardContextual"/>
        </w:rPr>
        <w:id w:val="-944382015"/>
        <w:docPartObj>
          <w:docPartGallery w:val="Table of Contents"/>
          <w:docPartUnique/>
        </w:docPartObj>
      </w:sdtPr>
      <w:sdtEndPr>
        <w:rPr>
          <w:b/>
          <w:bCs/>
        </w:rPr>
      </w:sdtEndPr>
      <w:sdtContent>
        <w:p w14:paraId="4670A003" w14:textId="65C0A18E" w:rsidR="00B16510" w:rsidRPr="00031AC3" w:rsidRDefault="00B16510">
          <w:pPr>
            <w:pStyle w:val="TOCHeading"/>
            <w:rPr>
              <w:rFonts w:ascii="Arial" w:eastAsiaTheme="minorHAnsi" w:hAnsi="Arial" w:cs="Arial"/>
              <w:color w:val="auto"/>
              <w:kern w:val="2"/>
              <w:sz w:val="24"/>
              <w:szCs w:val="22"/>
              <w:lang w:eastAsia="en-US"/>
              <w14:ligatures w14:val="standardContextual"/>
            </w:rPr>
          </w:pPr>
          <w:r w:rsidRPr="00031AC3">
            <w:rPr>
              <w:rFonts w:ascii="Arial" w:hAnsi="Arial" w:cs="Arial"/>
              <w:color w:val="auto"/>
            </w:rPr>
            <w:t>Contents</w:t>
          </w:r>
        </w:p>
        <w:p w14:paraId="1FFDE6F1" w14:textId="77777777" w:rsidR="0026680D" w:rsidRPr="00031AC3" w:rsidRDefault="0026680D" w:rsidP="00A05F8D">
          <w:pPr>
            <w:spacing w:after="0"/>
            <w:rPr>
              <w:rFonts w:cs="Arial"/>
              <w:lang w:eastAsia="en-GB"/>
            </w:rPr>
          </w:pPr>
        </w:p>
        <w:p w14:paraId="11943DD3" w14:textId="36A0F412" w:rsidR="00031AC3" w:rsidRDefault="00B16510">
          <w:pPr>
            <w:pStyle w:val="TOC2"/>
            <w:tabs>
              <w:tab w:val="right" w:leader="dot" w:pos="9736"/>
            </w:tabs>
            <w:rPr>
              <w:rFonts w:asciiTheme="minorHAnsi" w:eastAsiaTheme="minorEastAsia" w:hAnsiTheme="minorHAnsi"/>
              <w:noProof/>
              <w:szCs w:val="24"/>
              <w:lang w:eastAsia="en-GB"/>
            </w:rPr>
          </w:pPr>
          <w:r w:rsidRPr="00031AC3">
            <w:rPr>
              <w:rFonts w:cs="Arial"/>
            </w:rPr>
            <w:fldChar w:fldCharType="begin"/>
          </w:r>
          <w:r w:rsidRPr="00031AC3">
            <w:rPr>
              <w:rFonts w:cs="Arial"/>
            </w:rPr>
            <w:instrText xml:space="preserve"> TOC \o "1-3" \h \z \u </w:instrText>
          </w:r>
          <w:r w:rsidRPr="00031AC3">
            <w:rPr>
              <w:rFonts w:cs="Arial"/>
            </w:rPr>
            <w:fldChar w:fldCharType="separate"/>
          </w:r>
          <w:hyperlink w:anchor="_Toc205045008" w:history="1">
            <w:r w:rsidR="00031AC3" w:rsidRPr="00921381">
              <w:rPr>
                <w:rStyle w:val="Hyperlink"/>
                <w:rFonts w:cs="Arial"/>
                <w:b/>
                <w:bCs/>
                <w:noProof/>
              </w:rPr>
              <w:t>1. Introduction</w:t>
            </w:r>
            <w:r w:rsidR="00031AC3">
              <w:rPr>
                <w:noProof/>
                <w:webHidden/>
              </w:rPr>
              <w:tab/>
            </w:r>
            <w:r w:rsidR="00031AC3">
              <w:rPr>
                <w:noProof/>
                <w:webHidden/>
              </w:rPr>
              <w:fldChar w:fldCharType="begin"/>
            </w:r>
            <w:r w:rsidR="00031AC3">
              <w:rPr>
                <w:noProof/>
                <w:webHidden/>
              </w:rPr>
              <w:instrText xml:space="preserve"> PAGEREF _Toc205045008 \h </w:instrText>
            </w:r>
            <w:r w:rsidR="00031AC3">
              <w:rPr>
                <w:noProof/>
                <w:webHidden/>
              </w:rPr>
            </w:r>
            <w:r w:rsidR="00031AC3">
              <w:rPr>
                <w:noProof/>
                <w:webHidden/>
              </w:rPr>
              <w:fldChar w:fldCharType="separate"/>
            </w:r>
            <w:r w:rsidR="002A160E">
              <w:rPr>
                <w:noProof/>
                <w:webHidden/>
              </w:rPr>
              <w:t>3</w:t>
            </w:r>
            <w:r w:rsidR="00031AC3">
              <w:rPr>
                <w:noProof/>
                <w:webHidden/>
              </w:rPr>
              <w:fldChar w:fldCharType="end"/>
            </w:r>
          </w:hyperlink>
        </w:p>
        <w:p w14:paraId="7F148BD5" w14:textId="35C326EB" w:rsidR="00031AC3" w:rsidRDefault="00031AC3">
          <w:pPr>
            <w:pStyle w:val="TOC2"/>
            <w:tabs>
              <w:tab w:val="right" w:leader="dot" w:pos="9736"/>
            </w:tabs>
            <w:rPr>
              <w:rFonts w:asciiTheme="minorHAnsi" w:eastAsiaTheme="minorEastAsia" w:hAnsiTheme="minorHAnsi"/>
              <w:noProof/>
              <w:szCs w:val="24"/>
              <w:lang w:eastAsia="en-GB"/>
            </w:rPr>
          </w:pPr>
          <w:hyperlink w:anchor="_Toc205045009" w:history="1">
            <w:r w:rsidRPr="00921381">
              <w:rPr>
                <w:rStyle w:val="Hyperlink"/>
                <w:rFonts w:cs="Arial"/>
                <w:b/>
                <w:bCs/>
                <w:noProof/>
              </w:rPr>
              <w:t>2. Overview</w:t>
            </w:r>
            <w:r>
              <w:rPr>
                <w:noProof/>
                <w:webHidden/>
              </w:rPr>
              <w:tab/>
            </w:r>
            <w:r>
              <w:rPr>
                <w:noProof/>
                <w:webHidden/>
              </w:rPr>
              <w:fldChar w:fldCharType="begin"/>
            </w:r>
            <w:r>
              <w:rPr>
                <w:noProof/>
                <w:webHidden/>
              </w:rPr>
              <w:instrText xml:space="preserve"> PAGEREF _Toc205045009 \h </w:instrText>
            </w:r>
            <w:r>
              <w:rPr>
                <w:noProof/>
                <w:webHidden/>
              </w:rPr>
            </w:r>
            <w:r>
              <w:rPr>
                <w:noProof/>
                <w:webHidden/>
              </w:rPr>
              <w:fldChar w:fldCharType="separate"/>
            </w:r>
            <w:r w:rsidR="002A160E">
              <w:rPr>
                <w:noProof/>
                <w:webHidden/>
              </w:rPr>
              <w:t>3</w:t>
            </w:r>
            <w:r>
              <w:rPr>
                <w:noProof/>
                <w:webHidden/>
              </w:rPr>
              <w:fldChar w:fldCharType="end"/>
            </w:r>
          </w:hyperlink>
        </w:p>
        <w:p w14:paraId="524575D2" w14:textId="1713FD14" w:rsidR="00031AC3" w:rsidRPr="00031AC3" w:rsidRDefault="00031AC3">
          <w:pPr>
            <w:pStyle w:val="TOC3"/>
            <w:tabs>
              <w:tab w:val="right" w:leader="dot" w:pos="9736"/>
            </w:tabs>
            <w:rPr>
              <w:rFonts w:asciiTheme="minorHAnsi" w:eastAsiaTheme="minorEastAsia" w:hAnsiTheme="minorHAnsi"/>
              <w:noProof/>
              <w:szCs w:val="24"/>
              <w:lang w:eastAsia="en-GB"/>
            </w:rPr>
          </w:pPr>
          <w:hyperlink w:anchor="_Toc205045010" w:history="1">
            <w:r w:rsidRPr="00031AC3">
              <w:rPr>
                <w:rStyle w:val="Hyperlink"/>
                <w:rFonts w:cs="Arial"/>
                <w:noProof/>
              </w:rPr>
              <w:t>2.1 The National Archives</w:t>
            </w:r>
            <w:r w:rsidRPr="00031AC3">
              <w:rPr>
                <w:noProof/>
                <w:webHidden/>
              </w:rPr>
              <w:tab/>
            </w:r>
            <w:r w:rsidRPr="00031AC3">
              <w:rPr>
                <w:noProof/>
                <w:webHidden/>
              </w:rPr>
              <w:fldChar w:fldCharType="begin"/>
            </w:r>
            <w:r w:rsidRPr="00031AC3">
              <w:rPr>
                <w:noProof/>
                <w:webHidden/>
              </w:rPr>
              <w:instrText xml:space="preserve"> PAGEREF _Toc205045010 \h </w:instrText>
            </w:r>
            <w:r w:rsidRPr="00031AC3">
              <w:rPr>
                <w:noProof/>
                <w:webHidden/>
              </w:rPr>
            </w:r>
            <w:r w:rsidRPr="00031AC3">
              <w:rPr>
                <w:noProof/>
                <w:webHidden/>
              </w:rPr>
              <w:fldChar w:fldCharType="separate"/>
            </w:r>
            <w:r w:rsidR="002A160E">
              <w:rPr>
                <w:noProof/>
                <w:webHidden/>
              </w:rPr>
              <w:t>3</w:t>
            </w:r>
            <w:r w:rsidRPr="00031AC3">
              <w:rPr>
                <w:noProof/>
                <w:webHidden/>
              </w:rPr>
              <w:fldChar w:fldCharType="end"/>
            </w:r>
          </w:hyperlink>
        </w:p>
        <w:p w14:paraId="4DC5D47A" w14:textId="4CBEAD21" w:rsidR="00031AC3" w:rsidRPr="00031AC3" w:rsidRDefault="00031AC3">
          <w:pPr>
            <w:pStyle w:val="TOC3"/>
            <w:tabs>
              <w:tab w:val="right" w:leader="dot" w:pos="9736"/>
            </w:tabs>
            <w:rPr>
              <w:rFonts w:asciiTheme="minorHAnsi" w:eastAsiaTheme="minorEastAsia" w:hAnsiTheme="minorHAnsi"/>
              <w:noProof/>
              <w:szCs w:val="24"/>
              <w:lang w:eastAsia="en-GB"/>
            </w:rPr>
          </w:pPr>
          <w:hyperlink w:anchor="_Toc205045011" w:history="1">
            <w:r w:rsidRPr="00031AC3">
              <w:rPr>
                <w:rStyle w:val="Hyperlink"/>
                <w:rFonts w:cs="Arial"/>
                <w:noProof/>
              </w:rPr>
              <w:t>2.2 The ‘Spaces, Places and Belonging’ Community Hub</w:t>
            </w:r>
            <w:r w:rsidRPr="00031AC3">
              <w:rPr>
                <w:noProof/>
                <w:webHidden/>
              </w:rPr>
              <w:tab/>
            </w:r>
            <w:r w:rsidRPr="00031AC3">
              <w:rPr>
                <w:noProof/>
                <w:webHidden/>
              </w:rPr>
              <w:fldChar w:fldCharType="begin"/>
            </w:r>
            <w:r w:rsidRPr="00031AC3">
              <w:rPr>
                <w:noProof/>
                <w:webHidden/>
              </w:rPr>
              <w:instrText xml:space="preserve"> PAGEREF _Toc205045011 \h </w:instrText>
            </w:r>
            <w:r w:rsidRPr="00031AC3">
              <w:rPr>
                <w:noProof/>
                <w:webHidden/>
              </w:rPr>
            </w:r>
            <w:r w:rsidRPr="00031AC3">
              <w:rPr>
                <w:noProof/>
                <w:webHidden/>
              </w:rPr>
              <w:fldChar w:fldCharType="separate"/>
            </w:r>
            <w:r w:rsidR="002A160E">
              <w:rPr>
                <w:noProof/>
                <w:webHidden/>
              </w:rPr>
              <w:t>3</w:t>
            </w:r>
            <w:r w:rsidRPr="00031AC3">
              <w:rPr>
                <w:noProof/>
                <w:webHidden/>
              </w:rPr>
              <w:fldChar w:fldCharType="end"/>
            </w:r>
          </w:hyperlink>
        </w:p>
        <w:p w14:paraId="39752855" w14:textId="37876330" w:rsidR="00031AC3" w:rsidRDefault="00031AC3">
          <w:pPr>
            <w:pStyle w:val="TOC2"/>
            <w:tabs>
              <w:tab w:val="right" w:leader="dot" w:pos="9736"/>
            </w:tabs>
            <w:rPr>
              <w:rFonts w:asciiTheme="minorHAnsi" w:eastAsiaTheme="minorEastAsia" w:hAnsiTheme="minorHAnsi"/>
              <w:noProof/>
              <w:szCs w:val="24"/>
              <w:lang w:eastAsia="en-GB"/>
            </w:rPr>
          </w:pPr>
          <w:hyperlink w:anchor="_Toc205045012" w:history="1">
            <w:r w:rsidRPr="00921381">
              <w:rPr>
                <w:rStyle w:val="Hyperlink"/>
                <w:rFonts w:cs="Arial"/>
                <w:b/>
                <w:bCs/>
                <w:noProof/>
              </w:rPr>
              <w:t>3. Evaluation aims and purpose</w:t>
            </w:r>
            <w:r>
              <w:rPr>
                <w:noProof/>
                <w:webHidden/>
              </w:rPr>
              <w:tab/>
            </w:r>
            <w:r>
              <w:rPr>
                <w:noProof/>
                <w:webHidden/>
              </w:rPr>
              <w:fldChar w:fldCharType="begin"/>
            </w:r>
            <w:r>
              <w:rPr>
                <w:noProof/>
                <w:webHidden/>
              </w:rPr>
              <w:instrText xml:space="preserve"> PAGEREF _Toc205045012 \h </w:instrText>
            </w:r>
            <w:r>
              <w:rPr>
                <w:noProof/>
                <w:webHidden/>
              </w:rPr>
            </w:r>
            <w:r>
              <w:rPr>
                <w:noProof/>
                <w:webHidden/>
              </w:rPr>
              <w:fldChar w:fldCharType="separate"/>
            </w:r>
            <w:r w:rsidR="002A160E">
              <w:rPr>
                <w:noProof/>
                <w:webHidden/>
              </w:rPr>
              <w:t>5</w:t>
            </w:r>
            <w:r>
              <w:rPr>
                <w:noProof/>
                <w:webHidden/>
              </w:rPr>
              <w:fldChar w:fldCharType="end"/>
            </w:r>
          </w:hyperlink>
        </w:p>
        <w:p w14:paraId="5E9920D0" w14:textId="55832ECD" w:rsidR="00031AC3" w:rsidRDefault="00031AC3">
          <w:pPr>
            <w:pStyle w:val="TOC2"/>
            <w:tabs>
              <w:tab w:val="right" w:leader="dot" w:pos="9736"/>
            </w:tabs>
            <w:rPr>
              <w:rFonts w:asciiTheme="minorHAnsi" w:eastAsiaTheme="minorEastAsia" w:hAnsiTheme="minorHAnsi"/>
              <w:noProof/>
              <w:szCs w:val="24"/>
              <w:lang w:eastAsia="en-GB"/>
            </w:rPr>
          </w:pPr>
          <w:hyperlink w:anchor="_Toc205045013" w:history="1">
            <w:r w:rsidRPr="00921381">
              <w:rPr>
                <w:rStyle w:val="Hyperlink"/>
                <w:rFonts w:cs="Arial"/>
                <w:b/>
                <w:bCs/>
                <w:noProof/>
              </w:rPr>
              <w:t>4. Stakeholders</w:t>
            </w:r>
            <w:r>
              <w:rPr>
                <w:noProof/>
                <w:webHidden/>
              </w:rPr>
              <w:tab/>
            </w:r>
            <w:r>
              <w:rPr>
                <w:noProof/>
                <w:webHidden/>
              </w:rPr>
              <w:fldChar w:fldCharType="begin"/>
            </w:r>
            <w:r>
              <w:rPr>
                <w:noProof/>
                <w:webHidden/>
              </w:rPr>
              <w:instrText xml:space="preserve"> PAGEREF _Toc205045013 \h </w:instrText>
            </w:r>
            <w:r>
              <w:rPr>
                <w:noProof/>
                <w:webHidden/>
              </w:rPr>
            </w:r>
            <w:r>
              <w:rPr>
                <w:noProof/>
                <w:webHidden/>
              </w:rPr>
              <w:fldChar w:fldCharType="separate"/>
            </w:r>
            <w:r w:rsidR="002A160E">
              <w:rPr>
                <w:noProof/>
                <w:webHidden/>
              </w:rPr>
              <w:t>5</w:t>
            </w:r>
            <w:r>
              <w:rPr>
                <w:noProof/>
                <w:webHidden/>
              </w:rPr>
              <w:fldChar w:fldCharType="end"/>
            </w:r>
          </w:hyperlink>
        </w:p>
        <w:p w14:paraId="338CC6E5" w14:textId="3603F63C" w:rsidR="00031AC3" w:rsidRDefault="00031AC3">
          <w:pPr>
            <w:pStyle w:val="TOC2"/>
            <w:tabs>
              <w:tab w:val="right" w:leader="dot" w:pos="9736"/>
            </w:tabs>
            <w:rPr>
              <w:rFonts w:asciiTheme="minorHAnsi" w:eastAsiaTheme="minorEastAsia" w:hAnsiTheme="minorHAnsi"/>
              <w:noProof/>
              <w:szCs w:val="24"/>
              <w:lang w:eastAsia="en-GB"/>
            </w:rPr>
          </w:pPr>
          <w:hyperlink w:anchor="_Toc205045014" w:history="1">
            <w:r w:rsidRPr="00921381">
              <w:rPr>
                <w:rStyle w:val="Hyperlink"/>
                <w:rFonts w:cs="Arial"/>
                <w:b/>
                <w:bCs/>
                <w:noProof/>
              </w:rPr>
              <w:t>5. Outputs / Deliverables</w:t>
            </w:r>
            <w:r>
              <w:rPr>
                <w:noProof/>
                <w:webHidden/>
              </w:rPr>
              <w:tab/>
            </w:r>
            <w:r>
              <w:rPr>
                <w:noProof/>
                <w:webHidden/>
              </w:rPr>
              <w:fldChar w:fldCharType="begin"/>
            </w:r>
            <w:r>
              <w:rPr>
                <w:noProof/>
                <w:webHidden/>
              </w:rPr>
              <w:instrText xml:space="preserve"> PAGEREF _Toc205045014 \h </w:instrText>
            </w:r>
            <w:r>
              <w:rPr>
                <w:noProof/>
                <w:webHidden/>
              </w:rPr>
            </w:r>
            <w:r>
              <w:rPr>
                <w:noProof/>
                <w:webHidden/>
              </w:rPr>
              <w:fldChar w:fldCharType="separate"/>
            </w:r>
            <w:r w:rsidR="002A160E">
              <w:rPr>
                <w:noProof/>
                <w:webHidden/>
              </w:rPr>
              <w:t>6</w:t>
            </w:r>
            <w:r>
              <w:rPr>
                <w:noProof/>
                <w:webHidden/>
              </w:rPr>
              <w:fldChar w:fldCharType="end"/>
            </w:r>
          </w:hyperlink>
        </w:p>
        <w:p w14:paraId="3AB71848" w14:textId="67CB435B" w:rsidR="00031AC3" w:rsidRDefault="00031AC3">
          <w:pPr>
            <w:pStyle w:val="TOC2"/>
            <w:tabs>
              <w:tab w:val="right" w:leader="dot" w:pos="9736"/>
            </w:tabs>
            <w:rPr>
              <w:rFonts w:asciiTheme="minorHAnsi" w:eastAsiaTheme="minorEastAsia" w:hAnsiTheme="minorHAnsi"/>
              <w:noProof/>
              <w:szCs w:val="24"/>
              <w:lang w:eastAsia="en-GB"/>
            </w:rPr>
          </w:pPr>
          <w:hyperlink w:anchor="_Toc205045015" w:history="1">
            <w:r w:rsidRPr="00921381">
              <w:rPr>
                <w:rStyle w:val="Hyperlink"/>
                <w:rFonts w:cs="Arial"/>
                <w:b/>
                <w:bCs/>
                <w:noProof/>
              </w:rPr>
              <w:t>6. Indicative Timeline</w:t>
            </w:r>
            <w:r>
              <w:rPr>
                <w:noProof/>
                <w:webHidden/>
              </w:rPr>
              <w:tab/>
            </w:r>
            <w:r>
              <w:rPr>
                <w:noProof/>
                <w:webHidden/>
              </w:rPr>
              <w:fldChar w:fldCharType="begin"/>
            </w:r>
            <w:r>
              <w:rPr>
                <w:noProof/>
                <w:webHidden/>
              </w:rPr>
              <w:instrText xml:space="preserve"> PAGEREF _Toc205045015 \h </w:instrText>
            </w:r>
            <w:r>
              <w:rPr>
                <w:noProof/>
                <w:webHidden/>
              </w:rPr>
            </w:r>
            <w:r>
              <w:rPr>
                <w:noProof/>
                <w:webHidden/>
              </w:rPr>
              <w:fldChar w:fldCharType="separate"/>
            </w:r>
            <w:r w:rsidR="002A160E">
              <w:rPr>
                <w:noProof/>
                <w:webHidden/>
              </w:rPr>
              <w:t>7</w:t>
            </w:r>
            <w:r>
              <w:rPr>
                <w:noProof/>
                <w:webHidden/>
              </w:rPr>
              <w:fldChar w:fldCharType="end"/>
            </w:r>
          </w:hyperlink>
        </w:p>
        <w:p w14:paraId="1D2B5AE0" w14:textId="329495C5" w:rsidR="00031AC3" w:rsidRDefault="00031AC3">
          <w:pPr>
            <w:pStyle w:val="TOC2"/>
            <w:tabs>
              <w:tab w:val="right" w:leader="dot" w:pos="9736"/>
            </w:tabs>
            <w:rPr>
              <w:rFonts w:asciiTheme="minorHAnsi" w:eastAsiaTheme="minorEastAsia" w:hAnsiTheme="minorHAnsi"/>
              <w:noProof/>
              <w:szCs w:val="24"/>
              <w:lang w:eastAsia="en-GB"/>
            </w:rPr>
          </w:pPr>
          <w:hyperlink w:anchor="_Toc205045016" w:history="1">
            <w:r w:rsidRPr="00921381">
              <w:rPr>
                <w:rStyle w:val="Hyperlink"/>
                <w:rFonts w:cs="Arial"/>
                <w:b/>
                <w:bCs/>
                <w:noProof/>
              </w:rPr>
              <w:t>7. Methodology</w:t>
            </w:r>
            <w:r>
              <w:rPr>
                <w:noProof/>
                <w:webHidden/>
              </w:rPr>
              <w:tab/>
            </w:r>
            <w:r>
              <w:rPr>
                <w:noProof/>
                <w:webHidden/>
              </w:rPr>
              <w:fldChar w:fldCharType="begin"/>
            </w:r>
            <w:r>
              <w:rPr>
                <w:noProof/>
                <w:webHidden/>
              </w:rPr>
              <w:instrText xml:space="preserve"> PAGEREF _Toc205045016 \h </w:instrText>
            </w:r>
            <w:r>
              <w:rPr>
                <w:noProof/>
                <w:webHidden/>
              </w:rPr>
            </w:r>
            <w:r>
              <w:rPr>
                <w:noProof/>
                <w:webHidden/>
              </w:rPr>
              <w:fldChar w:fldCharType="separate"/>
            </w:r>
            <w:r w:rsidR="002A160E">
              <w:rPr>
                <w:noProof/>
                <w:webHidden/>
              </w:rPr>
              <w:t>7</w:t>
            </w:r>
            <w:r>
              <w:rPr>
                <w:noProof/>
                <w:webHidden/>
              </w:rPr>
              <w:fldChar w:fldCharType="end"/>
            </w:r>
          </w:hyperlink>
        </w:p>
        <w:p w14:paraId="2349F940" w14:textId="7EA12BBB" w:rsidR="00031AC3" w:rsidRPr="00031AC3" w:rsidRDefault="00031AC3">
          <w:pPr>
            <w:pStyle w:val="TOC3"/>
            <w:tabs>
              <w:tab w:val="right" w:leader="dot" w:pos="9736"/>
            </w:tabs>
            <w:rPr>
              <w:rFonts w:asciiTheme="minorHAnsi" w:eastAsiaTheme="minorEastAsia" w:hAnsiTheme="minorHAnsi"/>
              <w:noProof/>
              <w:szCs w:val="24"/>
              <w:lang w:eastAsia="en-GB"/>
            </w:rPr>
          </w:pPr>
          <w:hyperlink w:anchor="_Toc205045017" w:history="1">
            <w:r w:rsidRPr="00031AC3">
              <w:rPr>
                <w:rStyle w:val="Hyperlink"/>
                <w:rFonts w:cs="Arial"/>
                <w:noProof/>
              </w:rPr>
              <w:t>7.1 Outline</w:t>
            </w:r>
            <w:r w:rsidRPr="00031AC3">
              <w:rPr>
                <w:noProof/>
                <w:webHidden/>
              </w:rPr>
              <w:tab/>
            </w:r>
            <w:r w:rsidRPr="00031AC3">
              <w:rPr>
                <w:noProof/>
                <w:webHidden/>
              </w:rPr>
              <w:fldChar w:fldCharType="begin"/>
            </w:r>
            <w:r w:rsidRPr="00031AC3">
              <w:rPr>
                <w:noProof/>
                <w:webHidden/>
              </w:rPr>
              <w:instrText xml:space="preserve"> PAGEREF _Toc205045017 \h </w:instrText>
            </w:r>
            <w:r w:rsidRPr="00031AC3">
              <w:rPr>
                <w:noProof/>
                <w:webHidden/>
              </w:rPr>
            </w:r>
            <w:r w:rsidRPr="00031AC3">
              <w:rPr>
                <w:noProof/>
                <w:webHidden/>
              </w:rPr>
              <w:fldChar w:fldCharType="separate"/>
            </w:r>
            <w:r w:rsidR="002A160E">
              <w:rPr>
                <w:noProof/>
                <w:webHidden/>
              </w:rPr>
              <w:t>7</w:t>
            </w:r>
            <w:r w:rsidRPr="00031AC3">
              <w:rPr>
                <w:noProof/>
                <w:webHidden/>
              </w:rPr>
              <w:fldChar w:fldCharType="end"/>
            </w:r>
          </w:hyperlink>
        </w:p>
        <w:p w14:paraId="67EBD6BA" w14:textId="0FAB19B7" w:rsidR="00031AC3" w:rsidRPr="00031AC3" w:rsidRDefault="00031AC3">
          <w:pPr>
            <w:pStyle w:val="TOC3"/>
            <w:tabs>
              <w:tab w:val="right" w:leader="dot" w:pos="9736"/>
            </w:tabs>
            <w:rPr>
              <w:rFonts w:asciiTheme="minorHAnsi" w:eastAsiaTheme="minorEastAsia" w:hAnsiTheme="minorHAnsi"/>
              <w:noProof/>
              <w:szCs w:val="24"/>
              <w:lang w:eastAsia="en-GB"/>
            </w:rPr>
          </w:pPr>
          <w:hyperlink w:anchor="_Toc205045018" w:history="1">
            <w:r w:rsidRPr="00031AC3">
              <w:rPr>
                <w:rStyle w:val="Hyperlink"/>
                <w:rFonts w:cs="Arial"/>
                <w:noProof/>
              </w:rPr>
              <w:t>7.2 Skills</w:t>
            </w:r>
            <w:r w:rsidRPr="00031AC3">
              <w:rPr>
                <w:noProof/>
                <w:webHidden/>
              </w:rPr>
              <w:tab/>
            </w:r>
            <w:r w:rsidRPr="00031AC3">
              <w:rPr>
                <w:noProof/>
                <w:webHidden/>
              </w:rPr>
              <w:fldChar w:fldCharType="begin"/>
            </w:r>
            <w:r w:rsidRPr="00031AC3">
              <w:rPr>
                <w:noProof/>
                <w:webHidden/>
              </w:rPr>
              <w:instrText xml:space="preserve"> PAGEREF _Toc205045018 \h </w:instrText>
            </w:r>
            <w:r w:rsidRPr="00031AC3">
              <w:rPr>
                <w:noProof/>
                <w:webHidden/>
              </w:rPr>
            </w:r>
            <w:r w:rsidRPr="00031AC3">
              <w:rPr>
                <w:noProof/>
                <w:webHidden/>
              </w:rPr>
              <w:fldChar w:fldCharType="separate"/>
            </w:r>
            <w:r w:rsidR="002A160E">
              <w:rPr>
                <w:noProof/>
                <w:webHidden/>
              </w:rPr>
              <w:t>8</w:t>
            </w:r>
            <w:r w:rsidRPr="00031AC3">
              <w:rPr>
                <w:noProof/>
                <w:webHidden/>
              </w:rPr>
              <w:fldChar w:fldCharType="end"/>
            </w:r>
          </w:hyperlink>
        </w:p>
        <w:p w14:paraId="5D998C8A" w14:textId="6A14EEC7" w:rsidR="00031AC3" w:rsidRPr="00031AC3" w:rsidRDefault="00031AC3">
          <w:pPr>
            <w:pStyle w:val="TOC3"/>
            <w:tabs>
              <w:tab w:val="right" w:leader="dot" w:pos="9736"/>
            </w:tabs>
            <w:rPr>
              <w:rFonts w:asciiTheme="minorHAnsi" w:eastAsiaTheme="minorEastAsia" w:hAnsiTheme="minorHAnsi"/>
              <w:noProof/>
              <w:szCs w:val="24"/>
              <w:lang w:eastAsia="en-GB"/>
            </w:rPr>
          </w:pPr>
          <w:hyperlink w:anchor="_Toc205045019" w:history="1">
            <w:r w:rsidRPr="00031AC3">
              <w:rPr>
                <w:rStyle w:val="Hyperlink"/>
                <w:rFonts w:cs="Arial"/>
                <w:noProof/>
              </w:rPr>
              <w:t>7.3 Our Values</w:t>
            </w:r>
            <w:r w:rsidRPr="00031AC3">
              <w:rPr>
                <w:noProof/>
                <w:webHidden/>
              </w:rPr>
              <w:tab/>
            </w:r>
            <w:r w:rsidRPr="00031AC3">
              <w:rPr>
                <w:noProof/>
                <w:webHidden/>
              </w:rPr>
              <w:fldChar w:fldCharType="begin"/>
            </w:r>
            <w:r w:rsidRPr="00031AC3">
              <w:rPr>
                <w:noProof/>
                <w:webHidden/>
              </w:rPr>
              <w:instrText xml:space="preserve"> PAGEREF _Toc205045019 \h </w:instrText>
            </w:r>
            <w:r w:rsidRPr="00031AC3">
              <w:rPr>
                <w:noProof/>
                <w:webHidden/>
              </w:rPr>
            </w:r>
            <w:r w:rsidRPr="00031AC3">
              <w:rPr>
                <w:noProof/>
                <w:webHidden/>
              </w:rPr>
              <w:fldChar w:fldCharType="separate"/>
            </w:r>
            <w:r w:rsidR="002A160E">
              <w:rPr>
                <w:noProof/>
                <w:webHidden/>
              </w:rPr>
              <w:t>9</w:t>
            </w:r>
            <w:r w:rsidRPr="00031AC3">
              <w:rPr>
                <w:noProof/>
                <w:webHidden/>
              </w:rPr>
              <w:fldChar w:fldCharType="end"/>
            </w:r>
          </w:hyperlink>
        </w:p>
        <w:p w14:paraId="66B16458" w14:textId="475981BB" w:rsidR="00031AC3" w:rsidRDefault="00031AC3">
          <w:pPr>
            <w:pStyle w:val="TOC2"/>
            <w:tabs>
              <w:tab w:val="right" w:leader="dot" w:pos="9736"/>
            </w:tabs>
            <w:rPr>
              <w:rFonts w:asciiTheme="minorHAnsi" w:eastAsiaTheme="minorEastAsia" w:hAnsiTheme="minorHAnsi"/>
              <w:noProof/>
              <w:szCs w:val="24"/>
              <w:lang w:eastAsia="en-GB"/>
            </w:rPr>
          </w:pPr>
          <w:hyperlink w:anchor="_Toc205045020" w:history="1">
            <w:r w:rsidRPr="00921381">
              <w:rPr>
                <w:rStyle w:val="Hyperlink"/>
                <w:rFonts w:cs="Arial"/>
                <w:b/>
                <w:bCs/>
                <w:noProof/>
              </w:rPr>
              <w:t>8. Contract Management</w:t>
            </w:r>
            <w:r>
              <w:rPr>
                <w:noProof/>
                <w:webHidden/>
              </w:rPr>
              <w:tab/>
            </w:r>
            <w:r>
              <w:rPr>
                <w:noProof/>
                <w:webHidden/>
              </w:rPr>
              <w:fldChar w:fldCharType="begin"/>
            </w:r>
            <w:r>
              <w:rPr>
                <w:noProof/>
                <w:webHidden/>
              </w:rPr>
              <w:instrText xml:space="preserve"> PAGEREF _Toc205045020 \h </w:instrText>
            </w:r>
            <w:r>
              <w:rPr>
                <w:noProof/>
                <w:webHidden/>
              </w:rPr>
            </w:r>
            <w:r>
              <w:rPr>
                <w:noProof/>
                <w:webHidden/>
              </w:rPr>
              <w:fldChar w:fldCharType="separate"/>
            </w:r>
            <w:r w:rsidR="002A160E">
              <w:rPr>
                <w:noProof/>
                <w:webHidden/>
              </w:rPr>
              <w:t>9</w:t>
            </w:r>
            <w:r>
              <w:rPr>
                <w:noProof/>
                <w:webHidden/>
              </w:rPr>
              <w:fldChar w:fldCharType="end"/>
            </w:r>
          </w:hyperlink>
        </w:p>
        <w:p w14:paraId="3E63787C" w14:textId="46FC7971" w:rsidR="00031AC3" w:rsidRPr="00031AC3" w:rsidRDefault="00031AC3">
          <w:pPr>
            <w:pStyle w:val="TOC3"/>
            <w:tabs>
              <w:tab w:val="right" w:leader="dot" w:pos="9736"/>
            </w:tabs>
            <w:rPr>
              <w:rFonts w:asciiTheme="minorHAnsi" w:eastAsiaTheme="minorEastAsia" w:hAnsiTheme="minorHAnsi"/>
              <w:noProof/>
              <w:szCs w:val="24"/>
              <w:lang w:eastAsia="en-GB"/>
            </w:rPr>
          </w:pPr>
          <w:hyperlink w:anchor="_Toc205045021" w:history="1">
            <w:r w:rsidRPr="00031AC3">
              <w:rPr>
                <w:rStyle w:val="Hyperlink"/>
                <w:rFonts w:cs="Arial"/>
                <w:noProof/>
              </w:rPr>
              <w:t>8.1 Contract Details</w:t>
            </w:r>
            <w:r w:rsidRPr="00031AC3">
              <w:rPr>
                <w:noProof/>
                <w:webHidden/>
              </w:rPr>
              <w:tab/>
            </w:r>
            <w:r w:rsidRPr="00031AC3">
              <w:rPr>
                <w:noProof/>
                <w:webHidden/>
              </w:rPr>
              <w:fldChar w:fldCharType="begin"/>
            </w:r>
            <w:r w:rsidRPr="00031AC3">
              <w:rPr>
                <w:noProof/>
                <w:webHidden/>
              </w:rPr>
              <w:instrText xml:space="preserve"> PAGEREF _Toc205045021 \h </w:instrText>
            </w:r>
            <w:r w:rsidRPr="00031AC3">
              <w:rPr>
                <w:noProof/>
                <w:webHidden/>
              </w:rPr>
            </w:r>
            <w:r w:rsidRPr="00031AC3">
              <w:rPr>
                <w:noProof/>
                <w:webHidden/>
              </w:rPr>
              <w:fldChar w:fldCharType="separate"/>
            </w:r>
            <w:r w:rsidR="002A160E">
              <w:rPr>
                <w:noProof/>
                <w:webHidden/>
              </w:rPr>
              <w:t>9</w:t>
            </w:r>
            <w:r w:rsidRPr="00031AC3">
              <w:rPr>
                <w:noProof/>
                <w:webHidden/>
              </w:rPr>
              <w:fldChar w:fldCharType="end"/>
            </w:r>
          </w:hyperlink>
        </w:p>
        <w:p w14:paraId="0911F1D6" w14:textId="1F76A2D3" w:rsidR="00031AC3" w:rsidRPr="00031AC3" w:rsidRDefault="00031AC3">
          <w:pPr>
            <w:pStyle w:val="TOC3"/>
            <w:tabs>
              <w:tab w:val="right" w:leader="dot" w:pos="9736"/>
            </w:tabs>
            <w:rPr>
              <w:rFonts w:asciiTheme="minorHAnsi" w:eastAsiaTheme="minorEastAsia" w:hAnsiTheme="minorHAnsi"/>
              <w:noProof/>
              <w:szCs w:val="24"/>
              <w:lang w:eastAsia="en-GB"/>
            </w:rPr>
          </w:pPr>
          <w:hyperlink w:anchor="_Toc205045022" w:history="1">
            <w:r w:rsidRPr="00031AC3">
              <w:rPr>
                <w:rStyle w:val="Hyperlink"/>
                <w:rFonts w:cs="Arial"/>
                <w:noProof/>
              </w:rPr>
              <w:t>8.2 How to respond</w:t>
            </w:r>
            <w:r w:rsidRPr="00031AC3">
              <w:rPr>
                <w:noProof/>
                <w:webHidden/>
              </w:rPr>
              <w:tab/>
            </w:r>
            <w:r w:rsidRPr="00031AC3">
              <w:rPr>
                <w:noProof/>
                <w:webHidden/>
              </w:rPr>
              <w:fldChar w:fldCharType="begin"/>
            </w:r>
            <w:r w:rsidRPr="00031AC3">
              <w:rPr>
                <w:noProof/>
                <w:webHidden/>
              </w:rPr>
              <w:instrText xml:space="preserve"> PAGEREF _Toc205045022 \h </w:instrText>
            </w:r>
            <w:r w:rsidRPr="00031AC3">
              <w:rPr>
                <w:noProof/>
                <w:webHidden/>
              </w:rPr>
            </w:r>
            <w:r w:rsidRPr="00031AC3">
              <w:rPr>
                <w:noProof/>
                <w:webHidden/>
              </w:rPr>
              <w:fldChar w:fldCharType="separate"/>
            </w:r>
            <w:r w:rsidR="002A160E">
              <w:rPr>
                <w:noProof/>
                <w:webHidden/>
              </w:rPr>
              <w:t>10</w:t>
            </w:r>
            <w:r w:rsidRPr="00031AC3">
              <w:rPr>
                <w:noProof/>
                <w:webHidden/>
              </w:rPr>
              <w:fldChar w:fldCharType="end"/>
            </w:r>
          </w:hyperlink>
        </w:p>
        <w:p w14:paraId="1077487B" w14:textId="1C4A1AA5" w:rsidR="00031AC3" w:rsidRDefault="00031AC3">
          <w:pPr>
            <w:pStyle w:val="TOC2"/>
            <w:tabs>
              <w:tab w:val="right" w:leader="dot" w:pos="9736"/>
            </w:tabs>
            <w:rPr>
              <w:rFonts w:asciiTheme="minorHAnsi" w:eastAsiaTheme="minorEastAsia" w:hAnsiTheme="minorHAnsi"/>
              <w:noProof/>
              <w:szCs w:val="24"/>
              <w:lang w:eastAsia="en-GB"/>
            </w:rPr>
          </w:pPr>
          <w:hyperlink w:anchor="_Toc205045023" w:history="1">
            <w:r w:rsidRPr="00921381">
              <w:rPr>
                <w:rStyle w:val="Hyperlink"/>
                <w:rFonts w:cs="Arial"/>
                <w:b/>
                <w:bCs/>
                <w:noProof/>
              </w:rPr>
              <w:t>9. Evaluation Criteria</w:t>
            </w:r>
            <w:r>
              <w:rPr>
                <w:noProof/>
                <w:webHidden/>
              </w:rPr>
              <w:tab/>
            </w:r>
            <w:r>
              <w:rPr>
                <w:noProof/>
                <w:webHidden/>
              </w:rPr>
              <w:fldChar w:fldCharType="begin"/>
            </w:r>
            <w:r>
              <w:rPr>
                <w:noProof/>
                <w:webHidden/>
              </w:rPr>
              <w:instrText xml:space="preserve"> PAGEREF _Toc205045023 \h </w:instrText>
            </w:r>
            <w:r>
              <w:rPr>
                <w:noProof/>
                <w:webHidden/>
              </w:rPr>
            </w:r>
            <w:r>
              <w:rPr>
                <w:noProof/>
                <w:webHidden/>
              </w:rPr>
              <w:fldChar w:fldCharType="separate"/>
            </w:r>
            <w:r w:rsidR="002A160E">
              <w:rPr>
                <w:noProof/>
                <w:webHidden/>
              </w:rPr>
              <w:t>11</w:t>
            </w:r>
            <w:r>
              <w:rPr>
                <w:noProof/>
                <w:webHidden/>
              </w:rPr>
              <w:fldChar w:fldCharType="end"/>
            </w:r>
          </w:hyperlink>
        </w:p>
        <w:p w14:paraId="4B2450D4" w14:textId="415984F8" w:rsidR="00031AC3" w:rsidRDefault="00031AC3">
          <w:pPr>
            <w:pStyle w:val="TOC2"/>
            <w:tabs>
              <w:tab w:val="right" w:leader="dot" w:pos="9736"/>
            </w:tabs>
            <w:rPr>
              <w:rFonts w:asciiTheme="minorHAnsi" w:eastAsiaTheme="minorEastAsia" w:hAnsiTheme="minorHAnsi"/>
              <w:noProof/>
              <w:szCs w:val="24"/>
              <w:lang w:eastAsia="en-GB"/>
            </w:rPr>
          </w:pPr>
          <w:hyperlink w:anchor="_Toc205045024" w:history="1">
            <w:r w:rsidRPr="00921381">
              <w:rPr>
                <w:rStyle w:val="Hyperlink"/>
                <w:rFonts w:cs="Arial"/>
                <w:b/>
                <w:bCs/>
                <w:noProof/>
              </w:rPr>
              <w:t>10. Procurement Timetable</w:t>
            </w:r>
            <w:r>
              <w:rPr>
                <w:noProof/>
                <w:webHidden/>
              </w:rPr>
              <w:tab/>
            </w:r>
            <w:r>
              <w:rPr>
                <w:noProof/>
                <w:webHidden/>
              </w:rPr>
              <w:fldChar w:fldCharType="begin"/>
            </w:r>
            <w:r>
              <w:rPr>
                <w:noProof/>
                <w:webHidden/>
              </w:rPr>
              <w:instrText xml:space="preserve"> PAGEREF _Toc205045024 \h </w:instrText>
            </w:r>
            <w:r>
              <w:rPr>
                <w:noProof/>
                <w:webHidden/>
              </w:rPr>
            </w:r>
            <w:r>
              <w:rPr>
                <w:noProof/>
                <w:webHidden/>
              </w:rPr>
              <w:fldChar w:fldCharType="separate"/>
            </w:r>
            <w:r w:rsidR="002A160E">
              <w:rPr>
                <w:noProof/>
                <w:webHidden/>
              </w:rPr>
              <w:t>13</w:t>
            </w:r>
            <w:r>
              <w:rPr>
                <w:noProof/>
                <w:webHidden/>
              </w:rPr>
              <w:fldChar w:fldCharType="end"/>
            </w:r>
          </w:hyperlink>
        </w:p>
        <w:p w14:paraId="4B3DAD0E" w14:textId="25F0127F" w:rsidR="00031AC3" w:rsidRDefault="00031AC3">
          <w:pPr>
            <w:pStyle w:val="TOC2"/>
            <w:tabs>
              <w:tab w:val="right" w:leader="dot" w:pos="9736"/>
            </w:tabs>
            <w:rPr>
              <w:rFonts w:asciiTheme="minorHAnsi" w:eastAsiaTheme="minorEastAsia" w:hAnsiTheme="minorHAnsi"/>
              <w:noProof/>
              <w:szCs w:val="24"/>
              <w:lang w:eastAsia="en-GB"/>
            </w:rPr>
          </w:pPr>
          <w:hyperlink w:anchor="_Toc205045025" w:history="1">
            <w:r w:rsidRPr="00921381">
              <w:rPr>
                <w:rStyle w:val="Hyperlink"/>
                <w:rFonts w:cs="Arial"/>
                <w:b/>
                <w:bCs/>
                <w:noProof/>
              </w:rPr>
              <w:t>11. Contract Terms</w:t>
            </w:r>
            <w:r>
              <w:rPr>
                <w:noProof/>
                <w:webHidden/>
              </w:rPr>
              <w:tab/>
            </w:r>
            <w:r>
              <w:rPr>
                <w:noProof/>
                <w:webHidden/>
              </w:rPr>
              <w:fldChar w:fldCharType="begin"/>
            </w:r>
            <w:r>
              <w:rPr>
                <w:noProof/>
                <w:webHidden/>
              </w:rPr>
              <w:instrText xml:space="preserve"> PAGEREF _Toc205045025 \h </w:instrText>
            </w:r>
            <w:r>
              <w:rPr>
                <w:noProof/>
                <w:webHidden/>
              </w:rPr>
            </w:r>
            <w:r>
              <w:rPr>
                <w:noProof/>
                <w:webHidden/>
              </w:rPr>
              <w:fldChar w:fldCharType="separate"/>
            </w:r>
            <w:r w:rsidR="002A160E">
              <w:rPr>
                <w:noProof/>
                <w:webHidden/>
              </w:rPr>
              <w:t>13</w:t>
            </w:r>
            <w:r>
              <w:rPr>
                <w:noProof/>
                <w:webHidden/>
              </w:rPr>
              <w:fldChar w:fldCharType="end"/>
            </w:r>
          </w:hyperlink>
        </w:p>
        <w:p w14:paraId="1824DC56" w14:textId="2E48228B" w:rsidR="00031AC3" w:rsidRDefault="00031AC3">
          <w:pPr>
            <w:pStyle w:val="TOC2"/>
            <w:tabs>
              <w:tab w:val="right" w:leader="dot" w:pos="9736"/>
            </w:tabs>
            <w:rPr>
              <w:rFonts w:asciiTheme="minorHAnsi" w:eastAsiaTheme="minorEastAsia" w:hAnsiTheme="minorHAnsi"/>
              <w:noProof/>
              <w:szCs w:val="24"/>
              <w:lang w:eastAsia="en-GB"/>
            </w:rPr>
          </w:pPr>
          <w:hyperlink w:anchor="_Toc205045026" w:history="1">
            <w:r w:rsidRPr="00921381">
              <w:rPr>
                <w:rStyle w:val="Hyperlink"/>
                <w:rFonts w:cs="Arial"/>
                <w:b/>
                <w:bCs/>
                <w:noProof/>
              </w:rPr>
              <w:t>Appendix 1: ‘Spaces, Places and Belonging’ Community Hub Logic Model</w:t>
            </w:r>
            <w:r>
              <w:rPr>
                <w:noProof/>
                <w:webHidden/>
              </w:rPr>
              <w:tab/>
            </w:r>
            <w:r>
              <w:rPr>
                <w:noProof/>
                <w:webHidden/>
              </w:rPr>
              <w:fldChar w:fldCharType="begin"/>
            </w:r>
            <w:r>
              <w:rPr>
                <w:noProof/>
                <w:webHidden/>
              </w:rPr>
              <w:instrText xml:space="preserve"> PAGEREF _Toc205045026 \h </w:instrText>
            </w:r>
            <w:r>
              <w:rPr>
                <w:noProof/>
                <w:webHidden/>
              </w:rPr>
            </w:r>
            <w:r>
              <w:rPr>
                <w:noProof/>
                <w:webHidden/>
              </w:rPr>
              <w:fldChar w:fldCharType="separate"/>
            </w:r>
            <w:r w:rsidR="002A160E">
              <w:rPr>
                <w:noProof/>
                <w:webHidden/>
              </w:rPr>
              <w:t>14</w:t>
            </w:r>
            <w:r>
              <w:rPr>
                <w:noProof/>
                <w:webHidden/>
              </w:rPr>
              <w:fldChar w:fldCharType="end"/>
            </w:r>
          </w:hyperlink>
        </w:p>
        <w:p w14:paraId="69B77FE2" w14:textId="59259872" w:rsidR="00B16510" w:rsidRPr="003C15F2" w:rsidRDefault="00B16510">
          <w:pPr>
            <w:rPr>
              <w:rFonts w:cs="Arial"/>
              <w:highlight w:val="yellow"/>
            </w:rPr>
          </w:pPr>
          <w:r w:rsidRPr="00031AC3">
            <w:rPr>
              <w:rFonts w:cs="Arial"/>
            </w:rPr>
            <w:fldChar w:fldCharType="end"/>
          </w:r>
        </w:p>
      </w:sdtContent>
    </w:sdt>
    <w:p w14:paraId="2237086C" w14:textId="0C03210F" w:rsidR="00B16510" w:rsidRPr="003C15F2" w:rsidRDefault="00B16510" w:rsidP="00334F71">
      <w:pPr>
        <w:spacing w:after="0"/>
        <w:rPr>
          <w:rFonts w:cs="Arial"/>
          <w:sz w:val="4"/>
          <w:szCs w:val="4"/>
          <w:highlight w:val="yellow"/>
        </w:rPr>
      </w:pPr>
      <w:r w:rsidRPr="003C15F2">
        <w:rPr>
          <w:rFonts w:cs="Arial"/>
          <w:szCs w:val="24"/>
          <w:highlight w:val="yellow"/>
        </w:rPr>
        <w:br w:type="page"/>
      </w:r>
      <w:r w:rsidR="00232E12" w:rsidRPr="003C15F2">
        <w:rPr>
          <w:rFonts w:cs="Arial"/>
          <w:szCs w:val="24"/>
          <w:highlight w:val="yellow"/>
        </w:rPr>
        <w:lastRenderedPageBreak/>
        <w:br/>
      </w:r>
    </w:p>
    <w:p w14:paraId="1DAC58CE" w14:textId="1555EA5E" w:rsidR="00DF3C79" w:rsidRPr="003C15F2" w:rsidRDefault="00B16510" w:rsidP="00B16510">
      <w:pPr>
        <w:pStyle w:val="Heading2"/>
        <w:rPr>
          <w:rFonts w:cs="Arial"/>
          <w:b/>
          <w:bCs/>
          <w:color w:val="1F4E79" w:themeColor="accent5" w:themeShade="80"/>
        </w:rPr>
      </w:pPr>
      <w:bookmarkStart w:id="0" w:name="_Toc205045008"/>
      <w:r w:rsidRPr="003C15F2">
        <w:rPr>
          <w:rFonts w:cs="Arial"/>
          <w:b/>
          <w:bCs/>
          <w:color w:val="1F4E79" w:themeColor="accent5" w:themeShade="80"/>
        </w:rPr>
        <w:t xml:space="preserve">1. </w:t>
      </w:r>
      <w:r w:rsidR="00DF3C79" w:rsidRPr="003C15F2">
        <w:rPr>
          <w:rFonts w:cs="Arial"/>
          <w:b/>
          <w:bCs/>
          <w:color w:val="1F4E79" w:themeColor="accent5" w:themeShade="80"/>
        </w:rPr>
        <w:t>Introduction</w:t>
      </w:r>
      <w:bookmarkEnd w:id="0"/>
    </w:p>
    <w:p w14:paraId="4C2C3535" w14:textId="7AEC3171" w:rsidR="00DF3C79" w:rsidRPr="003C15F2" w:rsidRDefault="00DF3C79" w:rsidP="00B16510">
      <w:pPr>
        <w:jc w:val="both"/>
        <w:rPr>
          <w:rFonts w:cs="Arial"/>
          <w:szCs w:val="24"/>
        </w:rPr>
      </w:pPr>
      <w:r w:rsidRPr="003C15F2">
        <w:rPr>
          <w:rFonts w:cs="Arial"/>
          <w:szCs w:val="24"/>
        </w:rPr>
        <w:t>Th</w:t>
      </w:r>
      <w:r w:rsidR="006E17DB" w:rsidRPr="003C15F2">
        <w:rPr>
          <w:rFonts w:cs="Arial"/>
          <w:szCs w:val="24"/>
        </w:rPr>
        <w:t xml:space="preserve">e purpose of this procurement process is to select a supplier </w:t>
      </w:r>
      <w:r w:rsidR="0057012A" w:rsidRPr="003C15F2">
        <w:rPr>
          <w:rFonts w:cs="Arial"/>
          <w:szCs w:val="24"/>
        </w:rPr>
        <w:t xml:space="preserve">to evaluate the </w:t>
      </w:r>
      <w:r w:rsidR="003C15F2">
        <w:rPr>
          <w:rFonts w:cs="Arial"/>
          <w:szCs w:val="24"/>
        </w:rPr>
        <w:t xml:space="preserve">AHRC-funded </w:t>
      </w:r>
      <w:hyperlink r:id="rId17" w:history="1">
        <w:r w:rsidR="003C15F2" w:rsidRPr="003C15F2">
          <w:rPr>
            <w:rStyle w:val="Hyperlink"/>
            <w:rFonts w:cs="Arial"/>
            <w:szCs w:val="24"/>
          </w:rPr>
          <w:t>‘Spaces, Places and Belonging’ Community Hub</w:t>
        </w:r>
      </w:hyperlink>
      <w:r w:rsidR="003C15F2">
        <w:rPr>
          <w:rFonts w:cs="Arial"/>
          <w:szCs w:val="24"/>
        </w:rPr>
        <w:t xml:space="preserve"> </w:t>
      </w:r>
      <w:r w:rsidR="0030070C" w:rsidRPr="003C15F2">
        <w:rPr>
          <w:rFonts w:cs="Arial"/>
          <w:szCs w:val="24"/>
        </w:rPr>
        <w:t>between 202</w:t>
      </w:r>
      <w:r w:rsidR="003C15F2">
        <w:rPr>
          <w:rFonts w:cs="Arial"/>
          <w:szCs w:val="24"/>
        </w:rPr>
        <w:t>5</w:t>
      </w:r>
      <w:r w:rsidR="0030070C" w:rsidRPr="003C15F2">
        <w:rPr>
          <w:rFonts w:cs="Arial"/>
          <w:szCs w:val="24"/>
        </w:rPr>
        <w:t xml:space="preserve"> and 202</w:t>
      </w:r>
      <w:r w:rsidR="003C15F2">
        <w:rPr>
          <w:rFonts w:cs="Arial"/>
          <w:szCs w:val="24"/>
        </w:rPr>
        <w:t>7</w:t>
      </w:r>
      <w:r w:rsidR="0057012A" w:rsidRPr="003C15F2">
        <w:rPr>
          <w:rFonts w:cs="Arial"/>
          <w:szCs w:val="24"/>
        </w:rPr>
        <w:t>.</w:t>
      </w:r>
      <w:r w:rsidR="0057012A" w:rsidRPr="003C15F2" w:rsidDel="006E17DB">
        <w:rPr>
          <w:rFonts w:cs="Arial"/>
          <w:szCs w:val="24"/>
        </w:rPr>
        <w:t xml:space="preserve"> </w:t>
      </w:r>
      <w:r w:rsidR="005E7073" w:rsidRPr="003C15F2">
        <w:rPr>
          <w:rFonts w:cs="Arial"/>
          <w:szCs w:val="24"/>
        </w:rPr>
        <w:t xml:space="preserve">This </w:t>
      </w:r>
      <w:r w:rsidRPr="003C15F2">
        <w:rPr>
          <w:rFonts w:cs="Arial"/>
          <w:szCs w:val="24"/>
        </w:rPr>
        <w:t xml:space="preserve">invitation to tender </w:t>
      </w:r>
      <w:r w:rsidR="00A2666B" w:rsidRPr="003C15F2">
        <w:rPr>
          <w:rFonts w:cs="Arial"/>
          <w:szCs w:val="24"/>
        </w:rPr>
        <w:t xml:space="preserve">outlines </w:t>
      </w:r>
      <w:r w:rsidRPr="003C15F2">
        <w:rPr>
          <w:rFonts w:cs="Arial"/>
          <w:szCs w:val="24"/>
        </w:rPr>
        <w:t xml:space="preserve">the requirements for </w:t>
      </w:r>
      <w:r w:rsidR="00FA64D8" w:rsidRPr="003C15F2">
        <w:rPr>
          <w:rFonts w:cs="Arial"/>
          <w:szCs w:val="24"/>
        </w:rPr>
        <w:t xml:space="preserve">potential suppliers. </w:t>
      </w:r>
      <w:r w:rsidRPr="003C15F2">
        <w:rPr>
          <w:rFonts w:cs="Arial"/>
          <w:szCs w:val="24"/>
        </w:rPr>
        <w:t xml:space="preserve"> </w:t>
      </w:r>
    </w:p>
    <w:p w14:paraId="436CF081" w14:textId="77777777" w:rsidR="00B16510" w:rsidRPr="004468B8" w:rsidRDefault="00B16510" w:rsidP="004468B8">
      <w:pPr>
        <w:jc w:val="both"/>
        <w:rPr>
          <w:rFonts w:cs="Arial"/>
          <w:szCs w:val="24"/>
        </w:rPr>
      </w:pPr>
    </w:p>
    <w:p w14:paraId="1513F7CF" w14:textId="1593A1AA" w:rsidR="00FC780B" w:rsidRPr="003C15F2" w:rsidRDefault="00B16510" w:rsidP="00B16510">
      <w:pPr>
        <w:pStyle w:val="Heading2"/>
        <w:rPr>
          <w:rFonts w:cs="Arial"/>
          <w:b/>
          <w:bCs/>
          <w:color w:val="1F4E79" w:themeColor="accent5" w:themeShade="80"/>
        </w:rPr>
      </w:pPr>
      <w:bookmarkStart w:id="1" w:name="_Toc205045009"/>
      <w:r w:rsidRPr="003C15F2">
        <w:rPr>
          <w:rFonts w:cs="Arial"/>
          <w:b/>
          <w:bCs/>
          <w:color w:val="1F4E79" w:themeColor="accent5" w:themeShade="80"/>
        </w:rPr>
        <w:t xml:space="preserve">2. </w:t>
      </w:r>
      <w:r w:rsidR="001E0A8F" w:rsidRPr="003C15F2">
        <w:rPr>
          <w:rFonts w:cs="Arial"/>
          <w:b/>
          <w:bCs/>
          <w:color w:val="1F4E79" w:themeColor="accent5" w:themeShade="80"/>
        </w:rPr>
        <w:t>Overview</w:t>
      </w:r>
      <w:bookmarkEnd w:id="1"/>
    </w:p>
    <w:p w14:paraId="4B875C1F" w14:textId="05F13172" w:rsidR="00033452" w:rsidRPr="003C15F2" w:rsidRDefault="00B16510" w:rsidP="004678D7">
      <w:pPr>
        <w:pStyle w:val="Heading3"/>
        <w:rPr>
          <w:rFonts w:cs="Arial"/>
          <w:b/>
          <w:bCs/>
          <w:color w:val="auto"/>
        </w:rPr>
      </w:pPr>
      <w:bookmarkStart w:id="2" w:name="_Toc205045010"/>
      <w:r w:rsidRPr="003C15F2">
        <w:rPr>
          <w:rFonts w:cs="Arial"/>
          <w:b/>
          <w:bCs/>
          <w:color w:val="auto"/>
        </w:rPr>
        <w:t xml:space="preserve">2.1 </w:t>
      </w:r>
      <w:r w:rsidR="00BE5AFE" w:rsidRPr="003C15F2">
        <w:rPr>
          <w:rFonts w:cs="Arial"/>
          <w:b/>
          <w:bCs/>
          <w:color w:val="auto"/>
        </w:rPr>
        <w:t>The National Archives</w:t>
      </w:r>
      <w:bookmarkEnd w:id="2"/>
    </w:p>
    <w:p w14:paraId="7E4ECCB7" w14:textId="01CC51CC" w:rsidR="00F14A5A" w:rsidRPr="003C15F2" w:rsidRDefault="00070A17" w:rsidP="00070A17">
      <w:pPr>
        <w:rPr>
          <w:rFonts w:eastAsia="Noto Sans" w:cs="Arial"/>
          <w:szCs w:val="24"/>
        </w:rPr>
      </w:pPr>
      <w:r w:rsidRPr="003C15F2">
        <w:rPr>
          <w:rFonts w:cs="Arial"/>
        </w:rPr>
        <w:t>The National Archives is a non-ministerial department, and the official archive and publisher for the UK Government. We are the guardians of over 1,000 years of iconic national documents</w:t>
      </w:r>
      <w:r w:rsidR="00CD7B73" w:rsidRPr="003C15F2">
        <w:rPr>
          <w:rFonts w:cs="Arial"/>
        </w:rPr>
        <w:t xml:space="preserve">, </w:t>
      </w:r>
      <w:r w:rsidRPr="003C15F2">
        <w:rPr>
          <w:rFonts w:eastAsia="Noto Sans" w:cs="Arial"/>
          <w:szCs w:val="24"/>
        </w:rPr>
        <w:t>expert advisers in information and records management</w:t>
      </w:r>
      <w:r w:rsidR="00CD7B73" w:rsidRPr="003C15F2">
        <w:rPr>
          <w:rFonts w:eastAsia="Noto Sans" w:cs="Arial"/>
          <w:szCs w:val="24"/>
        </w:rPr>
        <w:t>,</w:t>
      </w:r>
      <w:r w:rsidRPr="003C15F2">
        <w:rPr>
          <w:rFonts w:eastAsia="Noto Sans" w:cs="Arial"/>
          <w:szCs w:val="24"/>
        </w:rPr>
        <w:t xml:space="preserve"> and are a cultural, academic and heritage institution.</w:t>
      </w:r>
    </w:p>
    <w:p w14:paraId="59017C15" w14:textId="4D3F5C73" w:rsidR="003C15F2" w:rsidRDefault="00070A17" w:rsidP="00F14A5A">
      <w:pPr>
        <w:rPr>
          <w:rFonts w:cs="Arial"/>
          <w:szCs w:val="24"/>
        </w:rPr>
      </w:pPr>
      <w:r w:rsidRPr="003C15F2">
        <w:rPr>
          <w:rFonts w:eastAsia="Noto Sans" w:cs="Arial"/>
          <w:szCs w:val="24"/>
        </w:rPr>
        <w:t xml:space="preserve">We </w:t>
      </w:r>
      <w:r w:rsidR="00F14A5A" w:rsidRPr="003C15F2">
        <w:rPr>
          <w:rFonts w:eastAsia="Noto Sans" w:cs="Arial"/>
          <w:szCs w:val="24"/>
        </w:rPr>
        <w:t>also fulfil the leadership role for archives in England and have wider responsibilities for (c. 2,500) archives across the UK. To deliver our leadership role, we have p</w:t>
      </w:r>
      <w:r w:rsidR="00FC780B" w:rsidRPr="003C15F2">
        <w:rPr>
          <w:rFonts w:cs="Arial"/>
          <w:szCs w:val="24"/>
        </w:rPr>
        <w:t xml:space="preserve">rovided </w:t>
      </w:r>
      <w:r w:rsidR="0047474E" w:rsidRPr="003C15F2">
        <w:rPr>
          <w:rFonts w:cs="Arial"/>
          <w:szCs w:val="24"/>
        </w:rPr>
        <w:t xml:space="preserve">grant </w:t>
      </w:r>
      <w:r w:rsidR="00FC780B" w:rsidRPr="003C15F2">
        <w:rPr>
          <w:rFonts w:cs="Arial"/>
          <w:szCs w:val="24"/>
        </w:rPr>
        <w:t xml:space="preserve">funding to the archive sector, </w:t>
      </w:r>
      <w:r w:rsidR="00F14A5A" w:rsidRPr="003C15F2">
        <w:rPr>
          <w:rFonts w:cs="Arial"/>
          <w:szCs w:val="24"/>
        </w:rPr>
        <w:t>through</w:t>
      </w:r>
      <w:r w:rsidR="00FC780B" w:rsidRPr="003C15F2">
        <w:rPr>
          <w:rFonts w:cs="Arial"/>
          <w:szCs w:val="24"/>
        </w:rPr>
        <w:t xml:space="preserve"> open, competitive grant </w:t>
      </w:r>
      <w:r w:rsidR="00F14A5A" w:rsidRPr="003C15F2">
        <w:rPr>
          <w:rFonts w:cs="Arial"/>
          <w:szCs w:val="24"/>
        </w:rPr>
        <w:t>programmes</w:t>
      </w:r>
      <w:r w:rsidR="0047474E" w:rsidRPr="003C15F2">
        <w:rPr>
          <w:rFonts w:cs="Arial"/>
          <w:szCs w:val="24"/>
        </w:rPr>
        <w:t>,</w:t>
      </w:r>
      <w:r w:rsidR="00FC780B" w:rsidRPr="003C15F2">
        <w:rPr>
          <w:rFonts w:cs="Arial"/>
          <w:szCs w:val="24"/>
        </w:rPr>
        <w:t xml:space="preserve"> for over 15 years.</w:t>
      </w:r>
    </w:p>
    <w:p w14:paraId="4B06086C" w14:textId="46C04297" w:rsidR="00FE3D49" w:rsidRPr="003C15F2" w:rsidRDefault="003C15F2" w:rsidP="5879A542">
      <w:pPr>
        <w:rPr>
          <w:rFonts w:cs="Arial"/>
        </w:rPr>
      </w:pPr>
      <w:r w:rsidRPr="5879A542">
        <w:rPr>
          <w:rFonts w:cs="Arial"/>
        </w:rPr>
        <w:t xml:space="preserve">As an Independent Research Organisation, we are eligible to hold UKRI funding in the same manner as a </w:t>
      </w:r>
      <w:r w:rsidR="58CFA1FD" w:rsidRPr="5879A542">
        <w:rPr>
          <w:rFonts w:cs="Arial"/>
        </w:rPr>
        <w:t>university and</w:t>
      </w:r>
      <w:r w:rsidRPr="5879A542">
        <w:rPr>
          <w:rFonts w:cs="Arial"/>
        </w:rPr>
        <w:t xml:space="preserve"> have a large (c. £15m) portfolio of funded research and heritage projects, from the Arts and Humanities Research Council, National Lottery Heritage Fund, and other funders.</w:t>
      </w:r>
      <w:r w:rsidR="006A4E54" w:rsidRPr="5879A542">
        <w:rPr>
          <w:rFonts w:cs="Arial"/>
        </w:rPr>
        <w:t xml:space="preserve"> Our areas of research focus are set out in our </w:t>
      </w:r>
      <w:hyperlink r:id="rId18">
        <w:r w:rsidR="006A4E54" w:rsidRPr="5879A542">
          <w:rPr>
            <w:rStyle w:val="Hyperlink"/>
            <w:rFonts w:cs="Arial"/>
          </w:rPr>
          <w:t>Research Vision</w:t>
        </w:r>
      </w:hyperlink>
      <w:r w:rsidR="006A4E54" w:rsidRPr="5879A542">
        <w:rPr>
          <w:rFonts w:cs="Arial"/>
        </w:rPr>
        <w:t>.</w:t>
      </w:r>
      <w:r>
        <w:br/>
      </w:r>
    </w:p>
    <w:p w14:paraId="4C27C79E" w14:textId="6A4D6A25" w:rsidR="00DF3C79" w:rsidRPr="006A4E54" w:rsidRDefault="008A2AE6" w:rsidP="008A2AE6">
      <w:pPr>
        <w:pStyle w:val="Heading3"/>
        <w:rPr>
          <w:rFonts w:cs="Arial"/>
          <w:b/>
          <w:bCs/>
          <w:color w:val="auto"/>
        </w:rPr>
      </w:pPr>
      <w:bookmarkStart w:id="3" w:name="_Toc205045011"/>
      <w:r w:rsidRPr="006A4E54">
        <w:rPr>
          <w:rFonts w:cs="Arial"/>
          <w:b/>
          <w:bCs/>
          <w:color w:val="auto"/>
        </w:rPr>
        <w:t xml:space="preserve">2.2 </w:t>
      </w:r>
      <w:r w:rsidR="006A4E54" w:rsidRPr="006A4E54">
        <w:rPr>
          <w:rFonts w:cs="Arial"/>
          <w:b/>
          <w:bCs/>
          <w:color w:val="auto"/>
        </w:rPr>
        <w:t>The ‘Spaces, Places and Belonging’ Community Hub</w:t>
      </w:r>
      <w:bookmarkEnd w:id="3"/>
    </w:p>
    <w:p w14:paraId="09A9EF35" w14:textId="77777777" w:rsidR="006A4E54" w:rsidRDefault="006A4E54" w:rsidP="006A4E54">
      <w:pPr>
        <w:rPr>
          <w:lang w:eastAsia="en-GB"/>
        </w:rPr>
      </w:pPr>
      <w:r w:rsidRPr="006A4E54">
        <w:rPr>
          <w:lang w:eastAsia="en-GB"/>
        </w:rPr>
        <w:t>The ‘Spaces, Places and Belonging’ Community Hub is a new national programme led by </w:t>
      </w:r>
      <w:hyperlink r:id="rId19" w:tgtFrame="_blank" w:history="1">
        <w:r w:rsidRPr="006A4E54">
          <w:rPr>
            <w:rStyle w:val="Hyperlink"/>
            <w:lang w:eastAsia="en-GB"/>
          </w:rPr>
          <w:t>The National Archives</w:t>
        </w:r>
      </w:hyperlink>
      <w:r w:rsidRPr="006A4E54">
        <w:rPr>
          <w:lang w:eastAsia="en-GB"/>
        </w:rPr>
        <w:t> in partnership with </w:t>
      </w:r>
      <w:hyperlink r:id="rId20" w:tgtFrame="_blank" w:history="1">
        <w:r w:rsidRPr="006A4E54">
          <w:rPr>
            <w:rStyle w:val="Hyperlink"/>
            <w:lang w:eastAsia="en-GB"/>
          </w:rPr>
          <w:t>Leeds Museums &amp; Galleries</w:t>
        </w:r>
      </w:hyperlink>
      <w:r w:rsidRPr="006A4E54">
        <w:rPr>
          <w:lang w:eastAsia="en-GB"/>
        </w:rPr>
        <w:t>, the </w:t>
      </w:r>
      <w:hyperlink r:id="rId21" w:tgtFrame="_blank" w:history="1">
        <w:r w:rsidRPr="006A4E54">
          <w:rPr>
            <w:rStyle w:val="Hyperlink"/>
            <w:lang w:eastAsia="en-GB"/>
          </w:rPr>
          <w:t>National Library of Wales</w:t>
        </w:r>
      </w:hyperlink>
      <w:r w:rsidRPr="006A4E54">
        <w:rPr>
          <w:lang w:eastAsia="en-GB"/>
        </w:rPr>
        <w:t>, and the </w:t>
      </w:r>
      <w:hyperlink r:id="rId22" w:tgtFrame="_blank" w:history="1">
        <w:r w:rsidRPr="006A4E54">
          <w:rPr>
            <w:rStyle w:val="Hyperlink"/>
            <w:lang w:eastAsia="en-GB"/>
          </w:rPr>
          <w:t>Community Archives &amp; Heritage Group</w:t>
        </w:r>
      </w:hyperlink>
      <w:r w:rsidRPr="006A4E54">
        <w:rPr>
          <w:lang w:eastAsia="en-GB"/>
        </w:rPr>
        <w:t xml:space="preserve">. </w:t>
      </w:r>
    </w:p>
    <w:p w14:paraId="57FBC0C6" w14:textId="5D1BAC32" w:rsidR="006A4E54" w:rsidRPr="006A4E54" w:rsidRDefault="006A4E54" w:rsidP="006A4E54">
      <w:pPr>
        <w:rPr>
          <w:lang w:eastAsia="en-GB"/>
        </w:rPr>
      </w:pPr>
      <w:r w:rsidRPr="006A4E54">
        <w:rPr>
          <w:lang w:eastAsia="en-GB"/>
        </w:rPr>
        <w:t>Funded by the </w:t>
      </w:r>
      <w:hyperlink r:id="rId23" w:tgtFrame="_blank" w:history="1">
        <w:r w:rsidRPr="006A4E54">
          <w:rPr>
            <w:rStyle w:val="Hyperlink"/>
            <w:lang w:eastAsia="en-GB"/>
          </w:rPr>
          <w:t>AHRC (UKRI)</w:t>
        </w:r>
      </w:hyperlink>
      <w:r w:rsidRPr="006A4E54">
        <w:rPr>
          <w:lang w:eastAsia="en-GB"/>
        </w:rPr>
        <w:t>, the Hub will support inclusive, community-led research across the UK’s galleries, libraries, archives, and museums (GLAM) and heritage sectors.</w:t>
      </w:r>
    </w:p>
    <w:p w14:paraId="2E6033E4" w14:textId="6AA0E623" w:rsidR="006A4E54" w:rsidRDefault="006A4E54" w:rsidP="006A4E54">
      <w:pPr>
        <w:rPr>
          <w:lang w:eastAsia="en-GB"/>
        </w:rPr>
      </w:pPr>
      <w:r w:rsidRPr="006A4E54">
        <w:rPr>
          <w:lang w:eastAsia="en-GB"/>
        </w:rPr>
        <w:t>It will offer three grant schemes</w:t>
      </w:r>
      <w:r>
        <w:rPr>
          <w:lang w:eastAsia="en-GB"/>
        </w:rPr>
        <w:t xml:space="preserve"> </w:t>
      </w:r>
      <w:r w:rsidR="00016341">
        <w:rPr>
          <w:lang w:eastAsia="en-GB"/>
        </w:rPr>
        <w:t>–</w:t>
      </w:r>
      <w:r>
        <w:rPr>
          <w:lang w:eastAsia="en-GB"/>
        </w:rPr>
        <w:t xml:space="preserve"> </w:t>
      </w:r>
      <w:hyperlink r:id="rId24" w:tgtFrame="_blank" w:history="1">
        <w:r w:rsidRPr="006A4E54">
          <w:rPr>
            <w:rStyle w:val="Hyperlink"/>
            <w:lang w:eastAsia="en-GB"/>
          </w:rPr>
          <w:t>Seed Corn Grants</w:t>
        </w:r>
      </w:hyperlink>
      <w:r w:rsidRPr="006A4E54">
        <w:rPr>
          <w:lang w:eastAsia="en-GB"/>
        </w:rPr>
        <w:t>, </w:t>
      </w:r>
      <w:hyperlink r:id="rId25" w:tgtFrame="_blank" w:history="1">
        <w:r w:rsidRPr="006A4E54">
          <w:rPr>
            <w:rStyle w:val="Hyperlink"/>
            <w:lang w:eastAsia="en-GB"/>
          </w:rPr>
          <w:t>Skills Bursaries</w:t>
        </w:r>
      </w:hyperlink>
      <w:r w:rsidRPr="006A4E54">
        <w:rPr>
          <w:lang w:eastAsia="en-GB"/>
        </w:rPr>
        <w:t>, and </w:t>
      </w:r>
      <w:hyperlink r:id="rId26" w:tgtFrame="_blank" w:history="1">
        <w:r w:rsidRPr="006A4E54">
          <w:rPr>
            <w:rStyle w:val="Hyperlink"/>
            <w:lang w:eastAsia="en-GB"/>
          </w:rPr>
          <w:t>Project Grants</w:t>
        </w:r>
      </w:hyperlink>
      <w:r>
        <w:rPr>
          <w:lang w:eastAsia="en-GB"/>
        </w:rPr>
        <w:t xml:space="preserve"> </w:t>
      </w:r>
      <w:r w:rsidR="00016341">
        <w:rPr>
          <w:lang w:eastAsia="en-GB"/>
        </w:rPr>
        <w:t xml:space="preserve">– </w:t>
      </w:r>
      <w:r w:rsidRPr="006A4E54">
        <w:rPr>
          <w:lang w:eastAsia="en-GB"/>
        </w:rPr>
        <w:t xml:space="preserve">totalling £550,000, alongside a programme of training, digital skills development, and network-building. The Hub will also create a permanent digital platform to share resources, learning, and best practice, ensuring that community engagement becomes a lasting part of the national collection. </w:t>
      </w:r>
    </w:p>
    <w:p w14:paraId="701F5008" w14:textId="55D02D21" w:rsidR="006A4E54" w:rsidRPr="006A4E54" w:rsidRDefault="006A4E54" w:rsidP="006A4E54">
      <w:pPr>
        <w:rPr>
          <w:lang w:eastAsia="en-GB"/>
        </w:rPr>
      </w:pPr>
      <w:r w:rsidRPr="006A4E54">
        <w:rPr>
          <w:lang w:eastAsia="en-GB"/>
        </w:rPr>
        <w:t>Designed to empower underrepresented communities and build confidence across the sector, the Hub will be a collaborative, flexible, and sustainable space for innovation and inclusion.</w:t>
      </w:r>
    </w:p>
    <w:p w14:paraId="61C59032" w14:textId="6E5456A7" w:rsidR="006A4E54" w:rsidRPr="006A4E54" w:rsidRDefault="006A4E54" w:rsidP="00B16510">
      <w:pPr>
        <w:jc w:val="both"/>
        <w:rPr>
          <w:rFonts w:cs="Arial"/>
          <w:szCs w:val="24"/>
        </w:rPr>
      </w:pPr>
      <w:r w:rsidRPr="006A4E54">
        <w:rPr>
          <w:rFonts w:cs="Arial"/>
          <w:szCs w:val="24"/>
        </w:rPr>
        <w:t>The Hub has four work packages:</w:t>
      </w:r>
    </w:p>
    <w:p w14:paraId="2B5B67F7" w14:textId="7A327264" w:rsidR="006A4E54" w:rsidRPr="006A4E54" w:rsidRDefault="006A4E54" w:rsidP="006A4E54">
      <w:pPr>
        <w:pStyle w:val="ListParagraph"/>
        <w:numPr>
          <w:ilvl w:val="0"/>
          <w:numId w:val="41"/>
        </w:numPr>
        <w:ind w:left="714" w:hanging="357"/>
        <w:contextualSpacing w:val="0"/>
        <w:jc w:val="both"/>
        <w:rPr>
          <w:rFonts w:cs="Arial"/>
          <w:szCs w:val="24"/>
        </w:rPr>
      </w:pPr>
      <w:r w:rsidRPr="006A4E54">
        <w:rPr>
          <w:rFonts w:cs="Arial"/>
          <w:b/>
          <w:bCs/>
          <w:szCs w:val="24"/>
        </w:rPr>
        <w:lastRenderedPageBreak/>
        <w:t>Work Package 1</w:t>
      </w:r>
      <w:r w:rsidRPr="006A4E54">
        <w:rPr>
          <w:rFonts w:cs="Arial"/>
          <w:szCs w:val="24"/>
        </w:rPr>
        <w:t>: grant-giving</w:t>
      </w:r>
    </w:p>
    <w:p w14:paraId="5A4837D7" w14:textId="131F09C3" w:rsidR="006A4E54" w:rsidRPr="006A4E54" w:rsidRDefault="006A4E54" w:rsidP="006A4E54">
      <w:pPr>
        <w:pStyle w:val="ListParagraph"/>
        <w:numPr>
          <w:ilvl w:val="0"/>
          <w:numId w:val="41"/>
        </w:numPr>
        <w:ind w:left="714" w:hanging="357"/>
        <w:contextualSpacing w:val="0"/>
        <w:jc w:val="both"/>
        <w:rPr>
          <w:rFonts w:cs="Arial"/>
          <w:szCs w:val="24"/>
        </w:rPr>
      </w:pPr>
      <w:r w:rsidRPr="006A4E54">
        <w:rPr>
          <w:rFonts w:cs="Arial"/>
          <w:b/>
          <w:bCs/>
          <w:szCs w:val="24"/>
        </w:rPr>
        <w:t>Work Package 2</w:t>
      </w:r>
      <w:r w:rsidRPr="006A4E54">
        <w:rPr>
          <w:rFonts w:cs="Arial"/>
          <w:szCs w:val="24"/>
        </w:rPr>
        <w:t>: skills-building, training, network formation and sector development</w:t>
      </w:r>
    </w:p>
    <w:p w14:paraId="57A95339" w14:textId="1038239C" w:rsidR="006A4E54" w:rsidRPr="004468B8" w:rsidRDefault="006A4E54" w:rsidP="006A4E54">
      <w:pPr>
        <w:pStyle w:val="ListParagraph"/>
        <w:numPr>
          <w:ilvl w:val="0"/>
          <w:numId w:val="41"/>
        </w:numPr>
        <w:ind w:left="714" w:hanging="357"/>
        <w:contextualSpacing w:val="0"/>
        <w:jc w:val="both"/>
        <w:rPr>
          <w:rFonts w:cs="Arial"/>
          <w:szCs w:val="24"/>
        </w:rPr>
      </w:pPr>
      <w:r w:rsidRPr="006A4E54">
        <w:rPr>
          <w:rFonts w:cs="Arial"/>
          <w:b/>
          <w:bCs/>
          <w:szCs w:val="24"/>
        </w:rPr>
        <w:t>Work Package 3</w:t>
      </w:r>
      <w:r w:rsidRPr="004468B8">
        <w:rPr>
          <w:rFonts w:cs="Arial"/>
          <w:szCs w:val="24"/>
        </w:rPr>
        <w:t>: digital platform</w:t>
      </w:r>
    </w:p>
    <w:p w14:paraId="1F212AAF" w14:textId="43F1E87B" w:rsidR="006A4E54" w:rsidRPr="004468B8" w:rsidRDefault="006A4E54" w:rsidP="006A4E54">
      <w:pPr>
        <w:pStyle w:val="ListParagraph"/>
        <w:numPr>
          <w:ilvl w:val="0"/>
          <w:numId w:val="41"/>
        </w:numPr>
        <w:jc w:val="both"/>
        <w:rPr>
          <w:rFonts w:cs="Arial"/>
          <w:szCs w:val="24"/>
        </w:rPr>
      </w:pPr>
      <w:r w:rsidRPr="004468B8">
        <w:rPr>
          <w:rFonts w:cs="Arial"/>
          <w:b/>
          <w:bCs/>
          <w:szCs w:val="24"/>
        </w:rPr>
        <w:t>Work Package 4</w:t>
      </w:r>
      <w:r w:rsidRPr="004468B8">
        <w:rPr>
          <w:rFonts w:cs="Arial"/>
          <w:szCs w:val="24"/>
        </w:rPr>
        <w:t>: evaluation, communication and future fundraising</w:t>
      </w:r>
    </w:p>
    <w:p w14:paraId="5EBBD1F9" w14:textId="0F18C947" w:rsidR="00A1735A" w:rsidRPr="004468B8" w:rsidRDefault="006A4E54" w:rsidP="00B16510">
      <w:pPr>
        <w:jc w:val="both"/>
        <w:rPr>
          <w:rFonts w:cs="Arial"/>
          <w:szCs w:val="24"/>
        </w:rPr>
      </w:pPr>
      <w:r w:rsidRPr="004468B8">
        <w:rPr>
          <w:rFonts w:cs="Arial"/>
          <w:szCs w:val="24"/>
        </w:rPr>
        <w:t>The Hub builds on the work of two pilot projects, which each tested the delivery model of delivering community-led research through non-IRO cultural institutions. More information about the call for funding, including evaluation</w:t>
      </w:r>
      <w:r w:rsidR="00016341">
        <w:rPr>
          <w:rFonts w:cs="Arial"/>
          <w:szCs w:val="24"/>
        </w:rPr>
        <w:t xml:space="preserve"> reports</w:t>
      </w:r>
      <w:r w:rsidRPr="004468B8">
        <w:rPr>
          <w:rFonts w:cs="Arial"/>
          <w:szCs w:val="24"/>
        </w:rPr>
        <w:t xml:space="preserve"> of the two pilot projects, can be found here: </w:t>
      </w:r>
      <w:hyperlink r:id="rId27" w:history="1">
        <w:r w:rsidRPr="004468B8">
          <w:rPr>
            <w:rStyle w:val="Hyperlink"/>
            <w:rFonts w:cs="Arial"/>
            <w:szCs w:val="24"/>
          </w:rPr>
          <w:t>AHRC Community-led Heritage Research and Skills Hub – UKRI</w:t>
        </w:r>
      </w:hyperlink>
    </w:p>
    <w:p w14:paraId="1BE45BF5" w14:textId="1A04ACE6" w:rsidR="000F5FB2" w:rsidRPr="004468B8" w:rsidRDefault="006A4E54" w:rsidP="00B16510">
      <w:pPr>
        <w:jc w:val="both"/>
        <w:rPr>
          <w:rFonts w:cs="Arial"/>
          <w:szCs w:val="24"/>
        </w:rPr>
      </w:pPr>
      <w:r w:rsidRPr="004468B8">
        <w:rPr>
          <w:rFonts w:cs="Arial"/>
          <w:szCs w:val="24"/>
        </w:rPr>
        <w:t>The aims of the Community Hub are</w:t>
      </w:r>
      <w:r w:rsidR="004468B8" w:rsidRPr="004468B8">
        <w:rPr>
          <w:rFonts w:cs="Arial"/>
          <w:szCs w:val="24"/>
        </w:rPr>
        <w:t xml:space="preserve"> to</w:t>
      </w:r>
      <w:r w:rsidRPr="004468B8">
        <w:rPr>
          <w:rFonts w:cs="Arial"/>
          <w:szCs w:val="24"/>
        </w:rPr>
        <w:t>:</w:t>
      </w:r>
    </w:p>
    <w:tbl>
      <w:tblPr>
        <w:tblW w:w="8560" w:type="dxa"/>
        <w:tblCellMar>
          <w:left w:w="0" w:type="dxa"/>
          <w:right w:w="0" w:type="dxa"/>
        </w:tblCellMar>
        <w:tblLook w:val="0420" w:firstRow="1" w:lastRow="0" w:firstColumn="0" w:lastColumn="0" w:noHBand="0" w:noVBand="1"/>
      </w:tblPr>
      <w:tblGrid>
        <w:gridCol w:w="8560"/>
      </w:tblGrid>
      <w:tr w:rsidR="004468B8" w:rsidRPr="004468B8" w14:paraId="3972BFA3" w14:textId="77777777" w:rsidTr="004468B8">
        <w:trPr>
          <w:trHeight w:val="1312"/>
        </w:trPr>
        <w:tc>
          <w:tcPr>
            <w:tcW w:w="8560" w:type="dxa"/>
            <w:tcBorders>
              <w:top w:val="single" w:sz="8" w:space="0" w:color="FFFFFF"/>
              <w:left w:val="single" w:sz="8" w:space="0" w:color="FFFFFF"/>
              <w:bottom w:val="single" w:sz="24" w:space="0" w:color="FFFFFF"/>
              <w:right w:val="single" w:sz="8" w:space="0" w:color="FFFFFF"/>
            </w:tcBorders>
            <w:shd w:val="clear" w:color="auto" w:fill="EDEDED" w:themeFill="accent3" w:themeFillTint="33"/>
            <w:tcMar>
              <w:top w:w="72" w:type="dxa"/>
              <w:left w:w="144" w:type="dxa"/>
              <w:bottom w:w="72" w:type="dxa"/>
              <w:right w:w="144" w:type="dxa"/>
            </w:tcMar>
            <w:vAlign w:val="center"/>
            <w:hideMark/>
          </w:tcPr>
          <w:p w14:paraId="5F4371D4" w14:textId="77777777" w:rsidR="004468B8" w:rsidRPr="004468B8" w:rsidRDefault="004468B8" w:rsidP="004468B8">
            <w:pPr>
              <w:jc w:val="both"/>
              <w:rPr>
                <w:rFonts w:cs="Arial"/>
                <w:szCs w:val="24"/>
              </w:rPr>
            </w:pPr>
            <w:r w:rsidRPr="004468B8">
              <w:rPr>
                <w:rFonts w:cs="Arial"/>
                <w:b/>
                <w:bCs/>
                <w:szCs w:val="24"/>
              </w:rPr>
              <w:t>1. Include</w:t>
            </w:r>
            <w:r w:rsidRPr="004468B8">
              <w:rPr>
                <w:rFonts w:cs="Arial"/>
                <w:szCs w:val="24"/>
              </w:rPr>
              <w:t>: support GLAM sector organisations to interact with a wider range of audiences, including communities of all backgrounds, crossing lines of race, gender, class and sexuality, to connect, collaborate and interact.</w:t>
            </w:r>
          </w:p>
        </w:tc>
      </w:tr>
      <w:tr w:rsidR="004468B8" w:rsidRPr="004468B8" w14:paraId="5BE16469" w14:textId="77777777" w:rsidTr="004468B8">
        <w:trPr>
          <w:trHeight w:val="2235"/>
        </w:trPr>
        <w:tc>
          <w:tcPr>
            <w:tcW w:w="8560" w:type="dxa"/>
            <w:tcBorders>
              <w:top w:val="single" w:sz="24" w:space="0" w:color="FFFFFF"/>
              <w:left w:val="single" w:sz="8" w:space="0" w:color="FFFFFF"/>
              <w:bottom w:val="single" w:sz="8" w:space="0" w:color="FFFFFF"/>
              <w:right w:val="single" w:sz="8" w:space="0" w:color="FFFFFF"/>
            </w:tcBorders>
            <w:shd w:val="clear" w:color="auto" w:fill="CBD3CE"/>
            <w:tcMar>
              <w:top w:w="72" w:type="dxa"/>
              <w:left w:w="144" w:type="dxa"/>
              <w:bottom w:w="72" w:type="dxa"/>
              <w:right w:w="144" w:type="dxa"/>
            </w:tcMar>
            <w:vAlign w:val="center"/>
            <w:hideMark/>
          </w:tcPr>
          <w:p w14:paraId="51C05DF5" w14:textId="62788A17" w:rsidR="004468B8" w:rsidRPr="004468B8" w:rsidRDefault="004468B8" w:rsidP="004468B8">
            <w:pPr>
              <w:jc w:val="both"/>
              <w:rPr>
                <w:rFonts w:cs="Arial"/>
                <w:szCs w:val="24"/>
              </w:rPr>
            </w:pPr>
            <w:r w:rsidRPr="004468B8">
              <w:rPr>
                <w:rFonts w:cs="Arial"/>
                <w:b/>
                <w:bCs/>
                <w:szCs w:val="24"/>
              </w:rPr>
              <w:t>2. Gather</w:t>
            </w:r>
            <w:r w:rsidRPr="004468B8">
              <w:rPr>
                <w:rFonts w:cs="Arial"/>
                <w:szCs w:val="24"/>
              </w:rPr>
              <w:t>: address key gaps in the current provision made for</w:t>
            </w:r>
            <w:r>
              <w:rPr>
                <w:rFonts w:cs="Arial"/>
                <w:szCs w:val="24"/>
              </w:rPr>
              <w:t xml:space="preserve"> </w:t>
            </w:r>
            <w:r w:rsidRPr="004468B8">
              <w:rPr>
                <w:rFonts w:cs="Arial"/>
                <w:szCs w:val="24"/>
              </w:rPr>
              <w:t>community engagement across the GLAM sector, by providing a digital platform to harness existing know-how, resources and practice. Evaluation of the pilot projects suggested that the same learning continues to be repeated within the wider sector, with no effective vector to share or transmit learning or bring together practitioners. Provision of a central platform will remedy this gap.</w:t>
            </w:r>
          </w:p>
        </w:tc>
      </w:tr>
      <w:tr w:rsidR="004468B8" w:rsidRPr="004468B8" w14:paraId="597B5A59" w14:textId="77777777" w:rsidTr="004468B8">
        <w:trPr>
          <w:trHeight w:val="2485"/>
        </w:trPr>
        <w:tc>
          <w:tcPr>
            <w:tcW w:w="8560" w:type="dxa"/>
            <w:tcBorders>
              <w:top w:val="single" w:sz="8" w:space="0" w:color="FFFFFF"/>
              <w:left w:val="single" w:sz="8" w:space="0" w:color="FFFFFF"/>
              <w:bottom w:val="single" w:sz="8" w:space="0" w:color="FFFFFF"/>
              <w:right w:val="single" w:sz="8" w:space="0" w:color="FFFFFF"/>
            </w:tcBorders>
            <w:shd w:val="clear" w:color="auto" w:fill="EDEDED" w:themeFill="accent3" w:themeFillTint="33"/>
            <w:tcMar>
              <w:top w:w="72" w:type="dxa"/>
              <w:left w:w="144" w:type="dxa"/>
              <w:bottom w:w="72" w:type="dxa"/>
              <w:right w:w="144" w:type="dxa"/>
            </w:tcMar>
            <w:vAlign w:val="center"/>
            <w:hideMark/>
          </w:tcPr>
          <w:p w14:paraId="70D5E9E8" w14:textId="77777777" w:rsidR="004468B8" w:rsidRPr="004468B8" w:rsidRDefault="004468B8" w:rsidP="004468B8">
            <w:pPr>
              <w:jc w:val="both"/>
              <w:rPr>
                <w:rFonts w:cs="Arial"/>
                <w:szCs w:val="24"/>
              </w:rPr>
            </w:pPr>
            <w:r w:rsidRPr="004468B8">
              <w:rPr>
                <w:rFonts w:cs="Arial"/>
                <w:b/>
                <w:bCs/>
                <w:szCs w:val="24"/>
              </w:rPr>
              <w:t>3. Upskill</w:t>
            </w:r>
            <w:r w:rsidRPr="004468B8">
              <w:rPr>
                <w:rFonts w:cs="Arial"/>
                <w:szCs w:val="24"/>
              </w:rPr>
              <w:t xml:space="preserve">: both evaluations mentioned the challenges in recruiting participants and in “demystifying research”. We will build networks and skills, </w:t>
            </w:r>
            <w:proofErr w:type="gramStart"/>
            <w:r w:rsidRPr="004468B8">
              <w:rPr>
                <w:rFonts w:cs="Arial"/>
                <w:szCs w:val="24"/>
              </w:rPr>
              <w:t>fostering</w:t>
            </w:r>
            <w:proofErr w:type="gramEnd"/>
            <w:r w:rsidRPr="004468B8">
              <w:rPr>
                <w:rFonts w:cs="Arial"/>
                <w:szCs w:val="24"/>
              </w:rPr>
              <w:t xml:space="preserve"> learning and the sharing of experience and expertise, and reducing repetition between and across GLAM sectors. We would build training packages and resources where necessary, building both capacity and confidence. Ultimately, we would like to cascade learning through a ‘train the trainer’ model for community-led research.</w:t>
            </w:r>
          </w:p>
        </w:tc>
      </w:tr>
      <w:tr w:rsidR="004468B8" w:rsidRPr="004468B8" w14:paraId="50923D30" w14:textId="77777777" w:rsidTr="004468B8">
        <w:trPr>
          <w:trHeight w:val="2235"/>
        </w:trPr>
        <w:tc>
          <w:tcPr>
            <w:tcW w:w="8560" w:type="dxa"/>
            <w:tcBorders>
              <w:top w:val="single" w:sz="8" w:space="0" w:color="FFFFFF"/>
              <w:left w:val="single" w:sz="8" w:space="0" w:color="FFFFFF"/>
              <w:bottom w:val="single" w:sz="8" w:space="0" w:color="FFFFFF"/>
              <w:right w:val="single" w:sz="8" w:space="0" w:color="FFFFFF"/>
            </w:tcBorders>
            <w:shd w:val="clear" w:color="auto" w:fill="CBD3CE"/>
            <w:tcMar>
              <w:top w:w="72" w:type="dxa"/>
              <w:left w:w="144" w:type="dxa"/>
              <w:bottom w:w="72" w:type="dxa"/>
              <w:right w:w="144" w:type="dxa"/>
            </w:tcMar>
            <w:vAlign w:val="center"/>
            <w:hideMark/>
          </w:tcPr>
          <w:p w14:paraId="6C45E5EA" w14:textId="77777777" w:rsidR="004468B8" w:rsidRPr="004468B8" w:rsidRDefault="004468B8" w:rsidP="004468B8">
            <w:pPr>
              <w:jc w:val="both"/>
              <w:rPr>
                <w:rFonts w:cs="Arial"/>
                <w:szCs w:val="24"/>
              </w:rPr>
            </w:pPr>
            <w:r w:rsidRPr="004468B8">
              <w:rPr>
                <w:rFonts w:cs="Arial"/>
                <w:b/>
                <w:bCs/>
                <w:szCs w:val="24"/>
              </w:rPr>
              <w:t>4. Resource</w:t>
            </w:r>
            <w:r w:rsidRPr="004468B8">
              <w:rPr>
                <w:rFonts w:cs="Arial"/>
                <w:szCs w:val="24"/>
              </w:rPr>
              <w:t>: each pilot Hub evaluation mentioned the challenges of compressed timescales, lack of flexibility, low or no remuneration, and limited Hub support. We will generously and flexibly resource projects, evaluate them and feed their outputs into the proposed knowledge bank, ensuring their legacy, and fundraise for further funding of the Hub and to encourage projects to be taken forward to other funders.</w:t>
            </w:r>
          </w:p>
        </w:tc>
      </w:tr>
    </w:tbl>
    <w:p w14:paraId="1AF5248B" w14:textId="77777777" w:rsidR="006A4E54" w:rsidRPr="003C15F2" w:rsidRDefault="006A4E54" w:rsidP="00B16510">
      <w:pPr>
        <w:jc w:val="both"/>
        <w:rPr>
          <w:rFonts w:cs="Arial"/>
          <w:szCs w:val="24"/>
          <w:highlight w:val="yellow"/>
        </w:rPr>
      </w:pPr>
    </w:p>
    <w:p w14:paraId="6BB0A652" w14:textId="17C77FC5" w:rsidR="00DE0BC6" w:rsidRPr="004468B8" w:rsidRDefault="004051A9" w:rsidP="00B16510">
      <w:pPr>
        <w:jc w:val="both"/>
        <w:rPr>
          <w:rFonts w:cs="Arial"/>
          <w:szCs w:val="24"/>
        </w:rPr>
      </w:pPr>
      <w:r w:rsidRPr="004468B8">
        <w:rPr>
          <w:rFonts w:cs="Arial"/>
          <w:szCs w:val="24"/>
        </w:rPr>
        <w:lastRenderedPageBreak/>
        <w:t xml:space="preserve">We will partner with an evaluator </w:t>
      </w:r>
      <w:r w:rsidR="000321A2" w:rsidRPr="004468B8">
        <w:rPr>
          <w:rFonts w:cs="Arial"/>
          <w:szCs w:val="24"/>
        </w:rPr>
        <w:t>throughout the lifetime of the programme</w:t>
      </w:r>
      <w:r w:rsidRPr="004468B8">
        <w:rPr>
          <w:rFonts w:cs="Arial"/>
          <w:szCs w:val="24"/>
        </w:rPr>
        <w:t xml:space="preserve"> (202</w:t>
      </w:r>
      <w:r w:rsidR="004468B8" w:rsidRPr="004468B8">
        <w:rPr>
          <w:rFonts w:cs="Arial"/>
          <w:szCs w:val="24"/>
        </w:rPr>
        <w:t>5</w:t>
      </w:r>
      <w:r w:rsidRPr="004468B8">
        <w:rPr>
          <w:rFonts w:cs="Arial"/>
          <w:szCs w:val="24"/>
        </w:rPr>
        <w:t>-2</w:t>
      </w:r>
      <w:r w:rsidR="004468B8" w:rsidRPr="004468B8">
        <w:rPr>
          <w:rFonts w:cs="Arial"/>
          <w:szCs w:val="24"/>
        </w:rPr>
        <w:t>7</w:t>
      </w:r>
      <w:r w:rsidRPr="004468B8">
        <w:rPr>
          <w:rFonts w:cs="Arial"/>
          <w:szCs w:val="24"/>
        </w:rPr>
        <w:t>)</w:t>
      </w:r>
      <w:r w:rsidR="00DE0BC6" w:rsidRPr="004468B8">
        <w:rPr>
          <w:rFonts w:cs="Arial"/>
          <w:szCs w:val="24"/>
        </w:rPr>
        <w:t xml:space="preserve">, to </w:t>
      </w:r>
      <w:r w:rsidR="000321A2" w:rsidRPr="004468B8">
        <w:rPr>
          <w:rFonts w:cs="Arial"/>
          <w:szCs w:val="24"/>
        </w:rPr>
        <w:t>embed</w:t>
      </w:r>
      <w:r w:rsidR="00DE0BC6" w:rsidRPr="004468B8">
        <w:rPr>
          <w:rFonts w:cs="Arial"/>
          <w:szCs w:val="24"/>
        </w:rPr>
        <w:t xml:space="preserve"> monitoring, evaluation</w:t>
      </w:r>
      <w:r w:rsidR="000321A2" w:rsidRPr="004468B8">
        <w:rPr>
          <w:rFonts w:cs="Arial"/>
          <w:szCs w:val="24"/>
        </w:rPr>
        <w:t>, reporting</w:t>
      </w:r>
      <w:r w:rsidR="00DE0BC6" w:rsidRPr="004468B8">
        <w:rPr>
          <w:rFonts w:cs="Arial"/>
          <w:szCs w:val="24"/>
        </w:rPr>
        <w:t xml:space="preserve"> and learning </w:t>
      </w:r>
      <w:r w:rsidR="000321A2" w:rsidRPr="004468B8">
        <w:rPr>
          <w:rFonts w:cs="Arial"/>
          <w:szCs w:val="24"/>
        </w:rPr>
        <w:t>activity longitudinally throughout the programme’s delivery</w:t>
      </w:r>
      <w:r w:rsidR="000B5F20" w:rsidRPr="004468B8">
        <w:rPr>
          <w:rFonts w:cs="Arial"/>
          <w:szCs w:val="24"/>
        </w:rPr>
        <w:t xml:space="preserve"> phase.</w:t>
      </w:r>
    </w:p>
    <w:p w14:paraId="14E74DB9" w14:textId="1FCAD1CC" w:rsidR="00430663" w:rsidRPr="004468B8" w:rsidRDefault="00270741">
      <w:r w:rsidRPr="004468B8">
        <w:rPr>
          <w:rFonts w:cs="Arial"/>
          <w:szCs w:val="24"/>
        </w:rPr>
        <w:t xml:space="preserve">Further detail about the </w:t>
      </w:r>
      <w:r w:rsidR="004468B8" w:rsidRPr="004468B8">
        <w:rPr>
          <w:rFonts w:cs="Arial"/>
          <w:szCs w:val="24"/>
        </w:rPr>
        <w:t>Community Hub</w:t>
      </w:r>
      <w:r w:rsidRPr="004468B8">
        <w:rPr>
          <w:rFonts w:cs="Arial"/>
          <w:szCs w:val="24"/>
        </w:rPr>
        <w:t xml:space="preserve"> programme can be found on the programme website</w:t>
      </w:r>
      <w:r w:rsidR="002F48FD" w:rsidRPr="004468B8">
        <w:rPr>
          <w:rFonts w:cs="Arial"/>
          <w:szCs w:val="24"/>
        </w:rPr>
        <w:t>:</w:t>
      </w:r>
      <w:r w:rsidRPr="004468B8">
        <w:rPr>
          <w:rFonts w:cs="Arial"/>
          <w:szCs w:val="24"/>
        </w:rPr>
        <w:t xml:space="preserve"> </w:t>
      </w:r>
      <w:hyperlink r:id="rId28" w:history="1">
        <w:r w:rsidR="004468B8" w:rsidRPr="004468B8">
          <w:rPr>
            <w:rStyle w:val="Hyperlink"/>
          </w:rPr>
          <w:t>Community Hub - Portals</w:t>
        </w:r>
      </w:hyperlink>
      <w:r w:rsidR="004468B8" w:rsidRPr="004468B8">
        <w:t>.</w:t>
      </w:r>
    </w:p>
    <w:p w14:paraId="075119EB" w14:textId="77777777" w:rsidR="004468B8" w:rsidRPr="004468B8" w:rsidRDefault="004468B8">
      <w:pPr>
        <w:rPr>
          <w:rFonts w:cs="Arial"/>
          <w:b/>
          <w:bCs/>
          <w:szCs w:val="24"/>
        </w:rPr>
      </w:pPr>
    </w:p>
    <w:p w14:paraId="45E2BC7B" w14:textId="41786CCE" w:rsidR="00DE0BC6" w:rsidRPr="004468B8" w:rsidRDefault="00A45038" w:rsidP="00A45038">
      <w:pPr>
        <w:pStyle w:val="Heading2"/>
        <w:rPr>
          <w:rFonts w:cs="Arial"/>
          <w:b/>
          <w:bCs/>
          <w:color w:val="1F4E79" w:themeColor="accent5" w:themeShade="80"/>
        </w:rPr>
      </w:pPr>
      <w:bookmarkStart w:id="4" w:name="_Toc205045012"/>
      <w:r w:rsidRPr="004468B8">
        <w:rPr>
          <w:rFonts w:cs="Arial"/>
          <w:b/>
          <w:bCs/>
          <w:color w:val="1F4E79" w:themeColor="accent5" w:themeShade="80"/>
        </w:rPr>
        <w:t xml:space="preserve">3. </w:t>
      </w:r>
      <w:r w:rsidR="000321A2" w:rsidRPr="004468B8">
        <w:rPr>
          <w:rFonts w:cs="Arial"/>
          <w:b/>
          <w:bCs/>
          <w:color w:val="1F4E79" w:themeColor="accent5" w:themeShade="80"/>
        </w:rPr>
        <w:t>Evaluation aims and purpose</w:t>
      </w:r>
      <w:bookmarkEnd w:id="4"/>
    </w:p>
    <w:p w14:paraId="1B63FE27" w14:textId="45363658" w:rsidR="00146145" w:rsidRPr="004468B8" w:rsidRDefault="00146145" w:rsidP="00146145">
      <w:pPr>
        <w:jc w:val="both"/>
        <w:rPr>
          <w:rFonts w:cs="Arial"/>
          <w:szCs w:val="24"/>
        </w:rPr>
      </w:pPr>
      <w:r w:rsidRPr="004468B8">
        <w:rPr>
          <w:rFonts w:cs="Arial"/>
          <w:szCs w:val="24"/>
        </w:rPr>
        <w:t xml:space="preserve">The </w:t>
      </w:r>
      <w:r w:rsidR="004468B8" w:rsidRPr="004468B8">
        <w:rPr>
          <w:rFonts w:cs="Arial"/>
          <w:szCs w:val="24"/>
        </w:rPr>
        <w:t>Community Hub team</w:t>
      </w:r>
      <w:r w:rsidRPr="004468B8">
        <w:rPr>
          <w:rFonts w:cs="Arial"/>
          <w:szCs w:val="24"/>
        </w:rPr>
        <w:t xml:space="preserve"> is seeking an evaluation partner to help us understand the (direct and indirect) </w:t>
      </w:r>
      <w:r w:rsidRPr="004468B8">
        <w:rPr>
          <w:rFonts w:cs="Arial"/>
          <w:szCs w:val="24"/>
          <w:u w:val="single"/>
        </w:rPr>
        <w:t>impacts</w:t>
      </w:r>
      <w:r w:rsidRPr="004468B8">
        <w:rPr>
          <w:rFonts w:cs="Arial"/>
          <w:szCs w:val="24"/>
        </w:rPr>
        <w:t xml:space="preserve"> of the </w:t>
      </w:r>
      <w:r w:rsidR="004468B8">
        <w:rPr>
          <w:rFonts w:cs="Arial"/>
          <w:szCs w:val="24"/>
        </w:rPr>
        <w:t>programme</w:t>
      </w:r>
      <w:r w:rsidRPr="004468B8">
        <w:rPr>
          <w:rFonts w:cs="Arial"/>
          <w:szCs w:val="24"/>
        </w:rPr>
        <w:t xml:space="preserve">, explore the </w:t>
      </w:r>
      <w:r w:rsidRPr="004468B8">
        <w:rPr>
          <w:rFonts w:cs="Arial"/>
          <w:szCs w:val="24"/>
          <w:u w:val="single"/>
        </w:rPr>
        <w:t>process</w:t>
      </w:r>
      <w:r w:rsidRPr="004468B8">
        <w:rPr>
          <w:rFonts w:cs="Arial"/>
          <w:szCs w:val="24"/>
        </w:rPr>
        <w:t xml:space="preserve"> of fundin</w:t>
      </w:r>
      <w:r w:rsidR="004468B8">
        <w:rPr>
          <w:rFonts w:cs="Arial"/>
          <w:szCs w:val="24"/>
        </w:rPr>
        <w:t>g and training provision</w:t>
      </w:r>
      <w:r w:rsidRPr="004468B8">
        <w:rPr>
          <w:rFonts w:cs="Arial"/>
          <w:szCs w:val="24"/>
        </w:rPr>
        <w:t xml:space="preserve">, </w:t>
      </w:r>
      <w:r w:rsidR="000B5F20" w:rsidRPr="004468B8">
        <w:rPr>
          <w:rFonts w:cs="Arial"/>
          <w:szCs w:val="24"/>
        </w:rPr>
        <w:t>and</w:t>
      </w:r>
      <w:r w:rsidRPr="004468B8">
        <w:rPr>
          <w:rFonts w:cs="Arial"/>
          <w:szCs w:val="24"/>
        </w:rPr>
        <w:t xml:space="preserve"> the </w:t>
      </w:r>
      <w:r w:rsidRPr="004468B8">
        <w:rPr>
          <w:rFonts w:cs="Arial"/>
          <w:szCs w:val="24"/>
          <w:u w:val="single"/>
        </w:rPr>
        <w:t>contribution</w:t>
      </w:r>
      <w:r w:rsidRPr="004468B8">
        <w:rPr>
          <w:rFonts w:cs="Arial"/>
          <w:szCs w:val="24"/>
        </w:rPr>
        <w:t xml:space="preserve"> that the fund makes to defined outcomes and goals for its stakeholders.</w:t>
      </w:r>
    </w:p>
    <w:p w14:paraId="14A55E2F" w14:textId="728553A7" w:rsidR="00AD723D" w:rsidRPr="004468B8" w:rsidRDefault="00146145" w:rsidP="00AD723D">
      <w:pPr>
        <w:jc w:val="both"/>
        <w:rPr>
          <w:rFonts w:cs="Arial"/>
          <w:szCs w:val="24"/>
        </w:rPr>
      </w:pPr>
      <w:r w:rsidRPr="004468B8">
        <w:rPr>
          <w:rFonts w:cs="Arial"/>
        </w:rPr>
        <w:t xml:space="preserve">This summative evaluation should gather learning about the </w:t>
      </w:r>
      <w:proofErr w:type="gramStart"/>
      <w:r w:rsidRPr="004468B8">
        <w:rPr>
          <w:rFonts w:cs="Arial"/>
        </w:rPr>
        <w:t>programme as a whole, including</w:t>
      </w:r>
      <w:proofErr w:type="gramEnd"/>
      <w:r w:rsidRPr="004468B8">
        <w:rPr>
          <w:rFonts w:cs="Arial"/>
        </w:rPr>
        <w:t xml:space="preserve"> both the grants awarded and the associated sector development activity.</w:t>
      </w:r>
      <w:r w:rsidR="00AD723D" w:rsidRPr="004468B8">
        <w:rPr>
          <w:rFonts w:cs="Arial"/>
        </w:rPr>
        <w:t xml:space="preserve"> W</w:t>
      </w:r>
      <w:r w:rsidR="00AD723D" w:rsidRPr="004468B8">
        <w:rPr>
          <w:rFonts w:cs="Arial"/>
          <w:szCs w:val="24"/>
        </w:rPr>
        <w:t xml:space="preserve">e want to develop our understanding of our grantees and applicants’ experience with the programme; consult with the </w:t>
      </w:r>
      <w:r w:rsidR="00016341">
        <w:rPr>
          <w:rFonts w:cs="Arial"/>
          <w:szCs w:val="24"/>
        </w:rPr>
        <w:t xml:space="preserve">GLAM (Galleries, Libraries, Archives and Museums) and heritage </w:t>
      </w:r>
      <w:r w:rsidR="00AD723D" w:rsidRPr="004468B8">
        <w:rPr>
          <w:rFonts w:cs="Arial"/>
          <w:szCs w:val="24"/>
        </w:rPr>
        <w:t>sector</w:t>
      </w:r>
      <w:r w:rsidR="00016341">
        <w:rPr>
          <w:rFonts w:cs="Arial"/>
          <w:szCs w:val="24"/>
        </w:rPr>
        <w:t>(s)</w:t>
      </w:r>
      <w:r w:rsidR="00AD723D" w:rsidRPr="004468B8">
        <w:rPr>
          <w:rFonts w:cs="Arial"/>
          <w:szCs w:val="24"/>
        </w:rPr>
        <w:t xml:space="preserve"> and key stakeholders, generating quantitative and qualitative data to support its evolution and refinement; and create advocacy and knowledge products for the sector</w:t>
      </w:r>
      <w:r w:rsidR="00016341">
        <w:rPr>
          <w:rFonts w:cs="Arial"/>
          <w:szCs w:val="24"/>
        </w:rPr>
        <w:t>(s)</w:t>
      </w:r>
      <w:r w:rsidR="00AD723D" w:rsidRPr="004468B8">
        <w:rPr>
          <w:rFonts w:cs="Arial"/>
          <w:szCs w:val="24"/>
        </w:rPr>
        <w:t>, and for existing and potentially future funders.</w:t>
      </w:r>
    </w:p>
    <w:p w14:paraId="6B051E64" w14:textId="77777777" w:rsidR="00802F2E" w:rsidRPr="004468B8" w:rsidRDefault="00802F2E" w:rsidP="00802F2E">
      <w:pPr>
        <w:spacing w:after="0"/>
        <w:rPr>
          <w:rFonts w:cs="Arial"/>
        </w:rPr>
      </w:pPr>
      <w:r w:rsidRPr="004468B8">
        <w:rPr>
          <w:rFonts w:cs="Arial"/>
        </w:rPr>
        <w:t xml:space="preserve">There are a variety of stakeholders who are potential audiences for the evaluation, and we </w:t>
      </w:r>
    </w:p>
    <w:p w14:paraId="453783D6" w14:textId="51CB5EA4" w:rsidR="00802F2E" w:rsidRPr="004468B8" w:rsidRDefault="00802F2E" w:rsidP="00146145">
      <w:pPr>
        <w:jc w:val="both"/>
        <w:rPr>
          <w:rFonts w:cs="Arial"/>
        </w:rPr>
      </w:pPr>
      <w:r w:rsidRPr="004468B8">
        <w:rPr>
          <w:rFonts w:cs="Arial"/>
        </w:rPr>
        <w:t xml:space="preserve">have listed these in the </w:t>
      </w:r>
      <w:r w:rsidRPr="004468B8">
        <w:rPr>
          <w:rFonts w:cs="Arial"/>
          <w:szCs w:val="24"/>
        </w:rPr>
        <w:t>table</w:t>
      </w:r>
      <w:r w:rsidRPr="004468B8">
        <w:rPr>
          <w:rFonts w:cs="Arial"/>
        </w:rPr>
        <w:t xml:space="preserve"> below</w:t>
      </w:r>
      <w:r w:rsidR="004468B8" w:rsidRPr="004468B8">
        <w:rPr>
          <w:rFonts w:cs="Arial"/>
        </w:rPr>
        <w:t xml:space="preserve">. </w:t>
      </w:r>
      <w:r w:rsidRPr="004468B8">
        <w:rPr>
          <w:rFonts w:cs="Arial"/>
        </w:rPr>
        <w:t xml:space="preserve">The evaluation supplier should propose </w:t>
      </w:r>
      <w:r w:rsidR="00146145" w:rsidRPr="004468B8">
        <w:rPr>
          <w:rFonts w:cs="Arial"/>
        </w:rPr>
        <w:t>methods</w:t>
      </w:r>
      <w:r w:rsidR="00F24F01" w:rsidRPr="004468B8">
        <w:rPr>
          <w:rFonts w:cs="Arial"/>
        </w:rPr>
        <w:t xml:space="preserve">, </w:t>
      </w:r>
      <w:r w:rsidR="00146145" w:rsidRPr="004468B8">
        <w:rPr>
          <w:rFonts w:cs="Arial"/>
        </w:rPr>
        <w:t xml:space="preserve">measures </w:t>
      </w:r>
      <w:r w:rsidR="00F24F01" w:rsidRPr="004468B8">
        <w:rPr>
          <w:rFonts w:cs="Arial"/>
        </w:rPr>
        <w:t xml:space="preserve">and outcomes </w:t>
      </w:r>
      <w:r w:rsidR="00146145" w:rsidRPr="004468B8">
        <w:rPr>
          <w:rFonts w:cs="Arial"/>
        </w:rPr>
        <w:t xml:space="preserve">that </w:t>
      </w:r>
      <w:r w:rsidR="00F24F01" w:rsidRPr="004468B8">
        <w:rPr>
          <w:rFonts w:cs="Arial"/>
        </w:rPr>
        <w:t>relate to</w:t>
      </w:r>
      <w:r w:rsidR="00146145" w:rsidRPr="004468B8">
        <w:rPr>
          <w:rFonts w:cs="Arial"/>
        </w:rPr>
        <w:t xml:space="preserve"> the aims of the stakeholder group</w:t>
      </w:r>
      <w:r w:rsidR="00D822D0" w:rsidRPr="004468B8">
        <w:rPr>
          <w:rFonts w:cs="Arial"/>
        </w:rPr>
        <w:t>s</w:t>
      </w:r>
      <w:r w:rsidR="00146145" w:rsidRPr="004468B8">
        <w:rPr>
          <w:rFonts w:cs="Arial"/>
        </w:rPr>
        <w:t xml:space="preserve">, </w:t>
      </w:r>
      <w:r w:rsidR="00D822D0" w:rsidRPr="004468B8">
        <w:rPr>
          <w:rFonts w:cs="Arial"/>
        </w:rPr>
        <w:t xml:space="preserve">and </w:t>
      </w:r>
      <w:r w:rsidR="00146145" w:rsidRPr="004468B8">
        <w:rPr>
          <w:rFonts w:cs="Arial"/>
        </w:rPr>
        <w:t xml:space="preserve">that are </w:t>
      </w:r>
      <w:r w:rsidRPr="004468B8">
        <w:rPr>
          <w:rFonts w:cs="Arial"/>
        </w:rPr>
        <w:t>realisti</w:t>
      </w:r>
      <w:r w:rsidR="00146145" w:rsidRPr="004468B8">
        <w:rPr>
          <w:rFonts w:cs="Arial"/>
        </w:rPr>
        <w:t xml:space="preserve">c and proportionate to the size of the grants offered and to the capacity of the </w:t>
      </w:r>
      <w:r w:rsidR="004468B8" w:rsidRPr="004468B8">
        <w:rPr>
          <w:rFonts w:cs="Arial"/>
        </w:rPr>
        <w:t>cultural heritage</w:t>
      </w:r>
      <w:r w:rsidR="00146145" w:rsidRPr="004468B8">
        <w:rPr>
          <w:rFonts w:cs="Arial"/>
        </w:rPr>
        <w:t xml:space="preserve"> sector. These should be</w:t>
      </w:r>
      <w:r w:rsidRPr="004468B8">
        <w:rPr>
          <w:rFonts w:cs="Arial"/>
        </w:rPr>
        <w:t xml:space="preserve"> shape</w:t>
      </w:r>
      <w:r w:rsidR="00146145" w:rsidRPr="004468B8">
        <w:rPr>
          <w:rFonts w:cs="Arial"/>
        </w:rPr>
        <w:t>d</w:t>
      </w:r>
      <w:r w:rsidRPr="004468B8">
        <w:rPr>
          <w:rFonts w:cs="Arial"/>
        </w:rPr>
        <w:t xml:space="preserve"> into an ambitious but viable evaluation plan.</w:t>
      </w:r>
    </w:p>
    <w:p w14:paraId="451D179C" w14:textId="2CE18CB1" w:rsidR="00936EC5" w:rsidRPr="004468B8" w:rsidRDefault="00146145" w:rsidP="00B16510">
      <w:pPr>
        <w:jc w:val="both"/>
        <w:rPr>
          <w:rFonts w:cs="Arial"/>
          <w:szCs w:val="24"/>
        </w:rPr>
      </w:pPr>
      <w:r w:rsidRPr="004468B8">
        <w:rPr>
          <w:rFonts w:cs="Arial"/>
          <w:szCs w:val="24"/>
        </w:rPr>
        <w:t xml:space="preserve">The programme’s existing </w:t>
      </w:r>
      <w:r w:rsidR="004468B8" w:rsidRPr="004468B8">
        <w:rPr>
          <w:rFonts w:cs="Arial"/>
          <w:szCs w:val="24"/>
        </w:rPr>
        <w:t xml:space="preserve">logic model is included as </w:t>
      </w:r>
      <w:r w:rsidR="004468B8" w:rsidRPr="004468B8">
        <w:rPr>
          <w:rFonts w:cs="Arial"/>
          <w:b/>
          <w:bCs/>
          <w:szCs w:val="24"/>
        </w:rPr>
        <w:t>Appendix 1</w:t>
      </w:r>
      <w:r w:rsidR="004468B8" w:rsidRPr="004468B8">
        <w:rPr>
          <w:rFonts w:cs="Arial"/>
          <w:szCs w:val="24"/>
        </w:rPr>
        <w:t>.</w:t>
      </w:r>
    </w:p>
    <w:p w14:paraId="5F4BE3E6" w14:textId="478D851E" w:rsidR="009C7B17" w:rsidRPr="004468B8" w:rsidRDefault="009C7B17" w:rsidP="00B16510">
      <w:pPr>
        <w:jc w:val="both"/>
        <w:rPr>
          <w:rFonts w:cs="Arial"/>
          <w:szCs w:val="24"/>
        </w:rPr>
      </w:pPr>
      <w:r w:rsidRPr="004468B8">
        <w:rPr>
          <w:rFonts w:cs="Arial"/>
          <w:szCs w:val="24"/>
        </w:rPr>
        <w:t xml:space="preserve">The evaluation will be used to: </w:t>
      </w:r>
    </w:p>
    <w:p w14:paraId="78D95E12" w14:textId="7037BB64" w:rsidR="009C7B17" w:rsidRPr="004468B8" w:rsidRDefault="009C7B17" w:rsidP="00B16510">
      <w:pPr>
        <w:pStyle w:val="paragraph"/>
        <w:numPr>
          <w:ilvl w:val="0"/>
          <w:numId w:val="23"/>
        </w:numPr>
        <w:spacing w:before="0" w:beforeAutospacing="0" w:after="0" w:afterAutospacing="0"/>
        <w:ind w:left="1080" w:firstLine="0"/>
        <w:jc w:val="both"/>
        <w:textAlignment w:val="baseline"/>
        <w:rPr>
          <w:rFonts w:ascii="Arial" w:hAnsi="Arial" w:cs="Arial"/>
        </w:rPr>
      </w:pPr>
      <w:r w:rsidRPr="004468B8">
        <w:rPr>
          <w:rStyle w:val="normaltextrun"/>
          <w:rFonts w:ascii="Arial" w:eastAsiaTheme="majorEastAsia" w:hAnsi="Arial" w:cs="Arial"/>
        </w:rPr>
        <w:t xml:space="preserve">produce reliable and useful information to inform </w:t>
      </w:r>
      <w:r w:rsidR="00634C73" w:rsidRPr="004468B8">
        <w:rPr>
          <w:rStyle w:val="normaltextrun"/>
          <w:rFonts w:ascii="Arial" w:eastAsiaTheme="majorEastAsia" w:hAnsi="Arial" w:cs="Arial"/>
        </w:rPr>
        <w:t>decision-making</w:t>
      </w:r>
    </w:p>
    <w:p w14:paraId="45FAC15D" w14:textId="77777777" w:rsidR="009C7B17" w:rsidRPr="004468B8" w:rsidRDefault="009C7B17" w:rsidP="00B16510">
      <w:pPr>
        <w:pStyle w:val="paragraph"/>
        <w:numPr>
          <w:ilvl w:val="0"/>
          <w:numId w:val="24"/>
        </w:numPr>
        <w:spacing w:before="0" w:beforeAutospacing="0" w:after="0" w:afterAutospacing="0"/>
        <w:ind w:left="1080" w:firstLine="0"/>
        <w:jc w:val="both"/>
        <w:textAlignment w:val="baseline"/>
        <w:rPr>
          <w:rFonts w:ascii="Arial" w:hAnsi="Arial" w:cs="Arial"/>
        </w:rPr>
      </w:pPr>
      <w:r w:rsidRPr="004468B8">
        <w:rPr>
          <w:rStyle w:val="normaltextrun"/>
          <w:rFonts w:ascii="Arial" w:eastAsiaTheme="majorEastAsia" w:hAnsi="Arial" w:cs="Arial"/>
        </w:rPr>
        <w:t>iteratively improve the programme’s delivery during implementation</w:t>
      </w:r>
      <w:r w:rsidRPr="004468B8">
        <w:rPr>
          <w:rStyle w:val="eop"/>
          <w:rFonts w:ascii="Arial" w:eastAsiaTheme="majorEastAsia" w:hAnsi="Arial" w:cs="Arial"/>
        </w:rPr>
        <w:t> </w:t>
      </w:r>
    </w:p>
    <w:p w14:paraId="3FD8EB1F" w14:textId="77777777" w:rsidR="009C7B17" w:rsidRPr="004468B8" w:rsidRDefault="009C7B17" w:rsidP="00B16510">
      <w:pPr>
        <w:pStyle w:val="paragraph"/>
        <w:numPr>
          <w:ilvl w:val="0"/>
          <w:numId w:val="25"/>
        </w:numPr>
        <w:spacing w:before="0" w:beforeAutospacing="0" w:after="0" w:afterAutospacing="0"/>
        <w:ind w:left="1080" w:firstLine="0"/>
        <w:jc w:val="both"/>
        <w:textAlignment w:val="baseline"/>
        <w:rPr>
          <w:rFonts w:ascii="Arial" w:hAnsi="Arial" w:cs="Arial"/>
        </w:rPr>
      </w:pPr>
      <w:r w:rsidRPr="004468B8">
        <w:rPr>
          <w:rStyle w:val="normaltextrun"/>
          <w:rFonts w:ascii="Arial" w:eastAsiaTheme="majorEastAsia" w:hAnsi="Arial" w:cs="Arial"/>
        </w:rPr>
        <w:t>inform future funding provision and</w:t>
      </w:r>
      <w:r w:rsidRPr="004468B8">
        <w:rPr>
          <w:rStyle w:val="eop"/>
          <w:rFonts w:ascii="Arial" w:eastAsiaTheme="majorEastAsia" w:hAnsi="Arial" w:cs="Arial"/>
        </w:rPr>
        <w:t> </w:t>
      </w:r>
    </w:p>
    <w:p w14:paraId="1A9064BF" w14:textId="48EC22FF" w:rsidR="0089611E" w:rsidRPr="004468B8" w:rsidRDefault="009C7B17" w:rsidP="00962146">
      <w:pPr>
        <w:pStyle w:val="paragraph"/>
        <w:numPr>
          <w:ilvl w:val="0"/>
          <w:numId w:val="26"/>
        </w:numPr>
        <w:spacing w:before="0" w:beforeAutospacing="0" w:after="0" w:afterAutospacing="0"/>
        <w:ind w:left="1080" w:firstLine="0"/>
        <w:jc w:val="both"/>
        <w:textAlignment w:val="baseline"/>
        <w:rPr>
          <w:rFonts w:ascii="Arial" w:hAnsi="Arial" w:cs="Arial"/>
        </w:rPr>
      </w:pPr>
      <w:r w:rsidRPr="004468B8">
        <w:rPr>
          <w:rStyle w:val="normaltextrun"/>
          <w:rFonts w:ascii="Arial" w:eastAsiaTheme="majorEastAsia" w:hAnsi="Arial" w:cs="Arial"/>
        </w:rPr>
        <w:t>support advocacy for the fund and sector</w:t>
      </w:r>
      <w:r w:rsidR="00016341">
        <w:rPr>
          <w:rStyle w:val="normaltextrun"/>
          <w:rFonts w:ascii="Arial" w:eastAsiaTheme="majorEastAsia" w:hAnsi="Arial" w:cs="Arial"/>
        </w:rPr>
        <w:t>(s)</w:t>
      </w:r>
      <w:r w:rsidRPr="004468B8">
        <w:rPr>
          <w:rStyle w:val="normaltextrun"/>
          <w:rFonts w:ascii="Arial" w:eastAsiaTheme="majorEastAsia" w:hAnsi="Arial" w:cs="Arial"/>
        </w:rPr>
        <w:t>.</w:t>
      </w:r>
    </w:p>
    <w:p w14:paraId="2B04E468" w14:textId="77777777" w:rsidR="009C7B17" w:rsidRPr="004468B8" w:rsidRDefault="009C7B17" w:rsidP="00430663">
      <w:pPr>
        <w:spacing w:before="160"/>
        <w:jc w:val="both"/>
        <w:rPr>
          <w:rFonts w:cs="Arial"/>
          <w:szCs w:val="24"/>
        </w:rPr>
      </w:pPr>
    </w:p>
    <w:p w14:paraId="2F0AED01" w14:textId="332214C2" w:rsidR="00C64BB1" w:rsidRPr="004468B8" w:rsidRDefault="00C64BB1" w:rsidP="00C64BB1">
      <w:pPr>
        <w:pStyle w:val="Heading2"/>
        <w:rPr>
          <w:rFonts w:cs="Arial"/>
          <w:b/>
          <w:bCs/>
          <w:color w:val="1F4E79" w:themeColor="accent5" w:themeShade="80"/>
        </w:rPr>
      </w:pPr>
      <w:bookmarkStart w:id="5" w:name="_Toc205045013"/>
      <w:r w:rsidRPr="004468B8">
        <w:rPr>
          <w:rFonts w:cs="Arial"/>
          <w:b/>
          <w:bCs/>
          <w:color w:val="1F4E79" w:themeColor="accent5" w:themeShade="80"/>
        </w:rPr>
        <w:t>4. Stakeholders</w:t>
      </w:r>
      <w:bookmarkEnd w:id="5"/>
    </w:p>
    <w:p w14:paraId="6EF617F3" w14:textId="37A909C3" w:rsidR="00C64BB1" w:rsidRPr="004468B8" w:rsidRDefault="00C64BB1" w:rsidP="00C64BB1">
      <w:pPr>
        <w:jc w:val="both"/>
        <w:rPr>
          <w:rFonts w:cs="Arial"/>
          <w:szCs w:val="24"/>
        </w:rPr>
      </w:pPr>
      <w:r w:rsidRPr="004468B8">
        <w:rPr>
          <w:rFonts w:cs="Arial"/>
          <w:szCs w:val="24"/>
        </w:rPr>
        <w:t xml:space="preserve">Key to the evaluation process will be a participatory approach which values and understands programme stakeholders’ needs and desired outcomes. This list is not intended to be exhaustive, but key stakeholders </w:t>
      </w:r>
      <w:r w:rsidR="007E16FD" w:rsidRPr="004468B8">
        <w:rPr>
          <w:rFonts w:cs="Arial"/>
          <w:szCs w:val="24"/>
        </w:rPr>
        <w:t>may</w:t>
      </w:r>
      <w:r w:rsidRPr="004468B8">
        <w:rPr>
          <w:rFonts w:cs="Arial"/>
          <w:szCs w:val="24"/>
        </w:rPr>
        <w:t xml:space="preserve"> include:</w:t>
      </w:r>
    </w:p>
    <w:tbl>
      <w:tblPr>
        <w:tblStyle w:val="TableGrid"/>
        <w:tblW w:w="0" w:type="auto"/>
        <w:tblLook w:val="04A0" w:firstRow="1" w:lastRow="0" w:firstColumn="1" w:lastColumn="0" w:noHBand="0" w:noVBand="1"/>
      </w:tblPr>
      <w:tblGrid>
        <w:gridCol w:w="9351"/>
      </w:tblGrid>
      <w:tr w:rsidR="004468B8" w:rsidRPr="004468B8" w14:paraId="09AB2D2A" w14:textId="77777777" w:rsidTr="004468B8">
        <w:tc>
          <w:tcPr>
            <w:tcW w:w="9351" w:type="dxa"/>
            <w:tcBorders>
              <w:bottom w:val="double" w:sz="4" w:space="0" w:color="auto"/>
            </w:tcBorders>
          </w:tcPr>
          <w:p w14:paraId="21AC7DE6" w14:textId="7A95ABA2" w:rsidR="004468B8" w:rsidRPr="004468B8" w:rsidRDefault="004468B8" w:rsidP="00E856E8">
            <w:pPr>
              <w:spacing w:before="80" w:after="80"/>
              <w:jc w:val="both"/>
              <w:rPr>
                <w:rFonts w:cs="Arial"/>
                <w:b/>
                <w:bCs/>
                <w:szCs w:val="24"/>
              </w:rPr>
            </w:pPr>
            <w:r w:rsidRPr="004468B8">
              <w:rPr>
                <w:rFonts w:cs="Arial"/>
                <w:b/>
                <w:bCs/>
                <w:szCs w:val="24"/>
              </w:rPr>
              <w:t>Stakeholder</w:t>
            </w:r>
          </w:p>
        </w:tc>
      </w:tr>
      <w:tr w:rsidR="004468B8" w:rsidRPr="004468B8" w14:paraId="4185944C" w14:textId="77777777" w:rsidTr="004468B8">
        <w:tc>
          <w:tcPr>
            <w:tcW w:w="9351" w:type="dxa"/>
            <w:tcBorders>
              <w:top w:val="double" w:sz="4" w:space="0" w:color="auto"/>
            </w:tcBorders>
          </w:tcPr>
          <w:p w14:paraId="06FB74A8" w14:textId="7D13386A" w:rsidR="004468B8" w:rsidRPr="004468B8" w:rsidRDefault="004468B8" w:rsidP="00E856E8">
            <w:pPr>
              <w:spacing w:before="80" w:after="80"/>
              <w:rPr>
                <w:rFonts w:cs="Arial"/>
                <w:szCs w:val="24"/>
              </w:rPr>
            </w:pPr>
            <w:r w:rsidRPr="004468B8">
              <w:rPr>
                <w:rFonts w:cs="Arial"/>
                <w:szCs w:val="24"/>
              </w:rPr>
              <w:t>The delivery partnership (</w:t>
            </w:r>
            <w:hyperlink r:id="rId29" w:tgtFrame="_blank" w:history="1">
              <w:r w:rsidRPr="006A4E54">
                <w:rPr>
                  <w:rStyle w:val="Hyperlink"/>
                  <w:lang w:eastAsia="en-GB"/>
                </w:rPr>
                <w:t>The National Archives</w:t>
              </w:r>
            </w:hyperlink>
            <w:r w:rsidRPr="004468B8">
              <w:rPr>
                <w:lang w:eastAsia="en-GB"/>
              </w:rPr>
              <w:t xml:space="preserve">, </w:t>
            </w:r>
            <w:hyperlink r:id="rId30" w:tgtFrame="_blank" w:history="1">
              <w:r w:rsidRPr="006A4E54">
                <w:rPr>
                  <w:rStyle w:val="Hyperlink"/>
                  <w:lang w:eastAsia="en-GB"/>
                </w:rPr>
                <w:t>Leeds Museums &amp; Galleries</w:t>
              </w:r>
            </w:hyperlink>
            <w:r w:rsidRPr="006A4E54">
              <w:rPr>
                <w:lang w:eastAsia="en-GB"/>
              </w:rPr>
              <w:t>, the </w:t>
            </w:r>
            <w:hyperlink r:id="rId31" w:tgtFrame="_blank" w:history="1">
              <w:r w:rsidRPr="006A4E54">
                <w:rPr>
                  <w:rStyle w:val="Hyperlink"/>
                  <w:lang w:eastAsia="en-GB"/>
                </w:rPr>
                <w:t>National Library of Wales</w:t>
              </w:r>
            </w:hyperlink>
            <w:r w:rsidRPr="006A4E54">
              <w:rPr>
                <w:lang w:eastAsia="en-GB"/>
              </w:rPr>
              <w:t>, and the </w:t>
            </w:r>
            <w:hyperlink r:id="rId32" w:tgtFrame="_blank" w:history="1">
              <w:r w:rsidRPr="006A4E54">
                <w:rPr>
                  <w:rStyle w:val="Hyperlink"/>
                  <w:lang w:eastAsia="en-GB"/>
                </w:rPr>
                <w:t>Community Archives &amp; Heritage Group</w:t>
              </w:r>
            </w:hyperlink>
            <w:r w:rsidRPr="006A4E54">
              <w:rPr>
                <w:lang w:eastAsia="en-GB"/>
              </w:rPr>
              <w:t>.</w:t>
            </w:r>
            <w:r w:rsidRPr="004468B8">
              <w:rPr>
                <w:rFonts w:cs="Arial"/>
                <w:szCs w:val="24"/>
              </w:rPr>
              <w:t>)</w:t>
            </w:r>
          </w:p>
        </w:tc>
      </w:tr>
      <w:tr w:rsidR="004468B8" w:rsidRPr="004468B8" w14:paraId="1E91197C" w14:textId="77777777" w:rsidTr="004468B8">
        <w:tc>
          <w:tcPr>
            <w:tcW w:w="9351" w:type="dxa"/>
          </w:tcPr>
          <w:p w14:paraId="3C970558" w14:textId="2A7D20F5" w:rsidR="004468B8" w:rsidRPr="004468B8" w:rsidRDefault="004468B8" w:rsidP="00E856E8">
            <w:pPr>
              <w:spacing w:before="80" w:after="80"/>
              <w:rPr>
                <w:rFonts w:cs="Arial"/>
                <w:szCs w:val="24"/>
              </w:rPr>
            </w:pPr>
            <w:r w:rsidRPr="004468B8">
              <w:rPr>
                <w:rFonts w:cs="Arial"/>
                <w:szCs w:val="24"/>
              </w:rPr>
              <w:lastRenderedPageBreak/>
              <w:t xml:space="preserve">The funder (the </w:t>
            </w:r>
            <w:hyperlink r:id="rId33" w:history="1">
              <w:r w:rsidRPr="00016341">
                <w:rPr>
                  <w:rStyle w:val="Hyperlink"/>
                  <w:rFonts w:cs="Arial"/>
                  <w:szCs w:val="24"/>
                </w:rPr>
                <w:t>Arts and Humanities Research Council</w:t>
              </w:r>
            </w:hyperlink>
            <w:r w:rsidRPr="004468B8">
              <w:rPr>
                <w:rFonts w:cs="Arial"/>
                <w:szCs w:val="24"/>
              </w:rPr>
              <w:t>)</w:t>
            </w:r>
          </w:p>
        </w:tc>
      </w:tr>
      <w:tr w:rsidR="004468B8" w:rsidRPr="004468B8" w14:paraId="3E28579B" w14:textId="77777777" w:rsidTr="004468B8">
        <w:tc>
          <w:tcPr>
            <w:tcW w:w="9351" w:type="dxa"/>
          </w:tcPr>
          <w:p w14:paraId="3F8B6564" w14:textId="3EF2082D" w:rsidR="004468B8" w:rsidRPr="004468B8" w:rsidRDefault="004468B8" w:rsidP="00E856E8">
            <w:pPr>
              <w:spacing w:before="80" w:after="80"/>
              <w:rPr>
                <w:rFonts w:cs="Arial"/>
                <w:szCs w:val="24"/>
              </w:rPr>
            </w:pPr>
            <w:r w:rsidRPr="004468B8">
              <w:rPr>
                <w:rFonts w:cs="Arial"/>
                <w:szCs w:val="24"/>
              </w:rPr>
              <w:t>The cultural heritage sector, including particularly galleries, libraries, museums and archives which are not Independent Research Organisations</w:t>
            </w:r>
          </w:p>
        </w:tc>
      </w:tr>
      <w:tr w:rsidR="004468B8" w:rsidRPr="004468B8" w14:paraId="5315633C" w14:textId="77777777" w:rsidTr="004468B8">
        <w:tc>
          <w:tcPr>
            <w:tcW w:w="9351" w:type="dxa"/>
          </w:tcPr>
          <w:p w14:paraId="2CB5A482" w14:textId="05802D56" w:rsidR="004468B8" w:rsidRPr="004468B8" w:rsidRDefault="004468B8" w:rsidP="00E856E8">
            <w:pPr>
              <w:spacing w:before="80" w:after="80"/>
              <w:rPr>
                <w:rFonts w:cs="Arial"/>
                <w:szCs w:val="24"/>
              </w:rPr>
            </w:pPr>
            <w:r w:rsidRPr="004468B8">
              <w:rPr>
                <w:rFonts w:cs="Arial"/>
                <w:szCs w:val="24"/>
              </w:rPr>
              <w:t>Community heritage groups and practitioners</w:t>
            </w:r>
          </w:p>
        </w:tc>
      </w:tr>
      <w:tr w:rsidR="004468B8" w:rsidRPr="004468B8" w14:paraId="75038408" w14:textId="77777777" w:rsidTr="004468B8">
        <w:tc>
          <w:tcPr>
            <w:tcW w:w="9351" w:type="dxa"/>
          </w:tcPr>
          <w:p w14:paraId="5CE5BFFF" w14:textId="5F38BFDA" w:rsidR="004468B8" w:rsidRPr="004468B8" w:rsidRDefault="004468B8" w:rsidP="00E856E8">
            <w:pPr>
              <w:spacing w:before="80" w:after="80"/>
              <w:rPr>
                <w:rFonts w:cs="Arial"/>
                <w:szCs w:val="24"/>
              </w:rPr>
            </w:pPr>
            <w:r w:rsidRPr="004468B8">
              <w:rPr>
                <w:rFonts w:cs="Arial"/>
                <w:szCs w:val="24"/>
              </w:rPr>
              <w:t>Future funders</w:t>
            </w:r>
          </w:p>
        </w:tc>
      </w:tr>
    </w:tbl>
    <w:p w14:paraId="08D0934F" w14:textId="0A37E7C0" w:rsidR="00D35061" w:rsidRPr="004468B8" w:rsidRDefault="0087582A" w:rsidP="00643A75">
      <w:pPr>
        <w:jc w:val="both"/>
        <w:rPr>
          <w:rFonts w:cs="Arial"/>
          <w:szCs w:val="24"/>
        </w:rPr>
      </w:pPr>
      <w:r>
        <w:rPr>
          <w:rFonts w:cs="Arial"/>
          <w:szCs w:val="24"/>
        </w:rPr>
        <w:br/>
      </w:r>
      <w:r w:rsidR="00D35061" w:rsidRPr="004468B8">
        <w:rPr>
          <w:rFonts w:cs="Arial"/>
          <w:szCs w:val="24"/>
        </w:rPr>
        <w:t xml:space="preserve">The capacity of </w:t>
      </w:r>
      <w:r w:rsidR="00730B11" w:rsidRPr="004468B8">
        <w:rPr>
          <w:rFonts w:cs="Arial"/>
          <w:szCs w:val="24"/>
        </w:rPr>
        <w:t>grantees</w:t>
      </w:r>
      <w:r w:rsidR="004468B8" w:rsidRPr="004468B8">
        <w:rPr>
          <w:rFonts w:cs="Arial"/>
          <w:szCs w:val="24"/>
        </w:rPr>
        <w:t>, including both non-IRO cultural heritage organisations and community heritage groups,</w:t>
      </w:r>
      <w:r w:rsidR="00730B11" w:rsidRPr="004468B8">
        <w:rPr>
          <w:rFonts w:cs="Arial"/>
          <w:szCs w:val="24"/>
        </w:rPr>
        <w:t xml:space="preserve"> </w:t>
      </w:r>
      <w:r w:rsidR="00D35061" w:rsidRPr="004468B8">
        <w:rPr>
          <w:rFonts w:cs="Arial"/>
          <w:szCs w:val="24"/>
        </w:rPr>
        <w:t>is likely to vary widely</w:t>
      </w:r>
      <w:r w:rsidR="00436B0B" w:rsidRPr="004468B8">
        <w:rPr>
          <w:rFonts w:cs="Arial"/>
          <w:szCs w:val="24"/>
        </w:rPr>
        <w:t>. We are</w:t>
      </w:r>
      <w:r w:rsidR="00AD723D" w:rsidRPr="004468B8">
        <w:rPr>
          <w:rFonts w:cs="Arial"/>
          <w:szCs w:val="24"/>
        </w:rPr>
        <w:t xml:space="preserve"> therefore</w:t>
      </w:r>
      <w:r w:rsidR="00436B0B" w:rsidRPr="004468B8">
        <w:rPr>
          <w:rFonts w:cs="Arial"/>
          <w:szCs w:val="24"/>
        </w:rPr>
        <w:t xml:space="preserve"> looking for evaluators to engage with </w:t>
      </w:r>
      <w:r w:rsidR="00643A75" w:rsidRPr="004468B8">
        <w:rPr>
          <w:rFonts w:cs="Arial"/>
          <w:szCs w:val="24"/>
        </w:rPr>
        <w:t>grantees</w:t>
      </w:r>
      <w:r w:rsidR="00436B0B" w:rsidRPr="004468B8">
        <w:rPr>
          <w:rFonts w:cs="Arial"/>
          <w:szCs w:val="24"/>
        </w:rPr>
        <w:t xml:space="preserve"> to identify suitable measures and outcomes for individual projects</w:t>
      </w:r>
      <w:r w:rsidR="00AD723D" w:rsidRPr="004468B8">
        <w:rPr>
          <w:rFonts w:cs="Arial"/>
          <w:szCs w:val="24"/>
        </w:rPr>
        <w:t xml:space="preserve"> and services</w:t>
      </w:r>
      <w:r w:rsidR="00436B0B" w:rsidRPr="004468B8">
        <w:rPr>
          <w:rFonts w:cs="Arial"/>
          <w:szCs w:val="24"/>
        </w:rPr>
        <w:t>.</w:t>
      </w:r>
      <w:r w:rsidR="00643A75" w:rsidRPr="004468B8">
        <w:rPr>
          <w:rFonts w:cs="Arial"/>
          <w:szCs w:val="24"/>
        </w:rPr>
        <w:t xml:space="preserve"> W</w:t>
      </w:r>
      <w:r w:rsidR="00436B0B" w:rsidRPr="004468B8">
        <w:rPr>
          <w:rFonts w:cs="Arial"/>
          <w:szCs w:val="24"/>
        </w:rPr>
        <w:t xml:space="preserve">e would also like to support </w:t>
      </w:r>
      <w:r w:rsidR="004468B8" w:rsidRPr="004468B8">
        <w:rPr>
          <w:rFonts w:cs="Arial"/>
          <w:szCs w:val="24"/>
        </w:rPr>
        <w:t>grantees</w:t>
      </w:r>
      <w:r w:rsidR="00436B0B" w:rsidRPr="004468B8">
        <w:rPr>
          <w:rFonts w:cs="Arial"/>
          <w:szCs w:val="24"/>
        </w:rPr>
        <w:t xml:space="preserve"> to build in measures relevant to </w:t>
      </w:r>
      <w:r w:rsidR="00643A75" w:rsidRPr="004468B8">
        <w:rPr>
          <w:rFonts w:cs="Arial"/>
          <w:szCs w:val="24"/>
        </w:rPr>
        <w:t>their own strategic objectives</w:t>
      </w:r>
      <w:r w:rsidR="00436B0B" w:rsidRPr="004468B8">
        <w:rPr>
          <w:rFonts w:cs="Arial"/>
          <w:szCs w:val="24"/>
        </w:rPr>
        <w:t xml:space="preserve"> where </w:t>
      </w:r>
      <w:r w:rsidR="00436B0B" w:rsidRPr="004468B8">
        <w:rPr>
          <w:rFonts w:cs="Arial"/>
        </w:rPr>
        <w:t>possible</w:t>
      </w:r>
      <w:r w:rsidR="00436B0B" w:rsidRPr="004468B8">
        <w:rPr>
          <w:rFonts w:cs="Arial"/>
          <w:szCs w:val="24"/>
        </w:rPr>
        <w:t>.</w:t>
      </w:r>
    </w:p>
    <w:p w14:paraId="569A0DA2" w14:textId="77777777" w:rsidR="00F945BE" w:rsidRPr="004468B8" w:rsidRDefault="00F945BE" w:rsidP="00B16510">
      <w:pPr>
        <w:jc w:val="both"/>
        <w:rPr>
          <w:rFonts w:cs="Arial"/>
          <w:szCs w:val="24"/>
        </w:rPr>
      </w:pPr>
    </w:p>
    <w:p w14:paraId="721388E4" w14:textId="00B961EB" w:rsidR="009B6FDC" w:rsidRPr="004468B8" w:rsidRDefault="00ED1108" w:rsidP="009B6FDC">
      <w:pPr>
        <w:pStyle w:val="Heading2"/>
        <w:rPr>
          <w:rFonts w:cs="Arial"/>
          <w:b/>
          <w:bCs/>
          <w:color w:val="1F4E79" w:themeColor="accent5" w:themeShade="80"/>
        </w:rPr>
      </w:pPr>
      <w:bookmarkStart w:id="6" w:name="_Toc205045014"/>
      <w:r w:rsidRPr="004468B8">
        <w:rPr>
          <w:rFonts w:cs="Arial"/>
          <w:b/>
          <w:bCs/>
          <w:color w:val="1F4E79" w:themeColor="accent5" w:themeShade="80"/>
        </w:rPr>
        <w:t>5</w:t>
      </w:r>
      <w:r w:rsidR="009B6FDC" w:rsidRPr="004468B8">
        <w:rPr>
          <w:rFonts w:cs="Arial"/>
          <w:b/>
          <w:bCs/>
          <w:color w:val="1F4E79" w:themeColor="accent5" w:themeShade="80"/>
        </w:rPr>
        <w:t>. Outputs</w:t>
      </w:r>
      <w:r w:rsidR="00DE533E" w:rsidRPr="004468B8">
        <w:rPr>
          <w:rFonts w:cs="Arial"/>
          <w:b/>
          <w:bCs/>
          <w:color w:val="1F4E79" w:themeColor="accent5" w:themeShade="80"/>
        </w:rPr>
        <w:t xml:space="preserve"> </w:t>
      </w:r>
      <w:r w:rsidR="009B6FDC" w:rsidRPr="004468B8">
        <w:rPr>
          <w:rFonts w:cs="Arial"/>
          <w:b/>
          <w:bCs/>
          <w:color w:val="1F4E79" w:themeColor="accent5" w:themeShade="80"/>
        </w:rPr>
        <w:t>/ Deliverables</w:t>
      </w:r>
      <w:bookmarkEnd w:id="6"/>
    </w:p>
    <w:p w14:paraId="6E42633E" w14:textId="71A5D016" w:rsidR="009B6FDC" w:rsidRPr="004468B8" w:rsidRDefault="00F945BE" w:rsidP="009B6FDC">
      <w:pPr>
        <w:jc w:val="both"/>
        <w:rPr>
          <w:rFonts w:cs="Arial"/>
          <w:szCs w:val="24"/>
        </w:rPr>
      </w:pPr>
      <w:r w:rsidRPr="004468B8">
        <w:rPr>
          <w:rFonts w:cs="Arial"/>
          <w:szCs w:val="24"/>
        </w:rPr>
        <w:t>W</w:t>
      </w:r>
      <w:r w:rsidR="009B6FDC" w:rsidRPr="004468B8">
        <w:rPr>
          <w:rFonts w:cs="Arial"/>
          <w:szCs w:val="24"/>
        </w:rPr>
        <w:t xml:space="preserve">e expect the following key deliverables to be produced by the </w:t>
      </w:r>
      <w:r w:rsidR="00413D50" w:rsidRPr="004468B8">
        <w:rPr>
          <w:rFonts w:cs="Arial"/>
          <w:szCs w:val="24"/>
        </w:rPr>
        <w:t>chosen</w:t>
      </w:r>
      <w:r w:rsidR="009B6FDC" w:rsidRPr="004468B8">
        <w:rPr>
          <w:rFonts w:cs="Arial"/>
          <w:szCs w:val="24"/>
        </w:rPr>
        <w:t xml:space="preserve"> supplier:</w:t>
      </w:r>
    </w:p>
    <w:p w14:paraId="7FF43D94" w14:textId="26E64125" w:rsidR="003321C8" w:rsidRPr="00BC59B1" w:rsidRDefault="009B6FDC" w:rsidP="247C3C72">
      <w:pPr>
        <w:pStyle w:val="ListParagraph"/>
        <w:numPr>
          <w:ilvl w:val="0"/>
          <w:numId w:val="27"/>
        </w:numPr>
        <w:spacing w:after="80"/>
        <w:ind w:left="714" w:hanging="357"/>
        <w:rPr>
          <w:rFonts w:cs="Arial"/>
        </w:rPr>
      </w:pPr>
      <w:r w:rsidRPr="247C3C72">
        <w:rPr>
          <w:rFonts w:cs="Arial"/>
        </w:rPr>
        <w:t xml:space="preserve">(a) development of a </w:t>
      </w:r>
      <w:r w:rsidRPr="247C3C72">
        <w:rPr>
          <w:rFonts w:cs="Arial"/>
          <w:b/>
          <w:bCs/>
        </w:rPr>
        <w:t>monitoring and evaluation framework</w:t>
      </w:r>
      <w:r w:rsidRPr="247C3C72">
        <w:rPr>
          <w:rFonts w:cs="Arial"/>
        </w:rPr>
        <w:t xml:space="preserve"> including agreed outcomes,</w:t>
      </w:r>
      <w:r w:rsidR="004468B8" w:rsidRPr="247C3C72">
        <w:rPr>
          <w:rFonts w:cs="Arial"/>
        </w:rPr>
        <w:t xml:space="preserve"> </w:t>
      </w:r>
      <w:r w:rsidRPr="247C3C72">
        <w:rPr>
          <w:rFonts w:cs="Arial"/>
        </w:rPr>
        <w:t xml:space="preserve">evaluation methods and measures for the programme, </w:t>
      </w:r>
      <w:r w:rsidR="00016341" w:rsidRPr="247C3C72">
        <w:rPr>
          <w:rFonts w:cs="Arial"/>
        </w:rPr>
        <w:t>and</w:t>
      </w:r>
      <w:r w:rsidRPr="247C3C72">
        <w:rPr>
          <w:rFonts w:cs="Arial"/>
        </w:rPr>
        <w:t xml:space="preserve"> viable evaluation question sets for grantees</w:t>
      </w:r>
      <w:r w:rsidR="00C46AAF" w:rsidRPr="247C3C72">
        <w:rPr>
          <w:rFonts w:cs="Arial"/>
        </w:rPr>
        <w:t xml:space="preserve"> to complete</w:t>
      </w:r>
      <w:r w:rsidRPr="247C3C72">
        <w:rPr>
          <w:rFonts w:cs="Arial"/>
        </w:rPr>
        <w:t>, with a plan for data analysis</w:t>
      </w:r>
      <w:r w:rsidR="004468B8" w:rsidRPr="247C3C72">
        <w:rPr>
          <w:rFonts w:cs="Arial"/>
        </w:rPr>
        <w:t xml:space="preserve">. The project’s logic model </w:t>
      </w:r>
      <w:r w:rsidR="004468B8" w:rsidRPr="247C3C72">
        <w:rPr>
          <w:rFonts w:cs="Arial"/>
          <w:i/>
          <w:iCs/>
        </w:rPr>
        <w:t>may</w:t>
      </w:r>
      <w:r w:rsidR="004468B8" w:rsidRPr="247C3C72">
        <w:rPr>
          <w:rFonts w:cs="Arial"/>
        </w:rPr>
        <w:t xml:space="preserve"> be adapted as part of this work (</w:t>
      </w:r>
      <w:r w:rsidR="00BC59B1" w:rsidRPr="247C3C72">
        <w:rPr>
          <w:rFonts w:cs="Arial"/>
        </w:rPr>
        <w:t>March 2026)</w:t>
      </w:r>
    </w:p>
    <w:p w14:paraId="03E6343E" w14:textId="3183387B" w:rsidR="009B6FDC" w:rsidRPr="00BC59B1" w:rsidRDefault="009B6FDC" w:rsidP="003321C8">
      <w:pPr>
        <w:pStyle w:val="ListParagraph"/>
        <w:ind w:left="714"/>
        <w:contextualSpacing w:val="0"/>
        <w:rPr>
          <w:rFonts w:cs="Arial"/>
          <w:szCs w:val="24"/>
        </w:rPr>
      </w:pPr>
      <w:r w:rsidRPr="00BC59B1">
        <w:rPr>
          <w:rFonts w:cs="Arial"/>
          <w:szCs w:val="24"/>
        </w:rPr>
        <w:t xml:space="preserve">(b) a </w:t>
      </w:r>
      <w:r w:rsidRPr="00BC59B1">
        <w:rPr>
          <w:rFonts w:cs="Arial"/>
          <w:b/>
          <w:bCs/>
          <w:szCs w:val="24"/>
        </w:rPr>
        <w:t>baseline report</w:t>
      </w:r>
      <w:r w:rsidR="003321C8" w:rsidRPr="00BC59B1">
        <w:rPr>
          <w:rFonts w:cs="Arial"/>
          <w:szCs w:val="24"/>
        </w:rPr>
        <w:t>,</w:t>
      </w:r>
      <w:r w:rsidRPr="00BC59B1">
        <w:rPr>
          <w:rFonts w:cs="Arial"/>
          <w:szCs w:val="24"/>
        </w:rPr>
        <w:t xml:space="preserve"> working with existing data </w:t>
      </w:r>
      <w:r w:rsidR="003321C8" w:rsidRPr="00BC59B1">
        <w:rPr>
          <w:rFonts w:cs="Arial"/>
          <w:szCs w:val="24"/>
        </w:rPr>
        <w:t xml:space="preserve">to create baselines from which to measure impact </w:t>
      </w:r>
      <w:r w:rsidR="00BC59B1" w:rsidRPr="00BC59B1">
        <w:rPr>
          <w:rFonts w:cs="Arial"/>
          <w:szCs w:val="24"/>
        </w:rPr>
        <w:t>(March 2026)</w:t>
      </w:r>
    </w:p>
    <w:p w14:paraId="066AE578" w14:textId="0144A24C" w:rsidR="009B6FDC" w:rsidRPr="00BC59B1" w:rsidRDefault="009B6FDC" w:rsidP="009B6FDC">
      <w:pPr>
        <w:pStyle w:val="ListParagraph"/>
        <w:numPr>
          <w:ilvl w:val="0"/>
          <w:numId w:val="27"/>
        </w:numPr>
        <w:ind w:left="714" w:hanging="357"/>
        <w:contextualSpacing w:val="0"/>
        <w:jc w:val="both"/>
        <w:rPr>
          <w:rFonts w:cs="Arial"/>
          <w:szCs w:val="24"/>
        </w:rPr>
      </w:pPr>
      <w:r w:rsidRPr="00BC59B1">
        <w:rPr>
          <w:rFonts w:cs="Arial"/>
          <w:szCs w:val="24"/>
        </w:rPr>
        <w:t xml:space="preserve">A </w:t>
      </w:r>
      <w:r w:rsidR="00BC59B1" w:rsidRPr="00BC59B1">
        <w:rPr>
          <w:rFonts w:cs="Arial"/>
          <w:szCs w:val="24"/>
        </w:rPr>
        <w:t>light-touch</w:t>
      </w:r>
      <w:r w:rsidR="003321C8" w:rsidRPr="00BC59B1">
        <w:rPr>
          <w:rFonts w:cs="Arial"/>
          <w:szCs w:val="24"/>
        </w:rPr>
        <w:t xml:space="preserve"> </w:t>
      </w:r>
      <w:r w:rsidRPr="00BC59B1">
        <w:rPr>
          <w:rFonts w:cs="Arial"/>
          <w:b/>
          <w:bCs/>
          <w:szCs w:val="24"/>
        </w:rPr>
        <w:t xml:space="preserve">mid-term </w:t>
      </w:r>
      <w:r w:rsidR="00BC59B1" w:rsidRPr="00BC59B1">
        <w:rPr>
          <w:rFonts w:cs="Arial"/>
          <w:b/>
          <w:bCs/>
          <w:szCs w:val="24"/>
        </w:rPr>
        <w:t>report</w:t>
      </w:r>
      <w:r w:rsidRPr="00BC59B1">
        <w:rPr>
          <w:rFonts w:cs="Arial"/>
          <w:szCs w:val="24"/>
        </w:rPr>
        <w:t>, including results from stakeholder engagement</w:t>
      </w:r>
      <w:r w:rsidR="00413D50" w:rsidRPr="00BC59B1">
        <w:rPr>
          <w:rFonts w:cs="Arial"/>
          <w:szCs w:val="24"/>
        </w:rPr>
        <w:t>, data analysis</w:t>
      </w:r>
      <w:r w:rsidRPr="00BC59B1">
        <w:rPr>
          <w:rFonts w:cs="Arial"/>
          <w:szCs w:val="24"/>
        </w:rPr>
        <w:t xml:space="preserve"> and recommendations for</w:t>
      </w:r>
      <w:r w:rsidR="00413D50" w:rsidRPr="00BC59B1">
        <w:rPr>
          <w:rFonts w:cs="Arial"/>
          <w:szCs w:val="24"/>
        </w:rPr>
        <w:t xml:space="preserve"> ongoing</w:t>
      </w:r>
      <w:r w:rsidRPr="00BC59B1">
        <w:rPr>
          <w:rFonts w:cs="Arial"/>
          <w:szCs w:val="24"/>
        </w:rPr>
        <w:t xml:space="preserve"> project delivery (</w:t>
      </w:r>
      <w:r w:rsidR="00BC59B1" w:rsidRPr="00BC59B1">
        <w:rPr>
          <w:rFonts w:cs="Arial"/>
          <w:szCs w:val="24"/>
        </w:rPr>
        <w:t>December 2026</w:t>
      </w:r>
      <w:proofErr w:type="gramStart"/>
      <w:r w:rsidRPr="00BC59B1">
        <w:rPr>
          <w:rFonts w:cs="Arial"/>
          <w:szCs w:val="24"/>
        </w:rPr>
        <w:t>)</w:t>
      </w:r>
      <w:r w:rsidR="00AE6517" w:rsidRPr="00BC59B1">
        <w:rPr>
          <w:rFonts w:cs="Arial"/>
          <w:szCs w:val="24"/>
        </w:rPr>
        <w:t>;</w:t>
      </w:r>
      <w:proofErr w:type="gramEnd"/>
    </w:p>
    <w:p w14:paraId="4DF1D9A0" w14:textId="5F0FBC16" w:rsidR="009B6FDC" w:rsidRPr="00BC59B1" w:rsidRDefault="009B6FDC" w:rsidP="009B6FDC">
      <w:pPr>
        <w:pStyle w:val="ListParagraph"/>
        <w:numPr>
          <w:ilvl w:val="0"/>
          <w:numId w:val="27"/>
        </w:numPr>
        <w:jc w:val="both"/>
        <w:rPr>
          <w:rFonts w:cs="Arial"/>
          <w:szCs w:val="24"/>
        </w:rPr>
      </w:pPr>
      <w:r w:rsidRPr="00BC59B1">
        <w:rPr>
          <w:rFonts w:cs="Arial"/>
          <w:szCs w:val="24"/>
        </w:rPr>
        <w:t xml:space="preserve">A </w:t>
      </w:r>
      <w:r w:rsidRPr="00BC59B1">
        <w:rPr>
          <w:rFonts w:cs="Arial"/>
          <w:b/>
          <w:bCs/>
          <w:szCs w:val="24"/>
        </w:rPr>
        <w:t>final report</w:t>
      </w:r>
      <w:r w:rsidRPr="00BC59B1">
        <w:rPr>
          <w:rFonts w:cs="Arial"/>
          <w:szCs w:val="24"/>
        </w:rPr>
        <w:t xml:space="preserve"> detailing the impacts of funding, lessons learn</w:t>
      </w:r>
      <w:r w:rsidR="00413D50" w:rsidRPr="00BC59B1">
        <w:rPr>
          <w:rFonts w:cs="Arial"/>
          <w:szCs w:val="24"/>
        </w:rPr>
        <w:t>ed</w:t>
      </w:r>
      <w:r w:rsidRPr="00BC59B1">
        <w:rPr>
          <w:rFonts w:cs="Arial"/>
          <w:szCs w:val="24"/>
        </w:rPr>
        <w:t xml:space="preserve">, recommendations and proposals for the </w:t>
      </w:r>
      <w:r w:rsidR="00BC59B1" w:rsidRPr="00BC59B1">
        <w:rPr>
          <w:rFonts w:cs="Arial"/>
          <w:szCs w:val="24"/>
        </w:rPr>
        <w:t>programme’s</w:t>
      </w:r>
      <w:r w:rsidRPr="00BC59B1">
        <w:rPr>
          <w:rFonts w:cs="Arial"/>
          <w:szCs w:val="24"/>
        </w:rPr>
        <w:t xml:space="preserve"> sustainability and future (</w:t>
      </w:r>
      <w:r w:rsidR="00747A9B">
        <w:rPr>
          <w:rFonts w:cs="Arial"/>
          <w:szCs w:val="24"/>
        </w:rPr>
        <w:t>Dec</w:t>
      </w:r>
      <w:r w:rsidR="00BC59B1" w:rsidRPr="00BC59B1">
        <w:rPr>
          <w:rFonts w:cs="Arial"/>
          <w:szCs w:val="24"/>
        </w:rPr>
        <w:t>ember</w:t>
      </w:r>
      <w:r w:rsidRPr="00BC59B1">
        <w:rPr>
          <w:rFonts w:cs="Arial"/>
          <w:szCs w:val="24"/>
        </w:rPr>
        <w:t xml:space="preserve"> 202</w:t>
      </w:r>
      <w:r w:rsidR="00BC59B1" w:rsidRPr="00BC59B1">
        <w:rPr>
          <w:rFonts w:cs="Arial"/>
          <w:szCs w:val="24"/>
        </w:rPr>
        <w:t>7</w:t>
      </w:r>
      <w:proofErr w:type="gramStart"/>
      <w:r w:rsidRPr="00BC59B1">
        <w:rPr>
          <w:rFonts w:cs="Arial"/>
          <w:szCs w:val="24"/>
        </w:rPr>
        <w:t>)</w:t>
      </w:r>
      <w:r w:rsidR="00AE6517" w:rsidRPr="00BC59B1">
        <w:rPr>
          <w:rFonts w:cs="Arial"/>
          <w:szCs w:val="24"/>
        </w:rPr>
        <w:t>;</w:t>
      </w:r>
      <w:proofErr w:type="gramEnd"/>
    </w:p>
    <w:p w14:paraId="31F9B10C" w14:textId="153EEFB9" w:rsidR="00F945BE" w:rsidRPr="00BC59B1" w:rsidRDefault="00F945BE" w:rsidP="009B6FDC">
      <w:pPr>
        <w:jc w:val="both"/>
        <w:rPr>
          <w:rFonts w:cs="Arial"/>
          <w:szCs w:val="24"/>
        </w:rPr>
      </w:pPr>
      <w:r w:rsidRPr="00BC59B1">
        <w:rPr>
          <w:rFonts w:cs="Arial"/>
          <w:szCs w:val="24"/>
        </w:rPr>
        <w:t xml:space="preserve">in addition to ongoing consultation with the </w:t>
      </w:r>
      <w:r w:rsidR="00BC59B1" w:rsidRPr="00BC59B1">
        <w:rPr>
          <w:rFonts w:cs="Arial"/>
          <w:szCs w:val="24"/>
        </w:rPr>
        <w:t>Community Hub</w:t>
      </w:r>
      <w:r w:rsidRPr="00BC59B1">
        <w:rPr>
          <w:rFonts w:cs="Arial"/>
          <w:szCs w:val="24"/>
        </w:rPr>
        <w:t xml:space="preserve"> team, key stakeholders and grantees</w:t>
      </w:r>
      <w:r w:rsidR="00016341">
        <w:rPr>
          <w:rFonts w:cs="Arial"/>
          <w:szCs w:val="24"/>
        </w:rPr>
        <w:t>.</w:t>
      </w:r>
    </w:p>
    <w:p w14:paraId="4B4BE7DB" w14:textId="0987A43E" w:rsidR="00413D50" w:rsidRPr="00BC59B1" w:rsidRDefault="00B45AA4" w:rsidP="009B6FDC">
      <w:pPr>
        <w:jc w:val="both"/>
        <w:rPr>
          <w:rFonts w:cs="Arial"/>
          <w:szCs w:val="24"/>
        </w:rPr>
      </w:pPr>
      <w:r w:rsidRPr="00BC59B1">
        <w:rPr>
          <w:rFonts w:cs="Arial"/>
          <w:szCs w:val="24"/>
        </w:rPr>
        <w:t>Each</w:t>
      </w:r>
      <w:r w:rsidR="009B6FDC" w:rsidRPr="00BC59B1">
        <w:rPr>
          <w:rFonts w:cs="Arial"/>
          <w:szCs w:val="24"/>
        </w:rPr>
        <w:t xml:space="preserve"> report </w:t>
      </w:r>
      <w:r w:rsidR="00413D50" w:rsidRPr="00BC59B1">
        <w:rPr>
          <w:rFonts w:cs="Arial"/>
          <w:szCs w:val="24"/>
        </w:rPr>
        <w:t>must</w:t>
      </w:r>
      <w:r w:rsidR="009B6FDC" w:rsidRPr="00BC59B1">
        <w:rPr>
          <w:rFonts w:cs="Arial"/>
          <w:szCs w:val="24"/>
        </w:rPr>
        <w:t xml:space="preserve"> be </w:t>
      </w:r>
      <w:r w:rsidRPr="00BC59B1">
        <w:rPr>
          <w:rFonts w:cs="Arial"/>
          <w:szCs w:val="24"/>
        </w:rPr>
        <w:t xml:space="preserve">an </w:t>
      </w:r>
      <w:r w:rsidR="009B6FDC" w:rsidRPr="00BC59B1">
        <w:rPr>
          <w:rFonts w:cs="Arial"/>
          <w:szCs w:val="24"/>
        </w:rPr>
        <w:t xml:space="preserve">honest, independent and practical assessment of the project, capturing both its successes and failures. Reports </w:t>
      </w:r>
      <w:r w:rsidRPr="00BC59B1">
        <w:rPr>
          <w:rFonts w:cs="Arial"/>
          <w:szCs w:val="24"/>
        </w:rPr>
        <w:t xml:space="preserve">must be written </w:t>
      </w:r>
      <w:r w:rsidR="009B6FDC" w:rsidRPr="00BC59B1">
        <w:rPr>
          <w:rFonts w:cs="Arial"/>
          <w:szCs w:val="24"/>
        </w:rPr>
        <w:t>in</w:t>
      </w:r>
      <w:r w:rsidR="00413D50" w:rsidRPr="00BC59B1">
        <w:rPr>
          <w:rFonts w:cs="Arial"/>
          <w:szCs w:val="24"/>
        </w:rPr>
        <w:t xml:space="preserve"> an</w:t>
      </w:r>
      <w:r w:rsidR="009B6FDC" w:rsidRPr="00BC59B1">
        <w:rPr>
          <w:rFonts w:cs="Arial"/>
          <w:szCs w:val="24"/>
        </w:rPr>
        <w:t xml:space="preserve"> accessible format, with the expectation that they will be made available publicly</w:t>
      </w:r>
      <w:r w:rsidR="00413D50" w:rsidRPr="00BC59B1">
        <w:rPr>
          <w:rFonts w:cs="Arial"/>
          <w:szCs w:val="24"/>
        </w:rPr>
        <w:t xml:space="preserve">. The report’s format </w:t>
      </w:r>
      <w:r w:rsidR="00B47558" w:rsidRPr="00BC59B1">
        <w:rPr>
          <w:rFonts w:cs="Arial"/>
          <w:szCs w:val="24"/>
        </w:rPr>
        <w:t xml:space="preserve">and content </w:t>
      </w:r>
      <w:r w:rsidR="00413D50" w:rsidRPr="00BC59B1">
        <w:rPr>
          <w:rFonts w:cs="Arial"/>
          <w:szCs w:val="24"/>
        </w:rPr>
        <w:t>will be agreed in advance with the programme team.</w:t>
      </w:r>
    </w:p>
    <w:p w14:paraId="4119512B" w14:textId="459F6B1D" w:rsidR="00413D50" w:rsidRPr="00BC59B1" w:rsidRDefault="00413D50" w:rsidP="00413D50">
      <w:pPr>
        <w:jc w:val="both"/>
        <w:rPr>
          <w:rFonts w:cs="Arial"/>
          <w:szCs w:val="24"/>
        </w:rPr>
      </w:pPr>
      <w:r w:rsidRPr="00BC59B1">
        <w:rPr>
          <w:rFonts w:cs="Arial"/>
          <w:szCs w:val="24"/>
        </w:rPr>
        <w:t xml:space="preserve">For the avoidance of doubt, </w:t>
      </w:r>
      <w:r w:rsidR="00B47558" w:rsidRPr="00BC59B1">
        <w:rPr>
          <w:rFonts w:cs="Arial"/>
          <w:szCs w:val="24"/>
        </w:rPr>
        <w:t xml:space="preserve">the copyright and IP in any </w:t>
      </w:r>
      <w:r w:rsidRPr="00BC59B1">
        <w:rPr>
          <w:rFonts w:cs="Arial"/>
          <w:szCs w:val="24"/>
        </w:rPr>
        <w:t>evaluation outputs will be owned by The National Archives</w:t>
      </w:r>
      <w:r w:rsidR="00BC59B1">
        <w:rPr>
          <w:rFonts w:cs="Arial"/>
          <w:szCs w:val="24"/>
        </w:rPr>
        <w:t xml:space="preserve">, however the chosen evaluation partner will be appropriately credited as the </w:t>
      </w:r>
      <w:r w:rsidR="00BC59B1" w:rsidRPr="00BC59B1">
        <w:rPr>
          <w:rFonts w:cs="Arial"/>
          <w:szCs w:val="24"/>
        </w:rPr>
        <w:t>author of any material produced by them, wherever it appears.</w:t>
      </w:r>
    </w:p>
    <w:p w14:paraId="5E6676EA" w14:textId="77777777" w:rsidR="00B76F90" w:rsidRPr="00BC59B1" w:rsidRDefault="00B76F90" w:rsidP="00413D50">
      <w:pPr>
        <w:jc w:val="both"/>
        <w:rPr>
          <w:rFonts w:cs="Arial"/>
          <w:szCs w:val="24"/>
        </w:rPr>
      </w:pPr>
    </w:p>
    <w:p w14:paraId="7CA6EC9D" w14:textId="3A6794B5" w:rsidR="00413D50" w:rsidRPr="00BC59B1" w:rsidRDefault="00413D50" w:rsidP="00413D50">
      <w:pPr>
        <w:pStyle w:val="Heading2"/>
        <w:rPr>
          <w:rFonts w:cs="Arial"/>
          <w:b/>
          <w:bCs/>
          <w:color w:val="1F4E79" w:themeColor="accent5" w:themeShade="80"/>
        </w:rPr>
      </w:pPr>
      <w:bookmarkStart w:id="7" w:name="_Toc205045015"/>
      <w:r w:rsidRPr="00BC59B1">
        <w:rPr>
          <w:rFonts w:cs="Arial"/>
          <w:b/>
          <w:bCs/>
          <w:color w:val="1F4E79" w:themeColor="accent5" w:themeShade="80"/>
        </w:rPr>
        <w:lastRenderedPageBreak/>
        <w:t xml:space="preserve">6. </w:t>
      </w:r>
      <w:r w:rsidR="00ED1108" w:rsidRPr="00BC59B1">
        <w:rPr>
          <w:rFonts w:cs="Arial"/>
          <w:b/>
          <w:bCs/>
          <w:color w:val="1F4E79" w:themeColor="accent5" w:themeShade="80"/>
        </w:rPr>
        <w:t xml:space="preserve">Indicative </w:t>
      </w:r>
      <w:r w:rsidRPr="00BC59B1">
        <w:rPr>
          <w:rFonts w:cs="Arial"/>
          <w:b/>
          <w:bCs/>
          <w:color w:val="1F4E79" w:themeColor="accent5" w:themeShade="80"/>
        </w:rPr>
        <w:t>Timeline</w:t>
      </w:r>
      <w:bookmarkEnd w:id="7"/>
    </w:p>
    <w:p w14:paraId="7B9CAFEE" w14:textId="0EDE1D20" w:rsidR="008F5352" w:rsidRDefault="00BC59B1" w:rsidP="00CE5A9B">
      <w:pPr>
        <w:jc w:val="both"/>
        <w:rPr>
          <w:rFonts w:cs="Arial"/>
        </w:rPr>
      </w:pPr>
      <w:r>
        <w:rPr>
          <w:rFonts w:cs="Arial"/>
        </w:rPr>
        <w:t>Indicative milestones for the</w:t>
      </w:r>
      <w:r w:rsidR="00413D50" w:rsidRPr="00BC59B1">
        <w:rPr>
          <w:rFonts w:cs="Arial"/>
        </w:rPr>
        <w:t xml:space="preserve"> evaluation </w:t>
      </w:r>
      <w:r>
        <w:rPr>
          <w:rFonts w:cs="Arial"/>
        </w:rPr>
        <w:t>are</w:t>
      </w:r>
      <w:r w:rsidR="00413D50" w:rsidRPr="00BC59B1">
        <w:rPr>
          <w:rFonts w:cs="Arial"/>
        </w:rPr>
        <w:t xml:space="preserve"> outlined below, subject to discussion with the chosen supplier before work begins:</w:t>
      </w:r>
    </w:p>
    <w:p w14:paraId="5755399D" w14:textId="55C391E2" w:rsidR="00BC59B1" w:rsidRDefault="14028351" w:rsidP="127F171C">
      <w:pPr>
        <w:pStyle w:val="ListParagraph"/>
        <w:numPr>
          <w:ilvl w:val="0"/>
          <w:numId w:val="42"/>
        </w:numPr>
        <w:spacing w:after="120"/>
        <w:ind w:left="714" w:hanging="357"/>
        <w:jc w:val="both"/>
        <w:rPr>
          <w:rFonts w:cs="Arial"/>
        </w:rPr>
      </w:pPr>
      <w:r w:rsidRPr="127F171C">
        <w:rPr>
          <w:rFonts w:cs="Arial"/>
          <w:b/>
          <w:bCs/>
        </w:rPr>
        <w:t>Dec</w:t>
      </w:r>
      <w:r w:rsidR="00BC59B1" w:rsidRPr="127F171C">
        <w:rPr>
          <w:rFonts w:cs="Arial"/>
          <w:b/>
          <w:bCs/>
        </w:rPr>
        <w:t>ember 2025</w:t>
      </w:r>
      <w:r w:rsidR="00BC59B1" w:rsidRPr="127F171C">
        <w:rPr>
          <w:rFonts w:cs="Arial"/>
        </w:rPr>
        <w:t>: supplier selected</w:t>
      </w:r>
      <w:r w:rsidR="00016341" w:rsidRPr="127F171C">
        <w:rPr>
          <w:rFonts w:cs="Arial"/>
        </w:rPr>
        <w:t>.</w:t>
      </w:r>
    </w:p>
    <w:p w14:paraId="36CBFE56" w14:textId="00F78EDD" w:rsidR="00BC59B1" w:rsidRDefault="790849F2" w:rsidP="127F171C">
      <w:pPr>
        <w:pStyle w:val="ListParagraph"/>
        <w:numPr>
          <w:ilvl w:val="0"/>
          <w:numId w:val="42"/>
        </w:numPr>
        <w:spacing w:after="120"/>
        <w:ind w:left="714" w:hanging="357"/>
        <w:jc w:val="both"/>
        <w:rPr>
          <w:rFonts w:cs="Arial"/>
        </w:rPr>
      </w:pPr>
      <w:r w:rsidRPr="127F171C">
        <w:rPr>
          <w:rFonts w:cs="Arial"/>
          <w:b/>
          <w:bCs/>
        </w:rPr>
        <w:t xml:space="preserve">December </w:t>
      </w:r>
      <w:r w:rsidR="00BC59B1" w:rsidRPr="127F171C">
        <w:rPr>
          <w:rFonts w:cs="Arial"/>
          <w:b/>
          <w:bCs/>
        </w:rPr>
        <w:t>2025 - March 2026</w:t>
      </w:r>
      <w:r w:rsidR="00BC59B1" w:rsidRPr="127F171C">
        <w:rPr>
          <w:rFonts w:cs="Arial"/>
        </w:rPr>
        <w:t>: development of KPIs, agreed outcomes, evaluation methods and measures, including question sets for grantees to complete with a plan for data analysis</w:t>
      </w:r>
      <w:r w:rsidR="00016341" w:rsidRPr="127F171C">
        <w:rPr>
          <w:rFonts w:cs="Arial"/>
        </w:rPr>
        <w:t>.</w:t>
      </w:r>
    </w:p>
    <w:p w14:paraId="22DFA1B6" w14:textId="161A873C" w:rsidR="00BC59B1" w:rsidRDefault="00BC59B1" w:rsidP="00BC59B1">
      <w:pPr>
        <w:pStyle w:val="ListParagraph"/>
        <w:numPr>
          <w:ilvl w:val="0"/>
          <w:numId w:val="42"/>
        </w:numPr>
        <w:spacing w:after="120"/>
        <w:ind w:left="714" w:hanging="357"/>
        <w:contextualSpacing w:val="0"/>
        <w:jc w:val="both"/>
        <w:rPr>
          <w:rFonts w:cs="Arial"/>
        </w:rPr>
      </w:pPr>
      <w:r w:rsidRPr="00BC59B1">
        <w:rPr>
          <w:rFonts w:cs="Arial"/>
          <w:b/>
          <w:bCs/>
        </w:rPr>
        <w:t>March 2026</w:t>
      </w:r>
      <w:r>
        <w:rPr>
          <w:rFonts w:cs="Arial"/>
        </w:rPr>
        <w:t>: submission of a monitoring and evaluation framework and baseline report, including the above</w:t>
      </w:r>
      <w:r w:rsidR="00016341">
        <w:rPr>
          <w:rFonts w:cs="Arial"/>
        </w:rPr>
        <w:t>.</w:t>
      </w:r>
    </w:p>
    <w:p w14:paraId="2B1EC35F" w14:textId="4CC5A759" w:rsidR="00BC59B1" w:rsidRPr="00BC59B1" w:rsidRDefault="00BC59B1" w:rsidP="00BC59B1">
      <w:pPr>
        <w:pStyle w:val="ListParagraph"/>
        <w:numPr>
          <w:ilvl w:val="0"/>
          <w:numId w:val="42"/>
        </w:numPr>
        <w:spacing w:after="120"/>
        <w:ind w:left="714" w:hanging="357"/>
        <w:contextualSpacing w:val="0"/>
        <w:jc w:val="both"/>
        <w:rPr>
          <w:rFonts w:cs="Arial"/>
        </w:rPr>
      </w:pPr>
      <w:r w:rsidRPr="00BC59B1">
        <w:rPr>
          <w:rFonts w:cs="Arial"/>
          <w:b/>
          <w:bCs/>
        </w:rPr>
        <w:t>April 2026 - December 2026</w:t>
      </w:r>
      <w:r>
        <w:rPr>
          <w:rFonts w:cs="Arial"/>
        </w:rPr>
        <w:t xml:space="preserve">: data gathering, capacity-building (e.g. providing training and guidance), creation of case studies, and observation of processes to suggest improvements </w:t>
      </w:r>
      <w:r w:rsidRPr="00BC59B1">
        <w:rPr>
          <w:rFonts w:cs="Arial"/>
        </w:rPr>
        <w:t>to operational delivery (Phase 1)</w:t>
      </w:r>
      <w:r w:rsidR="00016341">
        <w:rPr>
          <w:rFonts w:cs="Arial"/>
        </w:rPr>
        <w:t>.</w:t>
      </w:r>
    </w:p>
    <w:p w14:paraId="4B122FE1" w14:textId="0B1E9926" w:rsidR="00BC59B1" w:rsidRPr="00BC59B1" w:rsidRDefault="00BC59B1" w:rsidP="00BC59B1">
      <w:pPr>
        <w:pStyle w:val="ListParagraph"/>
        <w:numPr>
          <w:ilvl w:val="0"/>
          <w:numId w:val="42"/>
        </w:numPr>
        <w:spacing w:after="120"/>
        <w:ind w:left="714" w:hanging="357"/>
        <w:contextualSpacing w:val="0"/>
        <w:jc w:val="both"/>
        <w:rPr>
          <w:rFonts w:cs="Arial"/>
        </w:rPr>
      </w:pPr>
      <w:r w:rsidRPr="00BC59B1">
        <w:rPr>
          <w:rFonts w:cs="Arial"/>
          <w:b/>
          <w:bCs/>
        </w:rPr>
        <w:t>December 2026</w:t>
      </w:r>
      <w:r w:rsidRPr="00BC59B1">
        <w:rPr>
          <w:rFonts w:cs="Arial"/>
        </w:rPr>
        <w:t>: light-touch mid-term report.</w:t>
      </w:r>
    </w:p>
    <w:p w14:paraId="6695AF0B" w14:textId="55B1E057" w:rsidR="00BC59B1" w:rsidRPr="00BC59B1" w:rsidRDefault="00BC59B1" w:rsidP="00BC59B1">
      <w:pPr>
        <w:pStyle w:val="ListParagraph"/>
        <w:numPr>
          <w:ilvl w:val="0"/>
          <w:numId w:val="42"/>
        </w:numPr>
        <w:spacing w:after="120"/>
        <w:ind w:left="714" w:hanging="357"/>
        <w:contextualSpacing w:val="0"/>
        <w:jc w:val="both"/>
        <w:rPr>
          <w:rFonts w:cs="Arial"/>
        </w:rPr>
      </w:pPr>
      <w:r w:rsidRPr="00BC59B1">
        <w:rPr>
          <w:rFonts w:cs="Arial"/>
          <w:b/>
          <w:bCs/>
        </w:rPr>
        <w:t>January 2027 - October 2027</w:t>
      </w:r>
      <w:r w:rsidRPr="00BC59B1">
        <w:rPr>
          <w:rFonts w:cs="Arial"/>
        </w:rPr>
        <w:t>: data gathering, capacity-building (e.g. providing training and guidance), creation of case studies, and observation of processes to suggest improvements to operational delivery (Phase 2)</w:t>
      </w:r>
      <w:r w:rsidR="00016341">
        <w:rPr>
          <w:rFonts w:cs="Arial"/>
        </w:rPr>
        <w:t>.</w:t>
      </w:r>
    </w:p>
    <w:p w14:paraId="08FD99A5" w14:textId="205480D1" w:rsidR="00BC59B1" w:rsidRPr="00BC59B1" w:rsidRDefault="00747A9B" w:rsidP="00BC59B1">
      <w:pPr>
        <w:pStyle w:val="ListParagraph"/>
        <w:numPr>
          <w:ilvl w:val="0"/>
          <w:numId w:val="42"/>
        </w:numPr>
        <w:spacing w:after="120"/>
        <w:ind w:left="714" w:hanging="357"/>
        <w:contextualSpacing w:val="0"/>
        <w:jc w:val="both"/>
        <w:rPr>
          <w:rFonts w:cs="Arial"/>
        </w:rPr>
      </w:pPr>
      <w:r>
        <w:rPr>
          <w:rFonts w:cs="Arial"/>
          <w:b/>
          <w:bCs/>
        </w:rPr>
        <w:t>December</w:t>
      </w:r>
      <w:r w:rsidR="00BC59B1" w:rsidRPr="00BC59B1">
        <w:rPr>
          <w:rFonts w:cs="Arial"/>
          <w:b/>
          <w:bCs/>
        </w:rPr>
        <w:t xml:space="preserve"> 2027</w:t>
      </w:r>
      <w:r w:rsidR="00BC59B1" w:rsidRPr="00BC59B1">
        <w:rPr>
          <w:rFonts w:cs="Arial"/>
        </w:rPr>
        <w:t xml:space="preserve">: submission of a comprehensive final report, exploring the </w:t>
      </w:r>
      <w:r w:rsidR="00BC59B1" w:rsidRPr="00BC59B1">
        <w:rPr>
          <w:rFonts w:cs="Arial"/>
          <w:szCs w:val="24"/>
        </w:rPr>
        <w:t>direct and indirect outcomes of grant funding and associated sector development work through mixed-methods analysis.</w:t>
      </w:r>
    </w:p>
    <w:p w14:paraId="37172FF5" w14:textId="77777777" w:rsidR="00625185" w:rsidRPr="00BC59B1" w:rsidRDefault="00625185" w:rsidP="00625185">
      <w:pPr>
        <w:pStyle w:val="ListParagraph"/>
        <w:jc w:val="both"/>
        <w:rPr>
          <w:rFonts w:cs="Arial"/>
          <w:szCs w:val="24"/>
        </w:rPr>
      </w:pPr>
    </w:p>
    <w:p w14:paraId="0AF5D2A1" w14:textId="130E8CAF" w:rsidR="00A21339" w:rsidRPr="00BC59B1" w:rsidRDefault="00ED1108" w:rsidP="00EE1034">
      <w:pPr>
        <w:pStyle w:val="Heading2"/>
        <w:rPr>
          <w:rFonts w:cs="Arial"/>
          <w:b/>
          <w:bCs/>
          <w:color w:val="1F4E79" w:themeColor="accent5" w:themeShade="80"/>
        </w:rPr>
      </w:pPr>
      <w:bookmarkStart w:id="8" w:name="_Toc205045016"/>
      <w:r w:rsidRPr="00BC59B1">
        <w:rPr>
          <w:rFonts w:cs="Arial"/>
          <w:b/>
          <w:bCs/>
          <w:color w:val="1F4E79" w:themeColor="accent5" w:themeShade="80"/>
        </w:rPr>
        <w:t>7</w:t>
      </w:r>
      <w:r w:rsidR="00630E43" w:rsidRPr="00BC59B1">
        <w:rPr>
          <w:rFonts w:cs="Arial"/>
          <w:b/>
          <w:bCs/>
          <w:color w:val="1F4E79" w:themeColor="accent5" w:themeShade="80"/>
        </w:rPr>
        <w:t xml:space="preserve">. </w:t>
      </w:r>
      <w:r w:rsidR="00CC4538" w:rsidRPr="00BC59B1">
        <w:rPr>
          <w:rFonts w:cs="Arial"/>
          <w:b/>
          <w:bCs/>
          <w:color w:val="1F4E79" w:themeColor="accent5" w:themeShade="80"/>
        </w:rPr>
        <w:t>Methodology</w:t>
      </w:r>
      <w:bookmarkEnd w:id="8"/>
    </w:p>
    <w:p w14:paraId="5531861D" w14:textId="40CBDCA5" w:rsidR="00A21339" w:rsidRPr="00BC59B1" w:rsidRDefault="00A21339" w:rsidP="00A05F8D">
      <w:pPr>
        <w:pStyle w:val="Heading3"/>
        <w:rPr>
          <w:rFonts w:cs="Arial"/>
          <w:b/>
          <w:bCs/>
          <w:color w:val="auto"/>
        </w:rPr>
      </w:pPr>
      <w:bookmarkStart w:id="9" w:name="_Toc205045017"/>
      <w:r w:rsidRPr="00BC59B1">
        <w:rPr>
          <w:rFonts w:cs="Arial"/>
          <w:b/>
          <w:bCs/>
          <w:color w:val="auto"/>
        </w:rPr>
        <w:t>7.1 Outline</w:t>
      </w:r>
      <w:bookmarkEnd w:id="9"/>
    </w:p>
    <w:p w14:paraId="3F0E6855" w14:textId="0F344AA2" w:rsidR="00C43AD4" w:rsidRPr="00B57101" w:rsidRDefault="00ED1108" w:rsidP="00B16510">
      <w:pPr>
        <w:jc w:val="both"/>
        <w:rPr>
          <w:rFonts w:cs="Arial"/>
          <w:szCs w:val="24"/>
        </w:rPr>
      </w:pPr>
      <w:r w:rsidRPr="00BC59B1">
        <w:rPr>
          <w:rFonts w:cs="Arial"/>
          <w:szCs w:val="24"/>
        </w:rPr>
        <w:t xml:space="preserve">Potential suppliers should </w:t>
      </w:r>
      <w:r w:rsidR="00C43AD4" w:rsidRPr="00BC59B1">
        <w:rPr>
          <w:rFonts w:cs="Arial"/>
          <w:szCs w:val="24"/>
        </w:rPr>
        <w:t xml:space="preserve">set out proposals that will meet the aims of the brief and </w:t>
      </w:r>
      <w:r w:rsidRPr="00BC59B1">
        <w:rPr>
          <w:rFonts w:cs="Arial"/>
          <w:szCs w:val="24"/>
        </w:rPr>
        <w:t xml:space="preserve">deliverables as set out in Sections 1-6 of this Invitation to Tender. We envision that, given the breadth of the brief and the longitudinal nature of the evaluation, </w:t>
      </w:r>
      <w:proofErr w:type="gramStart"/>
      <w:r w:rsidRPr="00BC59B1">
        <w:rPr>
          <w:rFonts w:cs="Arial"/>
          <w:szCs w:val="24"/>
        </w:rPr>
        <w:t>a number of</w:t>
      </w:r>
      <w:proofErr w:type="gramEnd"/>
      <w:r w:rsidRPr="00BC59B1">
        <w:rPr>
          <w:rFonts w:cs="Arial"/>
          <w:szCs w:val="24"/>
        </w:rPr>
        <w:t xml:space="preserve"> different methodologies will be deployed </w:t>
      </w:r>
      <w:r w:rsidRPr="00B57101">
        <w:rPr>
          <w:rFonts w:cs="Arial"/>
          <w:szCs w:val="24"/>
        </w:rPr>
        <w:t>in a mixed-methods evaluation</w:t>
      </w:r>
      <w:r w:rsidR="00EA5EFF" w:rsidRPr="00B57101">
        <w:rPr>
          <w:rFonts w:cs="Arial"/>
          <w:szCs w:val="24"/>
        </w:rPr>
        <w:t xml:space="preserve"> that generates both quantitative and qualitative evidence</w:t>
      </w:r>
      <w:r w:rsidRPr="00B57101">
        <w:rPr>
          <w:rFonts w:cs="Arial"/>
          <w:szCs w:val="24"/>
        </w:rPr>
        <w:t>.</w:t>
      </w:r>
      <w:r w:rsidR="009A1312" w:rsidRPr="00B57101">
        <w:rPr>
          <w:rFonts w:cs="Arial"/>
          <w:szCs w:val="24"/>
        </w:rPr>
        <w:t xml:space="preserve"> We are open to discussing different methods of data capture.</w:t>
      </w:r>
    </w:p>
    <w:p w14:paraId="30E37D9A" w14:textId="11FFFF98" w:rsidR="00CC4538" w:rsidRPr="00B57101" w:rsidRDefault="00C43AD4" w:rsidP="00B16510">
      <w:pPr>
        <w:jc w:val="both"/>
        <w:rPr>
          <w:rFonts w:cs="Arial"/>
          <w:szCs w:val="24"/>
        </w:rPr>
      </w:pPr>
      <w:r w:rsidRPr="00B57101">
        <w:rPr>
          <w:rFonts w:cs="Arial"/>
          <w:szCs w:val="24"/>
        </w:rPr>
        <w:t>Given the size of our sector</w:t>
      </w:r>
      <w:r w:rsidR="00B57101" w:rsidRPr="00B57101">
        <w:rPr>
          <w:rFonts w:cs="Arial"/>
          <w:szCs w:val="24"/>
        </w:rPr>
        <w:t>s</w:t>
      </w:r>
      <w:r w:rsidRPr="00B57101">
        <w:rPr>
          <w:rFonts w:cs="Arial"/>
          <w:szCs w:val="24"/>
        </w:rPr>
        <w:t xml:space="preserve"> and number of grantees, sampling or surveys will need to be managed</w:t>
      </w:r>
      <w:r w:rsidR="00ED1108" w:rsidRPr="00B57101">
        <w:rPr>
          <w:rFonts w:cs="Arial"/>
          <w:szCs w:val="24"/>
        </w:rPr>
        <w:t xml:space="preserve"> appropriately</w:t>
      </w:r>
      <w:r w:rsidRPr="00B57101">
        <w:rPr>
          <w:rFonts w:cs="Arial"/>
          <w:szCs w:val="24"/>
        </w:rPr>
        <w:t xml:space="preserve"> by the supplier. Your proposal should provide detail on your approach to sampling</w:t>
      </w:r>
      <w:r w:rsidR="00A21339" w:rsidRPr="00B57101">
        <w:rPr>
          <w:rFonts w:cs="Arial"/>
          <w:szCs w:val="24"/>
        </w:rPr>
        <w:t xml:space="preserve"> and</w:t>
      </w:r>
      <w:r w:rsidRPr="00B57101">
        <w:rPr>
          <w:rFonts w:cs="Arial"/>
          <w:szCs w:val="24"/>
        </w:rPr>
        <w:t xml:space="preserve"> data collection including information rights - in particular data protection - and analysis. You should also detail how you will manage ethics in research, ensuring that work with be conducted in a way that minimises harm and risks</w:t>
      </w:r>
      <w:r w:rsidR="00A21339" w:rsidRPr="00B57101">
        <w:rPr>
          <w:rFonts w:cs="Arial"/>
          <w:szCs w:val="24"/>
        </w:rPr>
        <w:t>.</w:t>
      </w:r>
    </w:p>
    <w:p w14:paraId="04E79E2C" w14:textId="57EF8F30" w:rsidR="00A21339" w:rsidRPr="00B57101" w:rsidRDefault="00A21339" w:rsidP="00A21339">
      <w:pPr>
        <w:jc w:val="both"/>
        <w:rPr>
          <w:rFonts w:cs="Arial"/>
          <w:szCs w:val="24"/>
        </w:rPr>
      </w:pPr>
      <w:r w:rsidRPr="00B57101">
        <w:rPr>
          <w:rFonts w:cs="Arial"/>
          <w:szCs w:val="24"/>
        </w:rPr>
        <w:t xml:space="preserve">In completing their evaluation, providers may want to use: </w:t>
      </w:r>
    </w:p>
    <w:p w14:paraId="080C0154" w14:textId="5265D922" w:rsidR="00A21339" w:rsidRPr="00B57101" w:rsidRDefault="00A21339" w:rsidP="00A21339">
      <w:pPr>
        <w:pStyle w:val="ListParagraph"/>
        <w:numPr>
          <w:ilvl w:val="0"/>
          <w:numId w:val="13"/>
        </w:numPr>
        <w:jc w:val="both"/>
        <w:rPr>
          <w:rFonts w:cs="Arial"/>
          <w:szCs w:val="24"/>
        </w:rPr>
      </w:pPr>
      <w:r w:rsidRPr="00B57101">
        <w:rPr>
          <w:rFonts w:cs="Arial"/>
          <w:szCs w:val="24"/>
        </w:rPr>
        <w:t xml:space="preserve">Grant applications, supporting documents, case papers or the minutes of the </w:t>
      </w:r>
      <w:r w:rsidR="00B57101" w:rsidRPr="00B57101">
        <w:rPr>
          <w:rFonts w:cs="Arial"/>
          <w:szCs w:val="24"/>
        </w:rPr>
        <w:t xml:space="preserve">grant </w:t>
      </w:r>
      <w:proofErr w:type="gramStart"/>
      <w:r w:rsidR="00B57101" w:rsidRPr="00B57101">
        <w:rPr>
          <w:rFonts w:cs="Arial"/>
          <w:szCs w:val="24"/>
        </w:rPr>
        <w:t>panels;</w:t>
      </w:r>
      <w:proofErr w:type="gramEnd"/>
    </w:p>
    <w:p w14:paraId="4F9BB740" w14:textId="23F84FBC" w:rsidR="00A21339" w:rsidRPr="00B57101" w:rsidRDefault="00A21339" w:rsidP="00A21339">
      <w:pPr>
        <w:pStyle w:val="ListParagraph"/>
        <w:numPr>
          <w:ilvl w:val="0"/>
          <w:numId w:val="13"/>
        </w:numPr>
        <w:jc w:val="both"/>
        <w:rPr>
          <w:rFonts w:cs="Arial"/>
          <w:szCs w:val="24"/>
        </w:rPr>
      </w:pPr>
      <w:r w:rsidRPr="00B57101">
        <w:rPr>
          <w:rFonts w:cs="Arial"/>
          <w:szCs w:val="24"/>
        </w:rPr>
        <w:t xml:space="preserve">Materials generated by funded </w:t>
      </w:r>
      <w:proofErr w:type="gramStart"/>
      <w:r w:rsidRPr="00B57101">
        <w:rPr>
          <w:rFonts w:cs="Arial"/>
          <w:szCs w:val="24"/>
        </w:rPr>
        <w:t>projects</w:t>
      </w:r>
      <w:r w:rsidR="00016341">
        <w:rPr>
          <w:rFonts w:cs="Arial"/>
          <w:szCs w:val="24"/>
        </w:rPr>
        <w:t>;</w:t>
      </w:r>
      <w:proofErr w:type="gramEnd"/>
    </w:p>
    <w:p w14:paraId="23D1F3E2" w14:textId="77777777" w:rsidR="00A21339" w:rsidRPr="00B57101" w:rsidRDefault="00A21339" w:rsidP="00A21339">
      <w:pPr>
        <w:pStyle w:val="ListParagraph"/>
        <w:numPr>
          <w:ilvl w:val="0"/>
          <w:numId w:val="13"/>
        </w:numPr>
        <w:jc w:val="both"/>
        <w:rPr>
          <w:rFonts w:cs="Arial"/>
          <w:szCs w:val="24"/>
        </w:rPr>
      </w:pPr>
      <w:r w:rsidRPr="00B57101">
        <w:rPr>
          <w:rFonts w:cs="Arial"/>
          <w:szCs w:val="24"/>
        </w:rPr>
        <w:t xml:space="preserve">Monitoring data recorded over the delivery </w:t>
      </w:r>
      <w:proofErr w:type="gramStart"/>
      <w:r w:rsidRPr="00B57101">
        <w:rPr>
          <w:rFonts w:cs="Arial"/>
          <w:szCs w:val="24"/>
        </w:rPr>
        <w:t>period;</w:t>
      </w:r>
      <w:proofErr w:type="gramEnd"/>
    </w:p>
    <w:p w14:paraId="4885F294" w14:textId="39282EE4" w:rsidR="00A21339" w:rsidRPr="00B57101" w:rsidRDefault="00A21339" w:rsidP="00A21339">
      <w:pPr>
        <w:pStyle w:val="ListParagraph"/>
        <w:numPr>
          <w:ilvl w:val="0"/>
          <w:numId w:val="13"/>
        </w:numPr>
        <w:jc w:val="both"/>
        <w:rPr>
          <w:rFonts w:cs="Arial"/>
          <w:szCs w:val="24"/>
        </w:rPr>
      </w:pPr>
      <w:r w:rsidRPr="00B57101">
        <w:rPr>
          <w:rFonts w:cs="Arial"/>
          <w:szCs w:val="24"/>
        </w:rPr>
        <w:lastRenderedPageBreak/>
        <w:t>Social media and</w:t>
      </w:r>
      <w:r w:rsidR="0022665F" w:rsidRPr="00B57101">
        <w:rPr>
          <w:rFonts w:cs="Arial"/>
          <w:szCs w:val="24"/>
        </w:rPr>
        <w:t xml:space="preserve"> other</w:t>
      </w:r>
      <w:r w:rsidRPr="00B57101">
        <w:rPr>
          <w:rFonts w:cs="Arial"/>
          <w:szCs w:val="24"/>
        </w:rPr>
        <w:t xml:space="preserve"> online outputs created by grantees throughout the </w:t>
      </w:r>
      <w:proofErr w:type="gramStart"/>
      <w:r w:rsidRPr="00B57101">
        <w:rPr>
          <w:rFonts w:cs="Arial"/>
          <w:szCs w:val="24"/>
        </w:rPr>
        <w:t>project;</w:t>
      </w:r>
      <w:proofErr w:type="gramEnd"/>
    </w:p>
    <w:p w14:paraId="55B7EA8F" w14:textId="77777777" w:rsidR="00A21339" w:rsidRPr="00B57101" w:rsidRDefault="00A21339" w:rsidP="00A21339">
      <w:pPr>
        <w:pStyle w:val="ListParagraph"/>
        <w:numPr>
          <w:ilvl w:val="0"/>
          <w:numId w:val="13"/>
        </w:numPr>
        <w:jc w:val="both"/>
        <w:rPr>
          <w:rFonts w:cs="Arial"/>
          <w:szCs w:val="24"/>
        </w:rPr>
      </w:pPr>
      <w:r w:rsidRPr="00B57101">
        <w:rPr>
          <w:rFonts w:cs="Arial"/>
          <w:szCs w:val="24"/>
        </w:rPr>
        <w:t xml:space="preserve">Observational reflections of the assessment and awarding </w:t>
      </w:r>
      <w:proofErr w:type="gramStart"/>
      <w:r w:rsidRPr="00B57101">
        <w:rPr>
          <w:rFonts w:cs="Arial"/>
          <w:szCs w:val="24"/>
        </w:rPr>
        <w:t>process;</w:t>
      </w:r>
      <w:proofErr w:type="gramEnd"/>
    </w:p>
    <w:p w14:paraId="0BAE6524" w14:textId="0817A8E1" w:rsidR="00A21339" w:rsidRPr="00B57101" w:rsidRDefault="00A21339" w:rsidP="00A21339">
      <w:pPr>
        <w:pStyle w:val="ListParagraph"/>
        <w:numPr>
          <w:ilvl w:val="0"/>
          <w:numId w:val="13"/>
        </w:numPr>
        <w:jc w:val="both"/>
        <w:rPr>
          <w:rFonts w:cs="Arial"/>
          <w:szCs w:val="24"/>
        </w:rPr>
      </w:pPr>
      <w:r w:rsidRPr="00B57101">
        <w:rPr>
          <w:rFonts w:cs="Arial"/>
          <w:szCs w:val="24"/>
        </w:rPr>
        <w:t>Visits to project</w:t>
      </w:r>
      <w:r w:rsidR="005C6499" w:rsidRPr="00B57101">
        <w:rPr>
          <w:rFonts w:cs="Arial"/>
          <w:szCs w:val="24"/>
        </w:rPr>
        <w:t>s</w:t>
      </w:r>
      <w:r w:rsidRPr="00B57101">
        <w:rPr>
          <w:rFonts w:cs="Arial"/>
          <w:szCs w:val="24"/>
        </w:rPr>
        <w:t xml:space="preserve"> and events associated with the </w:t>
      </w:r>
      <w:r w:rsidR="00B57101" w:rsidRPr="00B57101">
        <w:rPr>
          <w:rFonts w:cs="Arial"/>
          <w:szCs w:val="24"/>
        </w:rPr>
        <w:t>Community Hub</w:t>
      </w:r>
      <w:r w:rsidRPr="00B57101">
        <w:rPr>
          <w:rFonts w:cs="Arial"/>
          <w:szCs w:val="24"/>
        </w:rPr>
        <w:t xml:space="preserve"> </w:t>
      </w:r>
      <w:proofErr w:type="gramStart"/>
      <w:r w:rsidRPr="00B57101">
        <w:rPr>
          <w:rFonts w:cs="Arial"/>
          <w:szCs w:val="24"/>
        </w:rPr>
        <w:t>programme;</w:t>
      </w:r>
      <w:proofErr w:type="gramEnd"/>
    </w:p>
    <w:p w14:paraId="3C6ACCDA" w14:textId="12E61406" w:rsidR="00A21339" w:rsidRPr="00B57101" w:rsidRDefault="00A21339" w:rsidP="00A21339">
      <w:pPr>
        <w:pStyle w:val="ListParagraph"/>
        <w:numPr>
          <w:ilvl w:val="0"/>
          <w:numId w:val="13"/>
        </w:numPr>
        <w:jc w:val="both"/>
        <w:rPr>
          <w:rFonts w:cs="Arial"/>
          <w:szCs w:val="24"/>
        </w:rPr>
      </w:pPr>
      <w:r w:rsidRPr="00B57101">
        <w:rPr>
          <w:rFonts w:cs="Arial"/>
          <w:szCs w:val="24"/>
        </w:rPr>
        <w:t xml:space="preserve">Consultations and interviews with the programme’s management function (including its </w:t>
      </w:r>
      <w:r w:rsidR="00B57101" w:rsidRPr="00B57101">
        <w:rPr>
          <w:rFonts w:cs="Arial"/>
          <w:szCs w:val="24"/>
        </w:rPr>
        <w:t>Advisory Board</w:t>
      </w:r>
      <w:r w:rsidRPr="00B57101">
        <w:rPr>
          <w:rFonts w:cs="Arial"/>
          <w:szCs w:val="24"/>
        </w:rPr>
        <w:t xml:space="preserve">), funders, applicants and grantees including operational staff and volunteers, as well as other key stakeholders as directed by the </w:t>
      </w:r>
      <w:proofErr w:type="gramStart"/>
      <w:r w:rsidRPr="00B57101">
        <w:rPr>
          <w:rFonts w:cs="Arial"/>
          <w:szCs w:val="24"/>
        </w:rPr>
        <w:t>funders;</w:t>
      </w:r>
      <w:proofErr w:type="gramEnd"/>
    </w:p>
    <w:p w14:paraId="68419891" w14:textId="77777777" w:rsidR="00A21339" w:rsidRPr="00B57101" w:rsidRDefault="00A21339" w:rsidP="00A21339">
      <w:pPr>
        <w:pStyle w:val="ListParagraph"/>
        <w:numPr>
          <w:ilvl w:val="0"/>
          <w:numId w:val="13"/>
        </w:numPr>
        <w:jc w:val="both"/>
        <w:rPr>
          <w:rFonts w:cs="Arial"/>
          <w:szCs w:val="24"/>
        </w:rPr>
      </w:pPr>
      <w:r w:rsidRPr="00B57101">
        <w:rPr>
          <w:rFonts w:cs="Arial"/>
          <w:szCs w:val="24"/>
        </w:rPr>
        <w:t xml:space="preserve">Feedback from project and other stakeholder </w:t>
      </w:r>
      <w:proofErr w:type="gramStart"/>
      <w:r w:rsidRPr="00B57101">
        <w:rPr>
          <w:rFonts w:cs="Arial"/>
          <w:szCs w:val="24"/>
        </w:rPr>
        <w:t>meetings;</w:t>
      </w:r>
      <w:proofErr w:type="gramEnd"/>
    </w:p>
    <w:p w14:paraId="3786D68E" w14:textId="545D6D15" w:rsidR="00A21339" w:rsidRPr="00B57101" w:rsidRDefault="00A21339" w:rsidP="00A21339">
      <w:pPr>
        <w:pStyle w:val="ListParagraph"/>
        <w:numPr>
          <w:ilvl w:val="0"/>
          <w:numId w:val="13"/>
        </w:numPr>
        <w:jc w:val="both"/>
        <w:rPr>
          <w:rFonts w:cs="Arial"/>
          <w:szCs w:val="24"/>
        </w:rPr>
      </w:pPr>
      <w:r w:rsidRPr="00B57101">
        <w:rPr>
          <w:rFonts w:cs="Arial"/>
          <w:szCs w:val="24"/>
        </w:rPr>
        <w:t>Any other evidence, information or data gathered directly by the supplier.</w:t>
      </w:r>
    </w:p>
    <w:p w14:paraId="61EFEBC3" w14:textId="42355267" w:rsidR="00CF0CA1" w:rsidRPr="00B57101" w:rsidRDefault="00CF0CA1" w:rsidP="00B16510">
      <w:pPr>
        <w:jc w:val="both"/>
        <w:rPr>
          <w:rFonts w:cs="Arial"/>
          <w:szCs w:val="24"/>
        </w:rPr>
      </w:pPr>
      <w:r w:rsidRPr="00B57101">
        <w:rPr>
          <w:rFonts w:cs="Arial"/>
          <w:szCs w:val="24"/>
        </w:rPr>
        <w:t xml:space="preserve">Suppliers should be </w:t>
      </w:r>
      <w:r w:rsidR="00C70CED" w:rsidRPr="00B57101">
        <w:rPr>
          <w:rFonts w:cs="Arial"/>
          <w:szCs w:val="24"/>
        </w:rPr>
        <w:t xml:space="preserve">conscious of the requirement to evaluate the programme’s package of sector development, training, mentoring and communications, as well as the </w:t>
      </w:r>
      <w:r w:rsidR="00B57101" w:rsidRPr="00B57101">
        <w:rPr>
          <w:rFonts w:cs="Arial"/>
          <w:szCs w:val="24"/>
        </w:rPr>
        <w:t xml:space="preserve">funded </w:t>
      </w:r>
      <w:r w:rsidR="00EA5EFF" w:rsidRPr="00B57101">
        <w:rPr>
          <w:rFonts w:cs="Arial"/>
          <w:szCs w:val="24"/>
        </w:rPr>
        <w:t>projects</w:t>
      </w:r>
      <w:r w:rsidR="00C70CED" w:rsidRPr="00B57101">
        <w:rPr>
          <w:rFonts w:cs="Arial"/>
          <w:szCs w:val="24"/>
        </w:rPr>
        <w:t xml:space="preserve"> delivered by our grantees.</w:t>
      </w:r>
    </w:p>
    <w:p w14:paraId="611D9FDC" w14:textId="0EB68174" w:rsidR="002F70EC" w:rsidRPr="00B57101" w:rsidRDefault="002F70EC" w:rsidP="00B16510">
      <w:pPr>
        <w:jc w:val="both"/>
        <w:rPr>
          <w:rFonts w:cs="Arial"/>
          <w:szCs w:val="24"/>
        </w:rPr>
      </w:pPr>
      <w:r w:rsidRPr="00B57101">
        <w:rPr>
          <w:rFonts w:cs="Arial"/>
          <w:szCs w:val="24"/>
        </w:rPr>
        <w:t xml:space="preserve">The suppliers will work closely with </w:t>
      </w:r>
      <w:r w:rsidR="00B57101" w:rsidRPr="00B57101">
        <w:rPr>
          <w:rFonts w:cs="Arial"/>
          <w:szCs w:val="24"/>
        </w:rPr>
        <w:t>the Community Hub Principal Investigator, Co-Investigators and Hub Manager throughout, with the Community Hub Manager acting as lead officer for the delivery of the contract.</w:t>
      </w:r>
    </w:p>
    <w:p w14:paraId="6AC2191B" w14:textId="77777777" w:rsidR="002F70EC" w:rsidRPr="00B57101" w:rsidRDefault="002F70EC" w:rsidP="00B16510">
      <w:pPr>
        <w:jc w:val="both"/>
        <w:rPr>
          <w:rFonts w:cs="Arial"/>
          <w:szCs w:val="24"/>
        </w:rPr>
      </w:pPr>
      <w:r w:rsidRPr="00B57101">
        <w:rPr>
          <w:rFonts w:cs="Arial"/>
          <w:szCs w:val="24"/>
        </w:rPr>
        <w:t xml:space="preserve">The National Archives will: </w:t>
      </w:r>
    </w:p>
    <w:p w14:paraId="29A27C82" w14:textId="28C7701A" w:rsidR="002F70EC" w:rsidRPr="00B57101" w:rsidRDefault="002F70EC" w:rsidP="00B16510">
      <w:pPr>
        <w:pStyle w:val="ListParagraph"/>
        <w:numPr>
          <w:ilvl w:val="0"/>
          <w:numId w:val="21"/>
        </w:numPr>
        <w:ind w:left="357" w:hanging="357"/>
        <w:contextualSpacing w:val="0"/>
        <w:jc w:val="both"/>
        <w:rPr>
          <w:rFonts w:cs="Arial"/>
          <w:szCs w:val="24"/>
        </w:rPr>
      </w:pPr>
      <w:r w:rsidRPr="00B57101">
        <w:rPr>
          <w:rFonts w:cs="Arial"/>
          <w:szCs w:val="24"/>
        </w:rPr>
        <w:t xml:space="preserve">provide the </w:t>
      </w:r>
      <w:r w:rsidR="00EA5EFF" w:rsidRPr="00B57101">
        <w:rPr>
          <w:rFonts w:cs="Arial"/>
          <w:szCs w:val="24"/>
        </w:rPr>
        <w:t>chosen supplier</w:t>
      </w:r>
      <w:r w:rsidRPr="00B57101">
        <w:rPr>
          <w:rFonts w:cs="Arial"/>
          <w:szCs w:val="24"/>
        </w:rPr>
        <w:t xml:space="preserve"> with access to relevant literature, research reports and data that it </w:t>
      </w:r>
      <w:proofErr w:type="gramStart"/>
      <w:r w:rsidRPr="00B57101">
        <w:rPr>
          <w:rFonts w:cs="Arial"/>
          <w:szCs w:val="24"/>
        </w:rPr>
        <w:t>holds</w:t>
      </w:r>
      <w:r w:rsidR="00D42AD1" w:rsidRPr="00B57101">
        <w:rPr>
          <w:rFonts w:cs="Arial"/>
          <w:szCs w:val="24"/>
        </w:rPr>
        <w:t>;</w:t>
      </w:r>
      <w:proofErr w:type="gramEnd"/>
    </w:p>
    <w:p w14:paraId="14B50531" w14:textId="49A206A3" w:rsidR="002F70EC" w:rsidRPr="00B57101" w:rsidRDefault="002F70EC" w:rsidP="00B16510">
      <w:pPr>
        <w:pStyle w:val="ListParagraph"/>
        <w:numPr>
          <w:ilvl w:val="0"/>
          <w:numId w:val="21"/>
        </w:numPr>
        <w:ind w:left="357" w:hanging="357"/>
        <w:contextualSpacing w:val="0"/>
        <w:jc w:val="both"/>
        <w:rPr>
          <w:rFonts w:cs="Arial"/>
          <w:szCs w:val="24"/>
        </w:rPr>
      </w:pPr>
      <w:r w:rsidRPr="00B57101">
        <w:rPr>
          <w:rFonts w:cs="Arial"/>
          <w:szCs w:val="24"/>
        </w:rPr>
        <w:t xml:space="preserve">support the </w:t>
      </w:r>
      <w:r w:rsidR="00EA5EFF" w:rsidRPr="00B57101">
        <w:rPr>
          <w:rFonts w:cs="Arial"/>
          <w:szCs w:val="24"/>
        </w:rPr>
        <w:t>chosen supplier</w:t>
      </w:r>
      <w:r w:rsidRPr="00B57101">
        <w:rPr>
          <w:rFonts w:cs="Arial"/>
          <w:szCs w:val="24"/>
        </w:rPr>
        <w:t xml:space="preserve"> in sampling and identifying stakeholders and interviewees, using its existing sector knowledge and segmentation, and its stakeholder </w:t>
      </w:r>
      <w:proofErr w:type="gramStart"/>
      <w:r w:rsidRPr="00B57101">
        <w:rPr>
          <w:rFonts w:cs="Arial"/>
          <w:szCs w:val="24"/>
        </w:rPr>
        <w:t>mapping</w:t>
      </w:r>
      <w:r w:rsidR="00D42AD1" w:rsidRPr="00B57101">
        <w:rPr>
          <w:rFonts w:cs="Arial"/>
          <w:szCs w:val="24"/>
        </w:rPr>
        <w:t>;</w:t>
      </w:r>
      <w:proofErr w:type="gramEnd"/>
    </w:p>
    <w:p w14:paraId="06B9F194" w14:textId="08845246" w:rsidR="002F70EC" w:rsidRPr="00B57101" w:rsidRDefault="00A21339" w:rsidP="00B16510">
      <w:pPr>
        <w:pStyle w:val="ListParagraph"/>
        <w:numPr>
          <w:ilvl w:val="0"/>
          <w:numId w:val="21"/>
        </w:numPr>
        <w:jc w:val="both"/>
        <w:rPr>
          <w:rFonts w:cs="Arial"/>
          <w:szCs w:val="24"/>
        </w:rPr>
      </w:pPr>
      <w:r w:rsidRPr="00B57101">
        <w:rPr>
          <w:rFonts w:cs="Arial"/>
          <w:szCs w:val="24"/>
        </w:rPr>
        <w:t>act as a point of liaison between the chosen supplier and its funders, stakeholders,</w:t>
      </w:r>
      <w:r w:rsidR="00B57101" w:rsidRPr="00B57101">
        <w:rPr>
          <w:rFonts w:cs="Arial"/>
          <w:szCs w:val="24"/>
        </w:rPr>
        <w:t xml:space="preserve"> partners,</w:t>
      </w:r>
      <w:r w:rsidRPr="00B57101">
        <w:rPr>
          <w:rFonts w:cs="Arial"/>
          <w:szCs w:val="24"/>
        </w:rPr>
        <w:t xml:space="preserve"> grantees and the wider </w:t>
      </w:r>
      <w:r w:rsidR="00B57101" w:rsidRPr="00B57101">
        <w:rPr>
          <w:rFonts w:cs="Arial"/>
          <w:szCs w:val="24"/>
        </w:rPr>
        <w:t>cultural heritage</w:t>
      </w:r>
      <w:r w:rsidRPr="00B57101">
        <w:rPr>
          <w:rFonts w:cs="Arial"/>
          <w:szCs w:val="24"/>
        </w:rPr>
        <w:t xml:space="preserve"> sector</w:t>
      </w:r>
      <w:r w:rsidR="00B57101" w:rsidRPr="00B57101">
        <w:rPr>
          <w:rFonts w:cs="Arial"/>
          <w:szCs w:val="24"/>
        </w:rPr>
        <w:t>(s)</w:t>
      </w:r>
      <w:r w:rsidRPr="00B57101">
        <w:rPr>
          <w:rFonts w:cs="Arial"/>
          <w:szCs w:val="24"/>
        </w:rPr>
        <w:t>, where necessary.</w:t>
      </w:r>
    </w:p>
    <w:p w14:paraId="12508450" w14:textId="77777777" w:rsidR="00B76F90" w:rsidRPr="00B57101" w:rsidRDefault="00B76F90" w:rsidP="00B76F90">
      <w:pPr>
        <w:pStyle w:val="ListParagraph"/>
        <w:ind w:left="360"/>
        <w:jc w:val="both"/>
        <w:rPr>
          <w:rFonts w:cs="Arial"/>
          <w:szCs w:val="24"/>
        </w:rPr>
      </w:pPr>
    </w:p>
    <w:p w14:paraId="3CBEB4B0" w14:textId="77777777" w:rsidR="00A21339" w:rsidRPr="00B57101" w:rsidRDefault="00A21339" w:rsidP="00A05F8D">
      <w:pPr>
        <w:pStyle w:val="Heading3"/>
        <w:rPr>
          <w:rFonts w:cs="Arial"/>
          <w:b/>
          <w:bCs/>
          <w:color w:val="auto"/>
        </w:rPr>
      </w:pPr>
      <w:bookmarkStart w:id="10" w:name="_Toc205045018"/>
      <w:r w:rsidRPr="00B57101">
        <w:rPr>
          <w:rFonts w:cs="Arial"/>
          <w:b/>
          <w:bCs/>
          <w:color w:val="auto"/>
        </w:rPr>
        <w:t>7.2 Skills</w:t>
      </w:r>
      <w:bookmarkEnd w:id="10"/>
    </w:p>
    <w:p w14:paraId="0A3BCCD1" w14:textId="3ED99890" w:rsidR="00ED1108" w:rsidRPr="00B57101" w:rsidRDefault="00ED1108" w:rsidP="00737DD0">
      <w:pPr>
        <w:jc w:val="both"/>
        <w:rPr>
          <w:rFonts w:cs="Arial"/>
          <w:szCs w:val="24"/>
        </w:rPr>
      </w:pPr>
      <w:r w:rsidRPr="00B57101">
        <w:rPr>
          <w:rFonts w:cs="Arial"/>
          <w:szCs w:val="24"/>
        </w:rPr>
        <w:t>The successful supplier should possess, or be able to access, the specialist knowledge, skills and expertise required to deliver this work.</w:t>
      </w:r>
    </w:p>
    <w:p w14:paraId="332D3290" w14:textId="77777777" w:rsidR="00ED1108" w:rsidRPr="00B57101" w:rsidRDefault="00ED1108" w:rsidP="00ED1108">
      <w:pPr>
        <w:jc w:val="both"/>
        <w:rPr>
          <w:rFonts w:cs="Arial"/>
          <w:szCs w:val="24"/>
        </w:rPr>
      </w:pPr>
      <w:r w:rsidRPr="00B57101">
        <w:rPr>
          <w:rFonts w:cs="Arial"/>
          <w:szCs w:val="24"/>
        </w:rPr>
        <w:t xml:space="preserve">This must include: </w:t>
      </w:r>
    </w:p>
    <w:p w14:paraId="67F98079" w14:textId="77777777" w:rsidR="00ED1108" w:rsidRPr="00B57101" w:rsidRDefault="00ED1108" w:rsidP="00ED1108">
      <w:pPr>
        <w:pStyle w:val="ListParagraph"/>
        <w:numPr>
          <w:ilvl w:val="0"/>
          <w:numId w:val="22"/>
        </w:numPr>
        <w:jc w:val="both"/>
        <w:rPr>
          <w:rFonts w:cs="Arial"/>
          <w:szCs w:val="24"/>
        </w:rPr>
      </w:pPr>
      <w:r w:rsidRPr="00B57101">
        <w:rPr>
          <w:rFonts w:cs="Arial"/>
          <w:szCs w:val="24"/>
        </w:rPr>
        <w:t>Experience in developing and implementing monitoring, evaluation systems and frameworks.</w:t>
      </w:r>
    </w:p>
    <w:p w14:paraId="69C28AB4" w14:textId="77777777" w:rsidR="00ED1108" w:rsidRPr="00B57101" w:rsidRDefault="00ED1108" w:rsidP="00ED1108">
      <w:pPr>
        <w:pStyle w:val="ListParagraph"/>
        <w:numPr>
          <w:ilvl w:val="0"/>
          <w:numId w:val="22"/>
        </w:numPr>
        <w:jc w:val="both"/>
        <w:rPr>
          <w:rFonts w:cs="Arial"/>
          <w:szCs w:val="24"/>
        </w:rPr>
      </w:pPr>
      <w:r w:rsidRPr="00B57101">
        <w:rPr>
          <w:rFonts w:cs="Arial"/>
          <w:szCs w:val="24"/>
        </w:rPr>
        <w:t>Experience of analysing monitoring, evaluation and impact assessment data to draw meaningful conclusions and reports.</w:t>
      </w:r>
    </w:p>
    <w:p w14:paraId="6750190B" w14:textId="77777777" w:rsidR="00ED1108" w:rsidRPr="00B57101" w:rsidRDefault="00ED1108" w:rsidP="00ED1108">
      <w:pPr>
        <w:pStyle w:val="ListParagraph"/>
        <w:numPr>
          <w:ilvl w:val="0"/>
          <w:numId w:val="22"/>
        </w:numPr>
        <w:jc w:val="both"/>
        <w:rPr>
          <w:rFonts w:cs="Arial"/>
          <w:szCs w:val="24"/>
        </w:rPr>
      </w:pPr>
      <w:r w:rsidRPr="00B57101">
        <w:rPr>
          <w:rFonts w:cs="Arial"/>
          <w:szCs w:val="24"/>
        </w:rPr>
        <w:t>Understanding of Theory of Change and the logic-model approach to evaluation.</w:t>
      </w:r>
    </w:p>
    <w:p w14:paraId="06DDAC4B" w14:textId="77777777" w:rsidR="00ED1108" w:rsidRPr="00B57101" w:rsidRDefault="00ED1108" w:rsidP="00ED1108">
      <w:pPr>
        <w:pStyle w:val="ListParagraph"/>
        <w:numPr>
          <w:ilvl w:val="0"/>
          <w:numId w:val="22"/>
        </w:numPr>
        <w:jc w:val="both"/>
        <w:rPr>
          <w:rFonts w:cs="Arial"/>
          <w:szCs w:val="24"/>
        </w:rPr>
      </w:pPr>
      <w:r w:rsidRPr="00B57101">
        <w:rPr>
          <w:rFonts w:cs="Arial"/>
          <w:szCs w:val="24"/>
        </w:rPr>
        <w:t>Knowledge of methodologies for evidence metrics in the creative and cultural sectors (collection, analysis and dissemination).</w:t>
      </w:r>
    </w:p>
    <w:p w14:paraId="01275EF0" w14:textId="77777777" w:rsidR="00ED1108" w:rsidRPr="00B57101" w:rsidRDefault="00ED1108" w:rsidP="00ED1108">
      <w:pPr>
        <w:pStyle w:val="ListParagraph"/>
        <w:numPr>
          <w:ilvl w:val="0"/>
          <w:numId w:val="22"/>
        </w:numPr>
        <w:jc w:val="both"/>
        <w:rPr>
          <w:rFonts w:cs="Arial"/>
          <w:szCs w:val="24"/>
        </w:rPr>
      </w:pPr>
      <w:r w:rsidRPr="00B57101">
        <w:rPr>
          <w:rFonts w:cs="Arial"/>
          <w:szCs w:val="24"/>
        </w:rPr>
        <w:t>Facilitation and consultation skills, including conducting purposeful interviews.</w:t>
      </w:r>
    </w:p>
    <w:p w14:paraId="5E71DEAC" w14:textId="77777777" w:rsidR="00ED1108" w:rsidRPr="00B57101" w:rsidRDefault="00ED1108" w:rsidP="00ED1108">
      <w:pPr>
        <w:pStyle w:val="ListParagraph"/>
        <w:numPr>
          <w:ilvl w:val="0"/>
          <w:numId w:val="22"/>
        </w:numPr>
        <w:jc w:val="both"/>
        <w:rPr>
          <w:rFonts w:cs="Arial"/>
          <w:szCs w:val="24"/>
        </w:rPr>
      </w:pPr>
      <w:r w:rsidRPr="00B57101">
        <w:rPr>
          <w:rFonts w:cs="Arial"/>
          <w:szCs w:val="24"/>
        </w:rPr>
        <w:t>Research and analytical skills.</w:t>
      </w:r>
    </w:p>
    <w:p w14:paraId="5178633F" w14:textId="77777777" w:rsidR="00ED1108" w:rsidRPr="00B57101" w:rsidRDefault="00ED1108" w:rsidP="00ED1108">
      <w:pPr>
        <w:pStyle w:val="ListParagraph"/>
        <w:numPr>
          <w:ilvl w:val="0"/>
          <w:numId w:val="22"/>
        </w:numPr>
        <w:jc w:val="both"/>
        <w:rPr>
          <w:rFonts w:cs="Arial"/>
          <w:szCs w:val="24"/>
        </w:rPr>
      </w:pPr>
      <w:r w:rsidRPr="00B57101">
        <w:rPr>
          <w:rFonts w:cs="Arial"/>
          <w:szCs w:val="24"/>
        </w:rPr>
        <w:t>Previous experience of supporting programmatic development.</w:t>
      </w:r>
    </w:p>
    <w:p w14:paraId="1284495F" w14:textId="77777777" w:rsidR="00ED1108" w:rsidRPr="00B57101" w:rsidRDefault="00ED1108" w:rsidP="00ED1108">
      <w:pPr>
        <w:pStyle w:val="ListParagraph"/>
        <w:numPr>
          <w:ilvl w:val="0"/>
          <w:numId w:val="22"/>
        </w:numPr>
        <w:jc w:val="both"/>
        <w:rPr>
          <w:rFonts w:cs="Arial"/>
          <w:szCs w:val="24"/>
        </w:rPr>
      </w:pPr>
      <w:r w:rsidRPr="00B57101">
        <w:rPr>
          <w:rFonts w:cs="Arial"/>
          <w:szCs w:val="24"/>
        </w:rPr>
        <w:t>Expertise in presenting complex data in a compelling manner.</w:t>
      </w:r>
    </w:p>
    <w:p w14:paraId="77FF810C" w14:textId="77777777" w:rsidR="00ED1108" w:rsidRPr="00B57101" w:rsidRDefault="00ED1108" w:rsidP="00ED1108">
      <w:pPr>
        <w:pStyle w:val="ListParagraph"/>
        <w:numPr>
          <w:ilvl w:val="0"/>
          <w:numId w:val="22"/>
        </w:numPr>
        <w:jc w:val="both"/>
        <w:rPr>
          <w:rFonts w:cs="Arial"/>
          <w:szCs w:val="24"/>
        </w:rPr>
      </w:pPr>
      <w:r w:rsidRPr="00B57101">
        <w:rPr>
          <w:rFonts w:cs="Arial"/>
          <w:szCs w:val="24"/>
        </w:rPr>
        <w:lastRenderedPageBreak/>
        <w:t>Knowledge of or a willingness to learn about the archive sector.</w:t>
      </w:r>
    </w:p>
    <w:p w14:paraId="3E713107" w14:textId="3E79A52E" w:rsidR="00ED1108" w:rsidRDefault="00ED1108" w:rsidP="00ED1108">
      <w:pPr>
        <w:pStyle w:val="ListParagraph"/>
        <w:numPr>
          <w:ilvl w:val="0"/>
          <w:numId w:val="22"/>
        </w:numPr>
        <w:jc w:val="both"/>
        <w:rPr>
          <w:rFonts w:cs="Arial"/>
          <w:szCs w:val="24"/>
        </w:rPr>
      </w:pPr>
      <w:r w:rsidRPr="00B57101">
        <w:rPr>
          <w:rFonts w:cs="Arial"/>
          <w:szCs w:val="24"/>
        </w:rPr>
        <w:t>Strong report writing, presentation writing and presentation delivery skills to engage a wide range of internal and external stakeholders.</w:t>
      </w:r>
    </w:p>
    <w:p w14:paraId="69B7D42A" w14:textId="77777777" w:rsidR="00B57101" w:rsidRPr="00B57101" w:rsidRDefault="00B57101" w:rsidP="00B57101">
      <w:pPr>
        <w:pStyle w:val="ListParagraph"/>
        <w:ind w:left="360"/>
        <w:jc w:val="both"/>
        <w:rPr>
          <w:rFonts w:cs="Arial"/>
          <w:szCs w:val="24"/>
        </w:rPr>
      </w:pPr>
    </w:p>
    <w:p w14:paraId="266BD626" w14:textId="4E5E2DF9" w:rsidR="00B57101" w:rsidRDefault="00B57101" w:rsidP="00B57101">
      <w:pPr>
        <w:pStyle w:val="Heading3"/>
        <w:rPr>
          <w:rFonts w:cs="Arial"/>
          <w:b/>
          <w:bCs/>
          <w:color w:val="auto"/>
        </w:rPr>
      </w:pPr>
      <w:bookmarkStart w:id="11" w:name="_Toc205045019"/>
      <w:r w:rsidRPr="00B57101">
        <w:rPr>
          <w:rFonts w:cs="Arial"/>
          <w:b/>
          <w:bCs/>
          <w:color w:val="auto"/>
        </w:rPr>
        <w:t>7.</w:t>
      </w:r>
      <w:r>
        <w:rPr>
          <w:rFonts w:cs="Arial"/>
          <w:b/>
          <w:bCs/>
          <w:color w:val="auto"/>
        </w:rPr>
        <w:t>3</w:t>
      </w:r>
      <w:r w:rsidRPr="00B57101">
        <w:rPr>
          <w:rFonts w:cs="Arial"/>
          <w:b/>
          <w:bCs/>
          <w:color w:val="auto"/>
        </w:rPr>
        <w:t xml:space="preserve"> </w:t>
      </w:r>
      <w:r>
        <w:rPr>
          <w:rFonts w:cs="Arial"/>
          <w:b/>
          <w:bCs/>
          <w:color w:val="auto"/>
        </w:rPr>
        <w:t>Our Values</w:t>
      </w:r>
      <w:bookmarkEnd w:id="11"/>
    </w:p>
    <w:p w14:paraId="5A2BB96E" w14:textId="7388AE02" w:rsidR="00B57101" w:rsidRDefault="00B57101" w:rsidP="00B57101">
      <w:r>
        <w:t>The Community Hub project will be offering funding and training to a wide range of stakeholders. This will include small cultural institutions, community heritage groups, and individual practitioners.</w:t>
      </w:r>
    </w:p>
    <w:p w14:paraId="0906322D" w14:textId="6E7CC134" w:rsidR="00B57101" w:rsidRDefault="00B57101" w:rsidP="00B57101">
      <w:r>
        <w:t>We recognise, as part of our funding practice, that these stakeholders often exist in resource-poor environments. Cultural institutions may have limited budgets, and community groups may be entirely volunteer-run and led. Individuals may be unwaged and/or in receipt of benefits.</w:t>
      </w:r>
    </w:p>
    <w:p w14:paraId="12605A14" w14:textId="0E131E64" w:rsidR="00B57101" w:rsidRDefault="00B57101" w:rsidP="00B57101">
      <w:r>
        <w:t>We also recognise that we are working with stakeholders who may have been traditionally excluded from cultural heritage programmes and funding. This may include stakeholders with protected characteristics as defined by the Equalities Act 2010, who may have been traditionally underrepresented in cultural heritage practice and collections, and/or who may have never applied for a grant or participated in a funded project.</w:t>
      </w:r>
    </w:p>
    <w:p w14:paraId="61C62BBD" w14:textId="5583566E" w:rsidR="00B57101" w:rsidRDefault="0087582A" w:rsidP="00B57101">
      <w:r>
        <w:t>O</w:t>
      </w:r>
      <w:r w:rsidR="00B57101">
        <w:t xml:space="preserve">ur programme has at its core </w:t>
      </w:r>
      <w:r w:rsidR="007A667E">
        <w:t xml:space="preserve">the value of </w:t>
      </w:r>
      <w:r w:rsidR="00B57101">
        <w:t xml:space="preserve">respect for </w:t>
      </w:r>
      <w:proofErr w:type="gramStart"/>
      <w:r w:rsidR="00B57101">
        <w:t>all of</w:t>
      </w:r>
      <w:proofErr w:type="gramEnd"/>
      <w:r w:rsidR="00B57101">
        <w:t xml:space="preserve"> our stakeholders, </w:t>
      </w:r>
      <w:r w:rsidR="007A667E">
        <w:t>including</w:t>
      </w:r>
      <w:r>
        <w:t xml:space="preserve"> </w:t>
      </w:r>
      <w:r w:rsidR="007A667E">
        <w:t>respect for their</w:t>
      </w:r>
      <w:r w:rsidR="00B57101">
        <w:t xml:space="preserve"> expertise and skills</w:t>
      </w:r>
      <w:r w:rsidR="007A667E">
        <w:t xml:space="preserve"> </w:t>
      </w:r>
      <w:r w:rsidR="00B57101">
        <w:t>in</w:t>
      </w:r>
      <w:r w:rsidR="007A667E">
        <w:t xml:space="preserve"> preserving,</w:t>
      </w:r>
      <w:r w:rsidR="00B57101">
        <w:t xml:space="preserve"> </w:t>
      </w:r>
      <w:r w:rsidR="007A667E">
        <w:t>managing and researching their own heritage. We are here to learn from them</w:t>
      </w:r>
      <w:r>
        <w:t>, as much as we are here to provide training and financial resource.</w:t>
      </w:r>
    </w:p>
    <w:p w14:paraId="14055189" w14:textId="77777777" w:rsidR="0087582A" w:rsidRDefault="007A667E" w:rsidP="00B57101">
      <w:r>
        <w:t xml:space="preserve">Any evaluation should place these values at its core, making clear how any evaluative activity including data collection is (a) proportional to the capacity of relevant stakeholders and (b) sensitive to the cultural contexts in which it is operating. </w:t>
      </w:r>
    </w:p>
    <w:p w14:paraId="4BD7FCF3" w14:textId="645AD378" w:rsidR="007A667E" w:rsidRPr="007A667E" w:rsidRDefault="007A667E" w:rsidP="00B57101">
      <w:r>
        <w:t xml:space="preserve">We would welcome submissions which engage with these values, for example by proposing capacity-building or training </w:t>
      </w:r>
      <w:r w:rsidR="0087582A">
        <w:t>with our stakeholders</w:t>
      </w:r>
      <w:r w:rsidR="0022183E">
        <w:t>;</w:t>
      </w:r>
      <w:r>
        <w:t xml:space="preserve"> or which use co-production</w:t>
      </w:r>
      <w:r w:rsidR="0087582A">
        <w:t xml:space="preserve"> / co-design</w:t>
      </w:r>
      <w:r>
        <w:t xml:space="preserve"> to determine evaluative methods </w:t>
      </w:r>
      <w:r w:rsidRPr="007A667E">
        <w:t>and measures</w:t>
      </w:r>
      <w:r w:rsidR="0022183E">
        <w:t>; or which can incorporate differing forms of data collection, e.g. through audio or video submissions from grantees</w:t>
      </w:r>
      <w:r w:rsidRPr="007A667E">
        <w:t>.</w:t>
      </w:r>
    </w:p>
    <w:p w14:paraId="06B162D3" w14:textId="77777777" w:rsidR="00E856E8" w:rsidRPr="007A667E" w:rsidRDefault="00E856E8" w:rsidP="00B76F90">
      <w:pPr>
        <w:jc w:val="both"/>
        <w:rPr>
          <w:rFonts w:cs="Arial"/>
          <w:szCs w:val="24"/>
        </w:rPr>
      </w:pPr>
    </w:p>
    <w:p w14:paraId="559E031A" w14:textId="24BBA24F" w:rsidR="00141C35" w:rsidRPr="007A667E" w:rsidRDefault="00A21339" w:rsidP="00630E43">
      <w:pPr>
        <w:pStyle w:val="Heading2"/>
        <w:rPr>
          <w:rFonts w:cs="Arial"/>
          <w:b/>
          <w:bCs/>
          <w:color w:val="1F4E79" w:themeColor="accent5" w:themeShade="80"/>
        </w:rPr>
      </w:pPr>
      <w:bookmarkStart w:id="12" w:name="_Toc205045020"/>
      <w:r w:rsidRPr="007A667E">
        <w:rPr>
          <w:rFonts w:cs="Arial"/>
          <w:b/>
          <w:bCs/>
          <w:color w:val="1F4E79" w:themeColor="accent5" w:themeShade="80"/>
        </w:rPr>
        <w:t>8</w:t>
      </w:r>
      <w:r w:rsidR="00630E43" w:rsidRPr="007A667E">
        <w:rPr>
          <w:rFonts w:cs="Arial"/>
          <w:b/>
          <w:bCs/>
          <w:color w:val="1F4E79" w:themeColor="accent5" w:themeShade="80"/>
        </w:rPr>
        <w:t xml:space="preserve">. </w:t>
      </w:r>
      <w:r w:rsidR="009A260C" w:rsidRPr="007A667E">
        <w:rPr>
          <w:rFonts w:cs="Arial"/>
          <w:b/>
          <w:bCs/>
          <w:color w:val="1F4E79" w:themeColor="accent5" w:themeShade="80"/>
        </w:rPr>
        <w:t>Contract Management</w:t>
      </w:r>
      <w:bookmarkEnd w:id="12"/>
      <w:r w:rsidR="009A260C" w:rsidRPr="007A667E">
        <w:rPr>
          <w:rFonts w:cs="Arial"/>
          <w:b/>
          <w:bCs/>
          <w:color w:val="1F4E79" w:themeColor="accent5" w:themeShade="80"/>
        </w:rPr>
        <w:t xml:space="preserve"> </w:t>
      </w:r>
    </w:p>
    <w:p w14:paraId="3EF8263F" w14:textId="04D1A141" w:rsidR="00A67238" w:rsidRPr="007A667E" w:rsidRDefault="00A21339" w:rsidP="00652D03">
      <w:pPr>
        <w:pStyle w:val="Heading3"/>
        <w:rPr>
          <w:rFonts w:cs="Arial"/>
          <w:b/>
          <w:bCs/>
          <w:color w:val="auto"/>
        </w:rPr>
      </w:pPr>
      <w:bookmarkStart w:id="13" w:name="_Toc205045021"/>
      <w:r w:rsidRPr="007A667E">
        <w:rPr>
          <w:rFonts w:cs="Arial"/>
          <w:b/>
          <w:bCs/>
          <w:color w:val="auto"/>
        </w:rPr>
        <w:t>8.1</w:t>
      </w:r>
      <w:r w:rsidR="00630E43" w:rsidRPr="007A667E">
        <w:rPr>
          <w:rFonts w:cs="Arial"/>
          <w:b/>
          <w:bCs/>
          <w:color w:val="auto"/>
        </w:rPr>
        <w:t xml:space="preserve"> </w:t>
      </w:r>
      <w:r w:rsidR="00A67238" w:rsidRPr="007A667E">
        <w:rPr>
          <w:rFonts w:cs="Arial"/>
          <w:b/>
          <w:bCs/>
          <w:color w:val="auto"/>
        </w:rPr>
        <w:t>Contract Details</w:t>
      </w:r>
      <w:bookmarkEnd w:id="13"/>
    </w:p>
    <w:p w14:paraId="091A4DDD" w14:textId="26D02B92" w:rsidR="007245E5" w:rsidRPr="007A667E" w:rsidRDefault="007245E5" w:rsidP="00B16510">
      <w:pPr>
        <w:jc w:val="both"/>
        <w:rPr>
          <w:rFonts w:cs="Arial"/>
          <w:szCs w:val="24"/>
        </w:rPr>
      </w:pPr>
      <w:r w:rsidRPr="007A667E">
        <w:rPr>
          <w:rFonts w:cs="Arial"/>
          <w:szCs w:val="24"/>
        </w:rPr>
        <w:t xml:space="preserve">The contract period will be from </w:t>
      </w:r>
      <w:r w:rsidR="001A389E">
        <w:rPr>
          <w:rFonts w:cs="Arial"/>
          <w:szCs w:val="24"/>
        </w:rPr>
        <w:t>December</w:t>
      </w:r>
      <w:r w:rsidR="000F2847" w:rsidRPr="007A667E">
        <w:rPr>
          <w:rFonts w:cs="Arial"/>
          <w:szCs w:val="24"/>
        </w:rPr>
        <w:t xml:space="preserve"> </w:t>
      </w:r>
      <w:r w:rsidRPr="007A667E">
        <w:rPr>
          <w:rFonts w:cs="Arial"/>
          <w:szCs w:val="24"/>
        </w:rPr>
        <w:t>202</w:t>
      </w:r>
      <w:r w:rsidR="000F2847" w:rsidRPr="007A667E">
        <w:rPr>
          <w:rFonts w:cs="Arial"/>
          <w:szCs w:val="24"/>
        </w:rPr>
        <w:t>5</w:t>
      </w:r>
      <w:r w:rsidRPr="007A667E">
        <w:rPr>
          <w:rFonts w:cs="Arial"/>
          <w:szCs w:val="24"/>
        </w:rPr>
        <w:t xml:space="preserve"> to the programme</w:t>
      </w:r>
      <w:r w:rsidR="00D42AD1" w:rsidRPr="007A667E">
        <w:rPr>
          <w:rFonts w:cs="Arial"/>
          <w:szCs w:val="24"/>
        </w:rPr>
        <w:t>’</w:t>
      </w:r>
      <w:r w:rsidRPr="007A667E">
        <w:rPr>
          <w:rFonts w:cs="Arial"/>
          <w:szCs w:val="24"/>
        </w:rPr>
        <w:t xml:space="preserve">s closure in </w:t>
      </w:r>
      <w:r w:rsidR="007A667E" w:rsidRPr="007A667E">
        <w:rPr>
          <w:rFonts w:cs="Arial"/>
          <w:szCs w:val="24"/>
        </w:rPr>
        <w:t>December 2027.</w:t>
      </w:r>
      <w:r w:rsidRPr="007A667E">
        <w:rPr>
          <w:rFonts w:cs="Arial"/>
          <w:szCs w:val="24"/>
        </w:rPr>
        <w:t xml:space="preserve"> </w:t>
      </w:r>
    </w:p>
    <w:p w14:paraId="037ADFA8" w14:textId="6CD34524" w:rsidR="007245E5" w:rsidRPr="007A667E" w:rsidRDefault="007245E5" w:rsidP="00B16510">
      <w:pPr>
        <w:jc w:val="both"/>
        <w:rPr>
          <w:rFonts w:cs="Arial"/>
          <w:szCs w:val="24"/>
        </w:rPr>
      </w:pPr>
      <w:r w:rsidRPr="007A667E">
        <w:rPr>
          <w:rFonts w:cs="Arial"/>
          <w:szCs w:val="24"/>
        </w:rPr>
        <w:t xml:space="preserve">The budget for evaluation will be </w:t>
      </w:r>
      <w:r w:rsidRPr="007A667E">
        <w:rPr>
          <w:rFonts w:cs="Arial"/>
          <w:b/>
          <w:bCs/>
          <w:szCs w:val="24"/>
        </w:rPr>
        <w:t>£</w:t>
      </w:r>
      <w:r w:rsidR="007A667E" w:rsidRPr="007A667E">
        <w:rPr>
          <w:rFonts w:cs="Arial"/>
          <w:b/>
          <w:bCs/>
          <w:szCs w:val="24"/>
        </w:rPr>
        <w:t>37,553</w:t>
      </w:r>
      <w:r w:rsidR="00D42AD1" w:rsidRPr="007A667E">
        <w:rPr>
          <w:rFonts w:cs="Arial"/>
          <w:szCs w:val="24"/>
        </w:rPr>
        <w:t xml:space="preserve"> </w:t>
      </w:r>
      <w:r w:rsidRPr="007A667E">
        <w:rPr>
          <w:rFonts w:cs="Arial"/>
          <w:szCs w:val="24"/>
        </w:rPr>
        <w:t xml:space="preserve">over the </w:t>
      </w:r>
      <w:r w:rsidR="007A667E" w:rsidRPr="007A667E">
        <w:rPr>
          <w:rFonts w:cs="Arial"/>
          <w:szCs w:val="24"/>
        </w:rPr>
        <w:t>2</w:t>
      </w:r>
      <w:r w:rsidR="0039718E">
        <w:rPr>
          <w:rFonts w:cs="Arial"/>
          <w:szCs w:val="24"/>
        </w:rPr>
        <w:t>4</w:t>
      </w:r>
      <w:r w:rsidR="007A667E" w:rsidRPr="007A667E">
        <w:rPr>
          <w:rFonts w:cs="Arial"/>
          <w:szCs w:val="24"/>
        </w:rPr>
        <w:t>-month</w:t>
      </w:r>
      <w:r w:rsidRPr="007A667E">
        <w:rPr>
          <w:rFonts w:cs="Arial"/>
          <w:szCs w:val="24"/>
        </w:rPr>
        <w:t xml:space="preserve"> period</w:t>
      </w:r>
      <w:r w:rsidR="00403B55" w:rsidRPr="007A667E">
        <w:rPr>
          <w:rFonts w:cs="Arial"/>
          <w:szCs w:val="24"/>
        </w:rPr>
        <w:t xml:space="preserve"> inclusive of VAT, </w:t>
      </w:r>
      <w:r w:rsidR="00FE54D4" w:rsidRPr="007A667E">
        <w:rPr>
          <w:rFonts w:cs="Arial"/>
          <w:szCs w:val="24"/>
        </w:rPr>
        <w:t>travel and all other expenses.</w:t>
      </w:r>
    </w:p>
    <w:p w14:paraId="6192895F" w14:textId="18051C41" w:rsidR="007245E5" w:rsidRPr="007A667E" w:rsidRDefault="007245E5" w:rsidP="00B16510">
      <w:pPr>
        <w:jc w:val="both"/>
        <w:rPr>
          <w:rFonts w:cs="Arial"/>
          <w:szCs w:val="24"/>
        </w:rPr>
      </w:pPr>
      <w:r w:rsidRPr="007A667E">
        <w:rPr>
          <w:rFonts w:cs="Arial"/>
          <w:szCs w:val="24"/>
        </w:rPr>
        <w:lastRenderedPageBreak/>
        <w:t xml:space="preserve">The </w:t>
      </w:r>
      <w:r w:rsidR="00D42AD1" w:rsidRPr="007A667E">
        <w:rPr>
          <w:rFonts w:cs="Arial"/>
          <w:szCs w:val="24"/>
        </w:rPr>
        <w:t>day-to-day</w:t>
      </w:r>
      <w:r w:rsidRPr="007A667E">
        <w:rPr>
          <w:rFonts w:cs="Arial"/>
          <w:szCs w:val="24"/>
        </w:rPr>
        <w:t xml:space="preserve"> management of the evaluation will be led by The National Archives, with the appointed organisation also having accountability to partner</w:t>
      </w:r>
      <w:r w:rsidR="007A667E" w:rsidRPr="007A667E">
        <w:rPr>
          <w:rFonts w:cs="Arial"/>
          <w:szCs w:val="24"/>
        </w:rPr>
        <w:t>s and to the Arts and Humanities Research Council as the programme’s funder.</w:t>
      </w:r>
    </w:p>
    <w:p w14:paraId="7E96950E" w14:textId="010906E1" w:rsidR="007245E5" w:rsidRPr="007A667E" w:rsidRDefault="007245E5" w:rsidP="00B16510">
      <w:pPr>
        <w:jc w:val="both"/>
        <w:rPr>
          <w:rFonts w:cs="Arial"/>
          <w:szCs w:val="24"/>
        </w:rPr>
      </w:pPr>
      <w:r w:rsidRPr="007A667E">
        <w:rPr>
          <w:rFonts w:cs="Arial"/>
          <w:szCs w:val="24"/>
        </w:rPr>
        <w:t xml:space="preserve">Payments </w:t>
      </w:r>
      <w:r w:rsidR="00A21339" w:rsidRPr="007A667E">
        <w:rPr>
          <w:rFonts w:cs="Arial"/>
          <w:szCs w:val="24"/>
        </w:rPr>
        <w:t>may</w:t>
      </w:r>
      <w:r w:rsidRPr="007A667E">
        <w:rPr>
          <w:rFonts w:cs="Arial"/>
          <w:szCs w:val="24"/>
        </w:rPr>
        <w:t xml:space="preserve"> be linked to milestone delivery, </w:t>
      </w:r>
      <w:r w:rsidR="00A21339" w:rsidRPr="007A667E">
        <w:rPr>
          <w:rFonts w:cs="Arial"/>
          <w:szCs w:val="24"/>
        </w:rPr>
        <w:t>and an indicative payment schedule is included below</w:t>
      </w:r>
      <w:r w:rsidR="00B47558" w:rsidRPr="007A667E">
        <w:rPr>
          <w:rFonts w:cs="Arial"/>
          <w:szCs w:val="24"/>
        </w:rPr>
        <w:t xml:space="preserve"> – however, we are open to additional payment stages or other payment schedules,</w:t>
      </w:r>
      <w:r w:rsidR="00A21339" w:rsidRPr="007A667E">
        <w:rPr>
          <w:rFonts w:cs="Arial"/>
          <w:szCs w:val="24"/>
        </w:rPr>
        <w:t xml:space="preserve"> subject to negotiation with the chosen supplier</w:t>
      </w:r>
      <w:r w:rsidRPr="007A667E">
        <w:rPr>
          <w:rFonts w:cs="Arial"/>
          <w:szCs w:val="24"/>
        </w:rPr>
        <w:t>:</w:t>
      </w:r>
    </w:p>
    <w:p w14:paraId="383D840F" w14:textId="3B765CA0" w:rsidR="00A21339" w:rsidRPr="007A667E" w:rsidRDefault="00A21339" w:rsidP="00737DD0">
      <w:pPr>
        <w:pStyle w:val="ListParagraph"/>
        <w:numPr>
          <w:ilvl w:val="0"/>
          <w:numId w:val="38"/>
        </w:numPr>
        <w:spacing w:after="80"/>
        <w:ind w:left="714" w:hanging="357"/>
        <w:contextualSpacing w:val="0"/>
        <w:jc w:val="both"/>
        <w:rPr>
          <w:rFonts w:cs="Arial"/>
          <w:szCs w:val="24"/>
        </w:rPr>
      </w:pPr>
      <w:r w:rsidRPr="007A667E">
        <w:rPr>
          <w:rFonts w:cs="Arial"/>
          <w:szCs w:val="24"/>
        </w:rPr>
        <w:t>Contract signature – 10% contract value (</w:t>
      </w:r>
      <w:r w:rsidR="0039718E">
        <w:rPr>
          <w:rFonts w:cs="Arial"/>
          <w:szCs w:val="24"/>
        </w:rPr>
        <w:t>Dec</w:t>
      </w:r>
      <w:r w:rsidR="007A667E" w:rsidRPr="007A667E">
        <w:rPr>
          <w:rFonts w:cs="Arial"/>
          <w:szCs w:val="24"/>
        </w:rPr>
        <w:t>ember</w:t>
      </w:r>
      <w:r w:rsidR="000F2847" w:rsidRPr="007A667E">
        <w:rPr>
          <w:rFonts w:cs="Arial"/>
          <w:szCs w:val="24"/>
        </w:rPr>
        <w:t xml:space="preserve"> </w:t>
      </w:r>
      <w:r w:rsidRPr="007A667E">
        <w:rPr>
          <w:rFonts w:cs="Arial"/>
          <w:szCs w:val="24"/>
        </w:rPr>
        <w:t>202</w:t>
      </w:r>
      <w:r w:rsidR="007A667E" w:rsidRPr="007A667E">
        <w:rPr>
          <w:rFonts w:cs="Arial"/>
          <w:szCs w:val="24"/>
        </w:rPr>
        <w:t>5</w:t>
      </w:r>
      <w:r w:rsidRPr="007A667E">
        <w:rPr>
          <w:rFonts w:cs="Arial"/>
          <w:szCs w:val="24"/>
        </w:rPr>
        <w:t>)</w:t>
      </w:r>
    </w:p>
    <w:p w14:paraId="7F5455F3" w14:textId="1585E67B" w:rsidR="007245E5" w:rsidRPr="007A667E" w:rsidRDefault="007245E5" w:rsidP="00737DD0">
      <w:pPr>
        <w:pStyle w:val="ListParagraph"/>
        <w:numPr>
          <w:ilvl w:val="0"/>
          <w:numId w:val="38"/>
        </w:numPr>
        <w:spacing w:after="80"/>
        <w:ind w:left="714" w:hanging="357"/>
        <w:contextualSpacing w:val="0"/>
        <w:jc w:val="both"/>
        <w:rPr>
          <w:rFonts w:cs="Arial"/>
          <w:szCs w:val="24"/>
        </w:rPr>
      </w:pPr>
      <w:r w:rsidRPr="007A667E">
        <w:rPr>
          <w:rFonts w:cs="Arial"/>
          <w:szCs w:val="24"/>
        </w:rPr>
        <w:t>Client approval of the monitoring and evaluation framework</w:t>
      </w:r>
      <w:r w:rsidR="00A21339" w:rsidRPr="007A667E">
        <w:rPr>
          <w:rFonts w:cs="Arial"/>
          <w:szCs w:val="24"/>
        </w:rPr>
        <w:t xml:space="preserve"> and baseline report</w:t>
      </w:r>
      <w:r w:rsidRPr="007A667E">
        <w:rPr>
          <w:rFonts w:cs="Arial"/>
          <w:szCs w:val="24"/>
        </w:rPr>
        <w:t xml:space="preserve"> – </w:t>
      </w:r>
      <w:r w:rsidR="00A21339" w:rsidRPr="007A667E">
        <w:rPr>
          <w:rFonts w:cs="Arial"/>
          <w:szCs w:val="24"/>
        </w:rPr>
        <w:t>3</w:t>
      </w:r>
      <w:r w:rsidR="00D3336E" w:rsidRPr="007A667E">
        <w:rPr>
          <w:rFonts w:cs="Arial"/>
          <w:szCs w:val="24"/>
        </w:rPr>
        <w:t>0</w:t>
      </w:r>
      <w:r w:rsidRPr="007A667E">
        <w:rPr>
          <w:rFonts w:cs="Arial"/>
          <w:szCs w:val="24"/>
        </w:rPr>
        <w:t>% contract value (</w:t>
      </w:r>
      <w:r w:rsidR="00A21339" w:rsidRPr="007A667E">
        <w:rPr>
          <w:rFonts w:cs="Arial"/>
          <w:szCs w:val="24"/>
        </w:rPr>
        <w:t>March 202</w:t>
      </w:r>
      <w:r w:rsidR="007A667E" w:rsidRPr="007A667E">
        <w:rPr>
          <w:rFonts w:cs="Arial"/>
          <w:szCs w:val="24"/>
        </w:rPr>
        <w:t>6</w:t>
      </w:r>
      <w:r w:rsidR="00A21339" w:rsidRPr="007A667E">
        <w:rPr>
          <w:rFonts w:cs="Arial"/>
          <w:szCs w:val="24"/>
        </w:rPr>
        <w:t>)</w:t>
      </w:r>
    </w:p>
    <w:p w14:paraId="7C1E89A4" w14:textId="689A4494" w:rsidR="007245E5" w:rsidRPr="007A667E" w:rsidRDefault="007245E5" w:rsidP="00737DD0">
      <w:pPr>
        <w:pStyle w:val="ListParagraph"/>
        <w:numPr>
          <w:ilvl w:val="0"/>
          <w:numId w:val="38"/>
        </w:numPr>
        <w:spacing w:after="80"/>
        <w:ind w:left="714" w:hanging="357"/>
        <w:contextualSpacing w:val="0"/>
        <w:jc w:val="both"/>
        <w:rPr>
          <w:rFonts w:cs="Arial"/>
          <w:szCs w:val="24"/>
        </w:rPr>
      </w:pPr>
      <w:r w:rsidRPr="007A667E">
        <w:rPr>
          <w:rFonts w:cs="Arial"/>
          <w:szCs w:val="24"/>
        </w:rPr>
        <w:t>Delivery of a client</w:t>
      </w:r>
      <w:r w:rsidR="00D42AD1" w:rsidRPr="007A667E">
        <w:rPr>
          <w:rFonts w:cs="Arial"/>
          <w:szCs w:val="24"/>
        </w:rPr>
        <w:t>-</w:t>
      </w:r>
      <w:r w:rsidRPr="007A667E">
        <w:rPr>
          <w:rFonts w:cs="Arial"/>
          <w:szCs w:val="24"/>
        </w:rPr>
        <w:t>approved mid-term report – 2</w:t>
      </w:r>
      <w:r w:rsidR="00A21339" w:rsidRPr="007A667E">
        <w:rPr>
          <w:rFonts w:cs="Arial"/>
          <w:szCs w:val="24"/>
        </w:rPr>
        <w:t>5</w:t>
      </w:r>
      <w:r w:rsidRPr="007A667E">
        <w:rPr>
          <w:rFonts w:cs="Arial"/>
          <w:szCs w:val="24"/>
        </w:rPr>
        <w:t>% contract value (</w:t>
      </w:r>
      <w:r w:rsidR="007A667E" w:rsidRPr="007A667E">
        <w:rPr>
          <w:rFonts w:cs="Arial"/>
          <w:szCs w:val="24"/>
        </w:rPr>
        <w:t>December</w:t>
      </w:r>
      <w:r w:rsidRPr="007A667E">
        <w:rPr>
          <w:rFonts w:cs="Arial"/>
          <w:szCs w:val="24"/>
        </w:rPr>
        <w:t xml:space="preserve"> 202</w:t>
      </w:r>
      <w:r w:rsidR="007A667E" w:rsidRPr="007A667E">
        <w:rPr>
          <w:rFonts w:cs="Arial"/>
          <w:szCs w:val="24"/>
        </w:rPr>
        <w:t>6</w:t>
      </w:r>
      <w:r w:rsidRPr="007A667E">
        <w:rPr>
          <w:rFonts w:cs="Arial"/>
          <w:szCs w:val="24"/>
        </w:rPr>
        <w:t>)</w:t>
      </w:r>
    </w:p>
    <w:p w14:paraId="0481E23B" w14:textId="6AFD7AFA" w:rsidR="007245E5" w:rsidRPr="007A667E" w:rsidRDefault="007245E5" w:rsidP="00737DD0">
      <w:pPr>
        <w:pStyle w:val="ListParagraph"/>
        <w:numPr>
          <w:ilvl w:val="0"/>
          <w:numId w:val="38"/>
        </w:numPr>
        <w:spacing w:after="80"/>
        <w:ind w:left="714" w:hanging="357"/>
        <w:contextualSpacing w:val="0"/>
        <w:jc w:val="both"/>
        <w:rPr>
          <w:rFonts w:cs="Arial"/>
          <w:szCs w:val="24"/>
        </w:rPr>
      </w:pPr>
      <w:r w:rsidRPr="007A667E">
        <w:rPr>
          <w:rFonts w:cs="Arial"/>
          <w:szCs w:val="24"/>
        </w:rPr>
        <w:t>Delivery of a client</w:t>
      </w:r>
      <w:r w:rsidR="00D42AD1" w:rsidRPr="007A667E">
        <w:rPr>
          <w:rFonts w:cs="Arial"/>
          <w:szCs w:val="24"/>
        </w:rPr>
        <w:t>-</w:t>
      </w:r>
      <w:r w:rsidRPr="007A667E">
        <w:rPr>
          <w:rFonts w:cs="Arial"/>
          <w:szCs w:val="24"/>
        </w:rPr>
        <w:t xml:space="preserve">approved final report – </w:t>
      </w:r>
      <w:r w:rsidR="00A21339" w:rsidRPr="007A667E">
        <w:rPr>
          <w:rFonts w:cs="Arial"/>
          <w:szCs w:val="24"/>
        </w:rPr>
        <w:t>3</w:t>
      </w:r>
      <w:r w:rsidR="00A63DBC" w:rsidRPr="007A667E">
        <w:rPr>
          <w:rFonts w:cs="Arial"/>
          <w:szCs w:val="24"/>
        </w:rPr>
        <w:t>5</w:t>
      </w:r>
      <w:r w:rsidRPr="007A667E">
        <w:rPr>
          <w:rFonts w:cs="Arial"/>
          <w:szCs w:val="24"/>
        </w:rPr>
        <w:t>% contract value (</w:t>
      </w:r>
      <w:r w:rsidR="007375F3">
        <w:rPr>
          <w:rFonts w:cs="Arial"/>
          <w:szCs w:val="24"/>
        </w:rPr>
        <w:t>De</w:t>
      </w:r>
      <w:r w:rsidR="007375F3" w:rsidRPr="007A667E">
        <w:rPr>
          <w:rFonts w:cs="Arial"/>
          <w:szCs w:val="24"/>
        </w:rPr>
        <w:t>cember</w:t>
      </w:r>
      <w:r w:rsidRPr="007A667E">
        <w:rPr>
          <w:rFonts w:cs="Arial"/>
          <w:szCs w:val="24"/>
        </w:rPr>
        <w:t xml:space="preserve"> 202</w:t>
      </w:r>
      <w:r w:rsidR="007A667E" w:rsidRPr="007A667E">
        <w:rPr>
          <w:rFonts w:cs="Arial"/>
          <w:szCs w:val="24"/>
        </w:rPr>
        <w:t>7</w:t>
      </w:r>
      <w:r w:rsidRPr="007A667E">
        <w:rPr>
          <w:rFonts w:cs="Arial"/>
          <w:szCs w:val="24"/>
        </w:rPr>
        <w:t xml:space="preserve">) </w:t>
      </w:r>
    </w:p>
    <w:p w14:paraId="7FE2E4C1" w14:textId="77777777" w:rsidR="00B76F90" w:rsidRPr="007A667E" w:rsidRDefault="00B76F90" w:rsidP="00B76F90">
      <w:pPr>
        <w:pStyle w:val="ListParagraph"/>
        <w:jc w:val="both"/>
        <w:rPr>
          <w:rFonts w:cs="Arial"/>
          <w:szCs w:val="24"/>
        </w:rPr>
      </w:pPr>
    </w:p>
    <w:p w14:paraId="4EE397D9" w14:textId="157DB2F8" w:rsidR="00A67238" w:rsidRPr="007A667E" w:rsidRDefault="000873F9" w:rsidP="00652D03">
      <w:pPr>
        <w:pStyle w:val="Heading3"/>
        <w:rPr>
          <w:rFonts w:cs="Arial"/>
          <w:b/>
          <w:bCs/>
          <w:color w:val="auto"/>
        </w:rPr>
      </w:pPr>
      <w:bookmarkStart w:id="14" w:name="_Toc205045022"/>
      <w:r w:rsidRPr="007A667E">
        <w:rPr>
          <w:rFonts w:cs="Arial"/>
          <w:b/>
          <w:bCs/>
          <w:color w:val="auto"/>
        </w:rPr>
        <w:t>8</w:t>
      </w:r>
      <w:r w:rsidR="00652D03" w:rsidRPr="007A667E">
        <w:rPr>
          <w:rFonts w:cs="Arial"/>
          <w:b/>
          <w:bCs/>
          <w:color w:val="auto"/>
        </w:rPr>
        <w:t xml:space="preserve">.2 </w:t>
      </w:r>
      <w:r w:rsidR="00A67238" w:rsidRPr="007A667E">
        <w:rPr>
          <w:rFonts w:cs="Arial"/>
          <w:b/>
          <w:bCs/>
          <w:color w:val="auto"/>
        </w:rPr>
        <w:t>How to respond</w:t>
      </w:r>
      <w:bookmarkEnd w:id="14"/>
    </w:p>
    <w:p w14:paraId="6D4543C4" w14:textId="6F972C60" w:rsidR="00A67238" w:rsidRPr="007A667E" w:rsidRDefault="00A67238" w:rsidP="127F171C">
      <w:pPr>
        <w:jc w:val="both"/>
        <w:rPr>
          <w:rFonts w:cs="Arial"/>
        </w:rPr>
      </w:pPr>
      <w:r w:rsidRPr="127F171C">
        <w:rPr>
          <w:rFonts w:cs="Arial"/>
        </w:rPr>
        <w:t xml:space="preserve">If you have any clarification questions related to your Tender Response, please submit these to </w:t>
      </w:r>
      <w:hyperlink r:id="rId34">
        <w:r w:rsidRPr="127F171C">
          <w:rPr>
            <w:rStyle w:val="Hyperlink"/>
            <w:rFonts w:cs="Arial"/>
          </w:rPr>
          <w:t>procurement@nationalarchives.gov.uk</w:t>
        </w:r>
      </w:hyperlink>
      <w:r w:rsidRPr="127F171C">
        <w:rPr>
          <w:rFonts w:cs="Arial"/>
        </w:rPr>
        <w:t xml:space="preserve"> by </w:t>
      </w:r>
      <w:r w:rsidR="43AD574C" w:rsidRPr="127F171C">
        <w:rPr>
          <w:rFonts w:cs="Arial"/>
          <w:b/>
          <w:bCs/>
        </w:rPr>
        <w:t>5pm, Wednesday 1</w:t>
      </w:r>
      <w:r w:rsidR="43AD574C" w:rsidRPr="127F171C">
        <w:rPr>
          <w:rFonts w:cs="Arial"/>
          <w:b/>
          <w:bCs/>
          <w:vertAlign w:val="superscript"/>
        </w:rPr>
        <w:t>st</w:t>
      </w:r>
      <w:r w:rsidR="43AD574C" w:rsidRPr="127F171C">
        <w:rPr>
          <w:rFonts w:cs="Arial"/>
          <w:b/>
          <w:bCs/>
        </w:rPr>
        <w:t xml:space="preserve"> October</w:t>
      </w:r>
      <w:r w:rsidR="007A667E" w:rsidRPr="127F171C">
        <w:rPr>
          <w:rFonts w:cs="Arial"/>
        </w:rPr>
        <w:t>.</w:t>
      </w:r>
    </w:p>
    <w:p w14:paraId="1D9BA964" w14:textId="1F339D71" w:rsidR="00A67238" w:rsidRPr="007A667E" w:rsidRDefault="007375F3" w:rsidP="127F171C">
      <w:pPr>
        <w:jc w:val="both"/>
        <w:rPr>
          <w:rFonts w:cs="Arial"/>
        </w:rPr>
      </w:pPr>
      <w:r>
        <w:rPr>
          <w:rFonts w:cs="Arial"/>
        </w:rPr>
        <w:t>Please</w:t>
      </w:r>
      <w:r w:rsidR="00A67238" w:rsidRPr="127F171C">
        <w:rPr>
          <w:rFonts w:cs="Arial"/>
        </w:rPr>
        <w:t xml:space="preserve"> submit </w:t>
      </w:r>
      <w:r w:rsidRPr="000F2847">
        <w:rPr>
          <w:rFonts w:cs="Arial"/>
          <w:szCs w:val="24"/>
        </w:rPr>
        <w:t>your</w:t>
      </w:r>
      <w:r w:rsidR="00A67238" w:rsidRPr="127F171C">
        <w:rPr>
          <w:rFonts w:cs="Arial"/>
        </w:rPr>
        <w:t xml:space="preserve"> Tender Response</w:t>
      </w:r>
      <w:r>
        <w:rPr>
          <w:rFonts w:cs="Arial"/>
        </w:rPr>
        <w:t xml:space="preserve"> to </w:t>
      </w:r>
      <w:hyperlink r:id="rId35">
        <w:r w:rsidRPr="127F171C">
          <w:rPr>
            <w:rStyle w:val="Hyperlink"/>
            <w:rFonts w:cs="Arial"/>
          </w:rPr>
          <w:t>procurement@nationalarchives.gov.uk</w:t>
        </w:r>
      </w:hyperlink>
      <w:r>
        <w:rPr>
          <w:rFonts w:cs="Arial"/>
        </w:rPr>
        <w:t xml:space="preserve"> </w:t>
      </w:r>
      <w:r w:rsidR="00A67238" w:rsidRPr="127F171C">
        <w:rPr>
          <w:rFonts w:cs="Arial"/>
        </w:rPr>
        <w:t xml:space="preserve">by </w:t>
      </w:r>
      <w:r w:rsidR="7B525D74" w:rsidRPr="127F171C">
        <w:rPr>
          <w:rFonts w:cs="Arial"/>
          <w:b/>
          <w:bCs/>
        </w:rPr>
        <w:t>5pm, Friday 24</w:t>
      </w:r>
      <w:r w:rsidR="7B525D74" w:rsidRPr="127F171C">
        <w:rPr>
          <w:rFonts w:cs="Arial"/>
          <w:b/>
          <w:bCs/>
          <w:vertAlign w:val="superscript"/>
        </w:rPr>
        <w:t>th</w:t>
      </w:r>
      <w:r w:rsidR="7B525D74" w:rsidRPr="127F171C">
        <w:rPr>
          <w:rFonts w:cs="Arial"/>
          <w:b/>
          <w:bCs/>
        </w:rPr>
        <w:t xml:space="preserve"> October</w:t>
      </w:r>
      <w:r w:rsidR="007A667E" w:rsidRPr="127F171C">
        <w:rPr>
          <w:rFonts w:cs="Arial"/>
        </w:rPr>
        <w:t>.</w:t>
      </w:r>
      <w:r w:rsidR="00A67238" w:rsidRPr="127F171C">
        <w:rPr>
          <w:rFonts w:cs="Arial"/>
        </w:rPr>
        <w:t xml:space="preserve"> </w:t>
      </w:r>
    </w:p>
    <w:p w14:paraId="5F26602D" w14:textId="47322773" w:rsidR="0073412D" w:rsidRPr="007A667E" w:rsidRDefault="00A67238" w:rsidP="00B16510">
      <w:pPr>
        <w:jc w:val="both"/>
        <w:rPr>
          <w:rFonts w:cs="Arial"/>
          <w:szCs w:val="24"/>
        </w:rPr>
      </w:pPr>
      <w:r w:rsidRPr="007A667E">
        <w:rPr>
          <w:rFonts w:cs="Arial"/>
          <w:szCs w:val="24"/>
        </w:rPr>
        <w:t>It is for you to determine what format your Tender Response should take</w:t>
      </w:r>
      <w:r w:rsidR="00AE4B09" w:rsidRPr="007A667E">
        <w:rPr>
          <w:rFonts w:cs="Arial"/>
          <w:szCs w:val="24"/>
        </w:rPr>
        <w:t>,</w:t>
      </w:r>
      <w:r w:rsidRPr="007A667E">
        <w:rPr>
          <w:rFonts w:cs="Arial"/>
          <w:szCs w:val="24"/>
        </w:rPr>
        <w:t xml:space="preserve"> </w:t>
      </w:r>
      <w:proofErr w:type="gramStart"/>
      <w:r w:rsidRPr="007A667E">
        <w:rPr>
          <w:rFonts w:cs="Arial"/>
          <w:szCs w:val="24"/>
        </w:rPr>
        <w:t>so as to</w:t>
      </w:r>
      <w:proofErr w:type="gramEnd"/>
      <w:r w:rsidRPr="007A667E">
        <w:rPr>
          <w:rFonts w:cs="Arial"/>
          <w:szCs w:val="24"/>
        </w:rPr>
        <w:t xml:space="preserve"> describe your offer in a clear, comprehensive fashion. However please ensure </w:t>
      </w:r>
      <w:r w:rsidR="00AE4B09" w:rsidRPr="007A667E">
        <w:rPr>
          <w:rFonts w:cs="Arial"/>
          <w:szCs w:val="24"/>
        </w:rPr>
        <w:t xml:space="preserve">that </w:t>
      </w:r>
      <w:r w:rsidRPr="007A667E">
        <w:rPr>
          <w:rFonts w:cs="Arial"/>
          <w:szCs w:val="24"/>
        </w:rPr>
        <w:t>your Tender Re</w:t>
      </w:r>
      <w:r w:rsidR="0073412D" w:rsidRPr="007A667E">
        <w:rPr>
          <w:rFonts w:cs="Arial"/>
          <w:szCs w:val="24"/>
        </w:rPr>
        <w:t>sponse</w:t>
      </w:r>
      <w:r w:rsidRPr="007A667E">
        <w:rPr>
          <w:rFonts w:cs="Arial"/>
          <w:szCs w:val="24"/>
        </w:rPr>
        <w:t xml:space="preserve"> includes the following as a minimum: </w:t>
      </w:r>
    </w:p>
    <w:p w14:paraId="294AA9D0" w14:textId="15461429" w:rsidR="00A21339" w:rsidRPr="007A667E" w:rsidRDefault="00A21339" w:rsidP="000873F9">
      <w:pPr>
        <w:pStyle w:val="ListParagraph"/>
        <w:numPr>
          <w:ilvl w:val="0"/>
          <w:numId w:val="16"/>
        </w:numPr>
        <w:spacing w:after="80"/>
        <w:ind w:left="357" w:hanging="357"/>
        <w:contextualSpacing w:val="0"/>
        <w:jc w:val="both"/>
        <w:rPr>
          <w:rFonts w:cs="Arial"/>
          <w:szCs w:val="24"/>
        </w:rPr>
      </w:pPr>
      <w:r w:rsidRPr="007A667E">
        <w:rPr>
          <w:rFonts w:cs="Arial"/>
          <w:b/>
          <w:bCs/>
          <w:szCs w:val="24"/>
        </w:rPr>
        <w:t>Methodology and timeframe</w:t>
      </w:r>
      <w:r w:rsidRPr="007A667E">
        <w:rPr>
          <w:rFonts w:cs="Arial"/>
          <w:szCs w:val="24"/>
        </w:rPr>
        <w:t>: provide a project proposal outlining in detail the approach, methodology and timeframe you would propose to deliver this project and engage with the internal project team.</w:t>
      </w:r>
    </w:p>
    <w:p w14:paraId="4BF2F278" w14:textId="179412C9" w:rsidR="0073412D" w:rsidRPr="007A667E" w:rsidRDefault="00A21339" w:rsidP="000873F9">
      <w:pPr>
        <w:pStyle w:val="ListParagraph"/>
        <w:numPr>
          <w:ilvl w:val="0"/>
          <w:numId w:val="16"/>
        </w:numPr>
        <w:spacing w:after="80"/>
        <w:ind w:left="357" w:hanging="357"/>
        <w:contextualSpacing w:val="0"/>
        <w:jc w:val="both"/>
        <w:rPr>
          <w:rFonts w:cs="Arial"/>
          <w:szCs w:val="24"/>
        </w:rPr>
      </w:pPr>
      <w:r w:rsidRPr="007A667E">
        <w:rPr>
          <w:rFonts w:cs="Arial"/>
          <w:b/>
          <w:bCs/>
          <w:szCs w:val="24"/>
        </w:rPr>
        <w:t>Team composition</w:t>
      </w:r>
      <w:r w:rsidRPr="007A667E">
        <w:rPr>
          <w:rFonts w:cs="Arial"/>
          <w:szCs w:val="24"/>
        </w:rPr>
        <w:t>: p</w:t>
      </w:r>
      <w:r w:rsidR="00A67238" w:rsidRPr="007A667E">
        <w:rPr>
          <w:rFonts w:cs="Arial"/>
          <w:szCs w:val="24"/>
        </w:rPr>
        <w:t>lease explain your experience in providing similar services</w:t>
      </w:r>
      <w:r w:rsidR="00FE5C41" w:rsidRPr="007A667E">
        <w:rPr>
          <w:rFonts w:cs="Arial"/>
          <w:szCs w:val="24"/>
        </w:rPr>
        <w:t xml:space="preserve"> and provide at least two examples of </w:t>
      </w:r>
      <w:r w:rsidR="00FE57C3" w:rsidRPr="007A667E">
        <w:rPr>
          <w:rFonts w:cs="Arial"/>
          <w:szCs w:val="24"/>
        </w:rPr>
        <w:t>recent outputs and evaluation reports</w:t>
      </w:r>
      <w:r w:rsidR="00E06768" w:rsidRPr="007A667E">
        <w:rPr>
          <w:rFonts w:cs="Arial"/>
          <w:szCs w:val="24"/>
        </w:rPr>
        <w:t>.</w:t>
      </w:r>
      <w:r w:rsidR="006C5B86" w:rsidRPr="007A667E">
        <w:rPr>
          <w:rFonts w:cs="Arial"/>
          <w:szCs w:val="24"/>
        </w:rPr>
        <w:t xml:space="preserve"> These will only be used for assessing suppliers as part of the evaluation process.</w:t>
      </w:r>
    </w:p>
    <w:p w14:paraId="11387BBD" w14:textId="2EC1CC04" w:rsidR="0073412D" w:rsidRPr="007A667E" w:rsidRDefault="00A21339" w:rsidP="000873F9">
      <w:pPr>
        <w:pStyle w:val="ListParagraph"/>
        <w:numPr>
          <w:ilvl w:val="0"/>
          <w:numId w:val="16"/>
        </w:numPr>
        <w:spacing w:after="80"/>
        <w:ind w:left="357" w:hanging="357"/>
        <w:contextualSpacing w:val="0"/>
        <w:jc w:val="both"/>
        <w:rPr>
          <w:rFonts w:cs="Arial"/>
          <w:szCs w:val="24"/>
        </w:rPr>
      </w:pPr>
      <w:r w:rsidRPr="007A667E">
        <w:rPr>
          <w:rFonts w:cs="Arial"/>
          <w:b/>
          <w:bCs/>
          <w:szCs w:val="24"/>
        </w:rPr>
        <w:t>Experience</w:t>
      </w:r>
      <w:r w:rsidRPr="007A667E">
        <w:rPr>
          <w:rFonts w:cs="Arial"/>
          <w:szCs w:val="24"/>
        </w:rPr>
        <w:t>: p</w:t>
      </w:r>
      <w:r w:rsidR="00A67238" w:rsidRPr="007A667E">
        <w:rPr>
          <w:rFonts w:cs="Arial"/>
          <w:szCs w:val="24"/>
        </w:rPr>
        <w:t xml:space="preserve">lease explain your track record in the </w:t>
      </w:r>
      <w:r w:rsidR="0073412D" w:rsidRPr="007A667E">
        <w:rPr>
          <w:rFonts w:cs="Arial"/>
          <w:szCs w:val="24"/>
        </w:rPr>
        <w:t>provision of monitoring and evaluation services</w:t>
      </w:r>
      <w:r w:rsidR="000873F9" w:rsidRPr="007A667E">
        <w:rPr>
          <w:rFonts w:cs="Arial"/>
          <w:szCs w:val="24"/>
        </w:rPr>
        <w:t>;</w:t>
      </w:r>
      <w:r w:rsidR="0073412D" w:rsidRPr="007A667E">
        <w:rPr>
          <w:rFonts w:cs="Arial"/>
          <w:szCs w:val="24"/>
        </w:rPr>
        <w:t xml:space="preserve"> how this aligns with the heritage sector</w:t>
      </w:r>
      <w:r w:rsidR="00A67238" w:rsidRPr="007A667E">
        <w:rPr>
          <w:rFonts w:cs="Arial"/>
          <w:szCs w:val="24"/>
        </w:rPr>
        <w:t xml:space="preserve"> and </w:t>
      </w:r>
      <w:r w:rsidR="000873F9" w:rsidRPr="007A667E">
        <w:rPr>
          <w:rFonts w:cs="Arial"/>
          <w:szCs w:val="24"/>
        </w:rPr>
        <w:t xml:space="preserve">with </w:t>
      </w:r>
      <w:r w:rsidR="007A667E" w:rsidRPr="007A667E">
        <w:rPr>
          <w:rFonts w:cs="Arial"/>
          <w:szCs w:val="24"/>
        </w:rPr>
        <w:t>our programme’s</w:t>
      </w:r>
      <w:r w:rsidR="000873F9" w:rsidRPr="007A667E">
        <w:rPr>
          <w:rFonts w:cs="Arial"/>
          <w:szCs w:val="24"/>
        </w:rPr>
        <w:t xml:space="preserve"> </w:t>
      </w:r>
      <w:r w:rsidR="0073412D" w:rsidRPr="007A667E">
        <w:rPr>
          <w:rFonts w:cs="Arial"/>
          <w:szCs w:val="24"/>
        </w:rPr>
        <w:t xml:space="preserve">funding </w:t>
      </w:r>
      <w:r w:rsidR="007A667E" w:rsidRPr="007A667E">
        <w:rPr>
          <w:rFonts w:cs="Arial"/>
          <w:szCs w:val="24"/>
        </w:rPr>
        <w:t>recipients</w:t>
      </w:r>
      <w:r w:rsidR="000873F9" w:rsidRPr="007A667E">
        <w:rPr>
          <w:rFonts w:cs="Arial"/>
          <w:szCs w:val="24"/>
        </w:rPr>
        <w:t xml:space="preserve">; </w:t>
      </w:r>
      <w:r w:rsidR="00A67238" w:rsidRPr="007A667E">
        <w:rPr>
          <w:rFonts w:cs="Arial"/>
          <w:szCs w:val="24"/>
        </w:rPr>
        <w:t xml:space="preserve">and provide examples of </w:t>
      </w:r>
      <w:r w:rsidR="000873F9" w:rsidRPr="007A667E">
        <w:rPr>
          <w:rFonts w:cs="Arial"/>
          <w:szCs w:val="24"/>
        </w:rPr>
        <w:t xml:space="preserve">previous </w:t>
      </w:r>
      <w:r w:rsidR="00A67238" w:rsidRPr="007A667E">
        <w:rPr>
          <w:rFonts w:cs="Arial"/>
          <w:szCs w:val="24"/>
        </w:rPr>
        <w:t xml:space="preserve">customers. Please include the contact details of one relevant organisation from whom we can obtain a telephone or written reference, </w:t>
      </w:r>
      <w:r w:rsidR="00AE4B09" w:rsidRPr="007A667E">
        <w:rPr>
          <w:rFonts w:cs="Arial"/>
          <w:szCs w:val="24"/>
        </w:rPr>
        <w:t>should</w:t>
      </w:r>
      <w:r w:rsidR="00A67238" w:rsidRPr="007A667E">
        <w:rPr>
          <w:rFonts w:cs="Arial"/>
          <w:szCs w:val="24"/>
        </w:rPr>
        <w:t xml:space="preserve"> we choose to do so. </w:t>
      </w:r>
    </w:p>
    <w:p w14:paraId="77E0DBAD" w14:textId="5E28F545" w:rsidR="00F35A01" w:rsidRPr="007A667E" w:rsidRDefault="000873F9" w:rsidP="00E856E8">
      <w:pPr>
        <w:pStyle w:val="ListParagraph"/>
        <w:numPr>
          <w:ilvl w:val="0"/>
          <w:numId w:val="16"/>
        </w:numPr>
        <w:ind w:left="357" w:hanging="357"/>
        <w:contextualSpacing w:val="0"/>
        <w:jc w:val="both"/>
        <w:rPr>
          <w:rFonts w:cs="Arial"/>
          <w:b/>
          <w:bCs/>
          <w:szCs w:val="24"/>
        </w:rPr>
      </w:pPr>
      <w:r w:rsidRPr="007A667E">
        <w:rPr>
          <w:rFonts w:cs="Arial"/>
          <w:b/>
          <w:bCs/>
          <w:szCs w:val="24"/>
        </w:rPr>
        <w:t>Pricing</w:t>
      </w:r>
      <w:r w:rsidRPr="007A667E">
        <w:rPr>
          <w:rFonts w:cs="Arial"/>
          <w:szCs w:val="24"/>
        </w:rPr>
        <w:t>:</w:t>
      </w:r>
      <w:r w:rsidR="00A67238" w:rsidRPr="007A667E">
        <w:rPr>
          <w:rFonts w:cs="Arial"/>
          <w:szCs w:val="24"/>
        </w:rPr>
        <w:t xml:space="preserve"> </w:t>
      </w:r>
      <w:r w:rsidR="00F35A01" w:rsidRPr="007A667E">
        <w:rPr>
          <w:rFonts w:cs="Arial"/>
          <w:szCs w:val="24"/>
        </w:rPr>
        <w:t>this should include whether VAT i</w:t>
      </w:r>
      <w:r w:rsidR="00F31F3E" w:rsidRPr="007A667E">
        <w:rPr>
          <w:rFonts w:cs="Arial"/>
          <w:szCs w:val="24"/>
        </w:rPr>
        <w:t>s</w:t>
      </w:r>
      <w:r w:rsidR="00F35A01" w:rsidRPr="007A667E">
        <w:rPr>
          <w:rFonts w:cs="Arial"/>
          <w:szCs w:val="24"/>
        </w:rPr>
        <w:t xml:space="preserve"> included, a breakdown of each person working on the project and what their day rates are, as well as how many days each member of the team will be allocated, as well as any budgeted expenses</w:t>
      </w:r>
      <w:r w:rsidR="00D42AD1" w:rsidRPr="007A667E">
        <w:rPr>
          <w:rFonts w:cs="Arial"/>
          <w:szCs w:val="24"/>
        </w:rPr>
        <w:t>.</w:t>
      </w:r>
    </w:p>
    <w:p w14:paraId="4C04FFA8" w14:textId="77777777" w:rsidR="00E856E8" w:rsidRPr="007A667E" w:rsidRDefault="00E856E8" w:rsidP="00E856E8">
      <w:pPr>
        <w:pStyle w:val="ListParagraph"/>
        <w:spacing w:before="160"/>
        <w:ind w:left="357"/>
        <w:contextualSpacing w:val="0"/>
        <w:jc w:val="both"/>
        <w:rPr>
          <w:rFonts w:cs="Arial"/>
          <w:b/>
          <w:bCs/>
          <w:szCs w:val="24"/>
        </w:rPr>
      </w:pPr>
    </w:p>
    <w:p w14:paraId="033F7034" w14:textId="007342C2" w:rsidR="007245E5" w:rsidRPr="007A667E" w:rsidRDefault="008D04BA" w:rsidP="00630E43">
      <w:pPr>
        <w:pStyle w:val="Heading2"/>
        <w:rPr>
          <w:rFonts w:cs="Arial"/>
          <w:b/>
          <w:bCs/>
          <w:color w:val="1F4E79" w:themeColor="accent5" w:themeShade="80"/>
        </w:rPr>
      </w:pPr>
      <w:bookmarkStart w:id="15" w:name="_Toc205045023"/>
      <w:r w:rsidRPr="007A667E">
        <w:rPr>
          <w:rFonts w:cs="Arial"/>
          <w:b/>
          <w:bCs/>
          <w:color w:val="1F4E79" w:themeColor="accent5" w:themeShade="80"/>
        </w:rPr>
        <w:lastRenderedPageBreak/>
        <w:t>9</w:t>
      </w:r>
      <w:r w:rsidR="00630E43" w:rsidRPr="007A667E">
        <w:rPr>
          <w:rFonts w:cs="Arial"/>
          <w:b/>
          <w:bCs/>
          <w:color w:val="1F4E79" w:themeColor="accent5" w:themeShade="80"/>
        </w:rPr>
        <w:t xml:space="preserve">. </w:t>
      </w:r>
      <w:r w:rsidR="00A67238" w:rsidRPr="007A667E">
        <w:rPr>
          <w:rFonts w:cs="Arial"/>
          <w:b/>
          <w:bCs/>
          <w:color w:val="1F4E79" w:themeColor="accent5" w:themeShade="80"/>
        </w:rPr>
        <w:t>Evaluation Criteria</w:t>
      </w:r>
      <w:bookmarkEnd w:id="15"/>
    </w:p>
    <w:p w14:paraId="5A5B5C69" w14:textId="77777777" w:rsidR="00B1003F" w:rsidRPr="007A667E" w:rsidRDefault="007245E5" w:rsidP="00B16510">
      <w:pPr>
        <w:jc w:val="both"/>
        <w:rPr>
          <w:rFonts w:cs="Arial"/>
          <w:szCs w:val="24"/>
        </w:rPr>
      </w:pPr>
      <w:r w:rsidRPr="007A667E">
        <w:rPr>
          <w:rFonts w:cs="Arial"/>
          <w:szCs w:val="24"/>
        </w:rPr>
        <w:t xml:space="preserve">Your Tender Response will be evaluated using the following criteria: </w:t>
      </w:r>
    </w:p>
    <w:tbl>
      <w:tblPr>
        <w:tblStyle w:val="TableGrid"/>
        <w:tblW w:w="0" w:type="auto"/>
        <w:tblLook w:val="04A0" w:firstRow="1" w:lastRow="0" w:firstColumn="1" w:lastColumn="0" w:noHBand="0" w:noVBand="1"/>
      </w:tblPr>
      <w:tblGrid>
        <w:gridCol w:w="3010"/>
        <w:gridCol w:w="2280"/>
        <w:gridCol w:w="1372"/>
        <w:gridCol w:w="3074"/>
      </w:tblGrid>
      <w:tr w:rsidR="00B1003F" w:rsidRPr="007A667E" w14:paraId="398216D9" w14:textId="77777777" w:rsidTr="000F2847">
        <w:tc>
          <w:tcPr>
            <w:tcW w:w="3010" w:type="dxa"/>
            <w:tcBorders>
              <w:bottom w:val="double" w:sz="4" w:space="0" w:color="auto"/>
            </w:tcBorders>
          </w:tcPr>
          <w:p w14:paraId="23EC76BC" w14:textId="0B04C612" w:rsidR="00B1003F" w:rsidRPr="007A667E" w:rsidRDefault="00B1003F" w:rsidP="00E856E8">
            <w:pPr>
              <w:spacing w:before="80" w:after="80"/>
              <w:jc w:val="both"/>
              <w:rPr>
                <w:rFonts w:cs="Arial"/>
                <w:b/>
                <w:bCs/>
                <w:szCs w:val="24"/>
              </w:rPr>
            </w:pPr>
            <w:r w:rsidRPr="007A667E">
              <w:rPr>
                <w:rFonts w:cs="Arial"/>
                <w:b/>
                <w:bCs/>
                <w:szCs w:val="24"/>
              </w:rPr>
              <w:t>Criteria</w:t>
            </w:r>
          </w:p>
        </w:tc>
        <w:tc>
          <w:tcPr>
            <w:tcW w:w="2280" w:type="dxa"/>
            <w:tcBorders>
              <w:bottom w:val="double" w:sz="4" w:space="0" w:color="auto"/>
            </w:tcBorders>
          </w:tcPr>
          <w:p w14:paraId="4193DDB1" w14:textId="157B9846" w:rsidR="00B1003F" w:rsidRPr="007A667E" w:rsidRDefault="00B1003F" w:rsidP="00E856E8">
            <w:pPr>
              <w:spacing w:before="80" w:after="80"/>
              <w:jc w:val="center"/>
              <w:rPr>
                <w:rFonts w:cs="Arial"/>
                <w:b/>
                <w:bCs/>
                <w:szCs w:val="24"/>
              </w:rPr>
            </w:pPr>
            <w:r w:rsidRPr="007A667E">
              <w:rPr>
                <w:rFonts w:cs="Arial"/>
                <w:b/>
                <w:bCs/>
                <w:szCs w:val="24"/>
              </w:rPr>
              <w:t>Maximum available unweighted score</w:t>
            </w:r>
          </w:p>
        </w:tc>
        <w:tc>
          <w:tcPr>
            <w:tcW w:w="1372" w:type="dxa"/>
            <w:tcBorders>
              <w:bottom w:val="double" w:sz="4" w:space="0" w:color="auto"/>
            </w:tcBorders>
          </w:tcPr>
          <w:p w14:paraId="60ACAF82" w14:textId="036738CE" w:rsidR="00B1003F" w:rsidRPr="007A667E" w:rsidRDefault="00B1003F" w:rsidP="00E856E8">
            <w:pPr>
              <w:spacing w:before="80" w:after="80"/>
              <w:jc w:val="center"/>
              <w:rPr>
                <w:rFonts w:cs="Arial"/>
                <w:b/>
                <w:bCs/>
                <w:szCs w:val="24"/>
              </w:rPr>
            </w:pPr>
            <w:r w:rsidRPr="007A667E">
              <w:rPr>
                <w:rFonts w:cs="Arial"/>
                <w:b/>
                <w:bCs/>
                <w:szCs w:val="24"/>
              </w:rPr>
              <w:t>Weighting</w:t>
            </w:r>
          </w:p>
        </w:tc>
        <w:tc>
          <w:tcPr>
            <w:tcW w:w="3074" w:type="dxa"/>
            <w:tcBorders>
              <w:bottom w:val="double" w:sz="4" w:space="0" w:color="auto"/>
            </w:tcBorders>
          </w:tcPr>
          <w:p w14:paraId="5BD5F0C2" w14:textId="29926E1A" w:rsidR="00B1003F" w:rsidRPr="007A667E" w:rsidRDefault="00B1003F" w:rsidP="00E856E8">
            <w:pPr>
              <w:spacing w:before="80" w:after="80"/>
              <w:jc w:val="center"/>
              <w:rPr>
                <w:rFonts w:cs="Arial"/>
                <w:b/>
                <w:bCs/>
                <w:szCs w:val="24"/>
              </w:rPr>
            </w:pPr>
            <w:r w:rsidRPr="007A667E">
              <w:rPr>
                <w:rFonts w:cs="Arial"/>
                <w:b/>
                <w:bCs/>
                <w:szCs w:val="24"/>
              </w:rPr>
              <w:t>Maximum available weighted score</w:t>
            </w:r>
          </w:p>
        </w:tc>
      </w:tr>
      <w:tr w:rsidR="00B1003F" w:rsidRPr="007A667E" w14:paraId="528093D2" w14:textId="77777777" w:rsidTr="000F2847">
        <w:tc>
          <w:tcPr>
            <w:tcW w:w="3010" w:type="dxa"/>
            <w:tcBorders>
              <w:top w:val="double" w:sz="4" w:space="0" w:color="auto"/>
            </w:tcBorders>
          </w:tcPr>
          <w:p w14:paraId="4EB34A8A" w14:textId="4B58BAEA" w:rsidR="00B1003F" w:rsidRPr="007A667E" w:rsidRDefault="00B1003F" w:rsidP="00E856E8">
            <w:pPr>
              <w:spacing w:before="80" w:after="80"/>
              <w:rPr>
                <w:rFonts w:cs="Arial"/>
                <w:szCs w:val="24"/>
              </w:rPr>
            </w:pPr>
            <w:r w:rsidRPr="007A667E">
              <w:rPr>
                <w:rFonts w:cs="Arial"/>
                <w:szCs w:val="24"/>
              </w:rPr>
              <w:t>Methodology and timeframe</w:t>
            </w:r>
          </w:p>
        </w:tc>
        <w:tc>
          <w:tcPr>
            <w:tcW w:w="2280" w:type="dxa"/>
            <w:tcBorders>
              <w:top w:val="double" w:sz="4" w:space="0" w:color="auto"/>
            </w:tcBorders>
            <w:vAlign w:val="center"/>
          </w:tcPr>
          <w:p w14:paraId="4F3F6374" w14:textId="2A84AC5C" w:rsidR="00B1003F" w:rsidRPr="007A667E" w:rsidRDefault="00B1003F" w:rsidP="00E856E8">
            <w:pPr>
              <w:spacing w:before="80" w:after="80"/>
              <w:jc w:val="center"/>
              <w:rPr>
                <w:rFonts w:cs="Arial"/>
                <w:szCs w:val="24"/>
              </w:rPr>
            </w:pPr>
            <w:r w:rsidRPr="007A667E">
              <w:rPr>
                <w:rFonts w:cs="Arial"/>
                <w:szCs w:val="24"/>
              </w:rPr>
              <w:t>10</w:t>
            </w:r>
          </w:p>
        </w:tc>
        <w:tc>
          <w:tcPr>
            <w:tcW w:w="1372" w:type="dxa"/>
            <w:tcBorders>
              <w:top w:val="double" w:sz="4" w:space="0" w:color="auto"/>
            </w:tcBorders>
            <w:vAlign w:val="center"/>
          </w:tcPr>
          <w:p w14:paraId="4DD73261" w14:textId="6D467B82" w:rsidR="00B1003F" w:rsidRPr="007A667E" w:rsidRDefault="00B1003F" w:rsidP="00E856E8">
            <w:pPr>
              <w:spacing w:before="80" w:after="80"/>
              <w:jc w:val="center"/>
              <w:rPr>
                <w:rFonts w:cs="Arial"/>
                <w:szCs w:val="24"/>
              </w:rPr>
            </w:pPr>
            <w:r w:rsidRPr="007A667E">
              <w:rPr>
                <w:rFonts w:cs="Arial"/>
                <w:szCs w:val="24"/>
              </w:rPr>
              <w:t>x4</w:t>
            </w:r>
          </w:p>
        </w:tc>
        <w:tc>
          <w:tcPr>
            <w:tcW w:w="3074" w:type="dxa"/>
            <w:tcBorders>
              <w:top w:val="double" w:sz="4" w:space="0" w:color="auto"/>
            </w:tcBorders>
            <w:vAlign w:val="center"/>
          </w:tcPr>
          <w:p w14:paraId="53B499E4" w14:textId="4E5577F8" w:rsidR="00B1003F" w:rsidRPr="007A667E" w:rsidRDefault="00B1003F" w:rsidP="00E856E8">
            <w:pPr>
              <w:spacing w:before="80" w:after="80"/>
              <w:jc w:val="center"/>
              <w:rPr>
                <w:rFonts w:cs="Arial"/>
                <w:szCs w:val="24"/>
              </w:rPr>
            </w:pPr>
            <w:r w:rsidRPr="007A667E">
              <w:rPr>
                <w:rFonts w:cs="Arial"/>
                <w:szCs w:val="24"/>
              </w:rPr>
              <w:t>40</w:t>
            </w:r>
          </w:p>
        </w:tc>
      </w:tr>
      <w:tr w:rsidR="00B1003F" w:rsidRPr="007A667E" w14:paraId="7D5B2959" w14:textId="77777777" w:rsidTr="000F2847">
        <w:tc>
          <w:tcPr>
            <w:tcW w:w="3010" w:type="dxa"/>
          </w:tcPr>
          <w:p w14:paraId="29B3D0E2" w14:textId="70E2F108" w:rsidR="00B1003F" w:rsidRPr="007A667E" w:rsidRDefault="002F70EC" w:rsidP="00E856E8">
            <w:pPr>
              <w:spacing w:before="80" w:after="80"/>
              <w:rPr>
                <w:rFonts w:cs="Arial"/>
                <w:szCs w:val="24"/>
              </w:rPr>
            </w:pPr>
            <w:r w:rsidRPr="007A667E">
              <w:rPr>
                <w:rFonts w:cs="Arial"/>
                <w:szCs w:val="24"/>
              </w:rPr>
              <w:t>Team composition and management</w:t>
            </w:r>
          </w:p>
        </w:tc>
        <w:tc>
          <w:tcPr>
            <w:tcW w:w="2280" w:type="dxa"/>
            <w:vAlign w:val="center"/>
          </w:tcPr>
          <w:p w14:paraId="72612FA9" w14:textId="4EF94382" w:rsidR="00B1003F" w:rsidRPr="007A667E" w:rsidRDefault="00B1003F" w:rsidP="00E856E8">
            <w:pPr>
              <w:spacing w:before="80" w:after="80"/>
              <w:jc w:val="center"/>
              <w:rPr>
                <w:rFonts w:cs="Arial"/>
                <w:szCs w:val="24"/>
              </w:rPr>
            </w:pPr>
            <w:r w:rsidRPr="007A667E">
              <w:rPr>
                <w:rFonts w:cs="Arial"/>
                <w:szCs w:val="24"/>
              </w:rPr>
              <w:t>10</w:t>
            </w:r>
          </w:p>
        </w:tc>
        <w:tc>
          <w:tcPr>
            <w:tcW w:w="1372" w:type="dxa"/>
            <w:vAlign w:val="center"/>
          </w:tcPr>
          <w:p w14:paraId="156E6421" w14:textId="5600B693" w:rsidR="00B1003F" w:rsidRPr="007A667E" w:rsidRDefault="00D42AD1" w:rsidP="00E856E8">
            <w:pPr>
              <w:spacing w:before="80" w:after="80"/>
              <w:jc w:val="center"/>
              <w:rPr>
                <w:rFonts w:cs="Arial"/>
                <w:szCs w:val="24"/>
              </w:rPr>
            </w:pPr>
            <w:r w:rsidRPr="007A667E">
              <w:rPr>
                <w:rFonts w:cs="Arial"/>
                <w:szCs w:val="24"/>
              </w:rPr>
              <w:t>x</w:t>
            </w:r>
            <w:r w:rsidR="00B1003F" w:rsidRPr="007A667E">
              <w:rPr>
                <w:rFonts w:cs="Arial"/>
                <w:szCs w:val="24"/>
              </w:rPr>
              <w:t>2</w:t>
            </w:r>
          </w:p>
        </w:tc>
        <w:tc>
          <w:tcPr>
            <w:tcW w:w="3074" w:type="dxa"/>
            <w:vAlign w:val="center"/>
          </w:tcPr>
          <w:p w14:paraId="4703F1AC" w14:textId="072ED81D" w:rsidR="00B1003F" w:rsidRPr="007A667E" w:rsidRDefault="00B1003F" w:rsidP="00E856E8">
            <w:pPr>
              <w:spacing w:before="80" w:after="80"/>
              <w:jc w:val="center"/>
              <w:rPr>
                <w:rFonts w:cs="Arial"/>
                <w:szCs w:val="24"/>
              </w:rPr>
            </w:pPr>
            <w:r w:rsidRPr="007A667E">
              <w:rPr>
                <w:rFonts w:cs="Arial"/>
                <w:szCs w:val="24"/>
              </w:rPr>
              <w:t>20</w:t>
            </w:r>
          </w:p>
        </w:tc>
      </w:tr>
      <w:tr w:rsidR="00B1003F" w:rsidRPr="007A667E" w14:paraId="47985501" w14:textId="77777777" w:rsidTr="000F2847">
        <w:tc>
          <w:tcPr>
            <w:tcW w:w="3010" w:type="dxa"/>
          </w:tcPr>
          <w:p w14:paraId="2D4E41AE" w14:textId="7D53ADFB" w:rsidR="00B1003F" w:rsidRPr="007A667E" w:rsidRDefault="00B1003F" w:rsidP="00E856E8">
            <w:pPr>
              <w:spacing w:before="80" w:after="80"/>
              <w:rPr>
                <w:rFonts w:cs="Arial"/>
                <w:szCs w:val="24"/>
              </w:rPr>
            </w:pPr>
            <w:r w:rsidRPr="007A667E">
              <w:rPr>
                <w:rFonts w:cs="Arial"/>
                <w:szCs w:val="24"/>
              </w:rPr>
              <w:t>Experience in similar projects</w:t>
            </w:r>
          </w:p>
        </w:tc>
        <w:tc>
          <w:tcPr>
            <w:tcW w:w="2280" w:type="dxa"/>
            <w:vAlign w:val="center"/>
          </w:tcPr>
          <w:p w14:paraId="2E3A7DEA" w14:textId="5B2C02E7" w:rsidR="00B1003F" w:rsidRPr="007A667E" w:rsidRDefault="00B1003F" w:rsidP="00E856E8">
            <w:pPr>
              <w:spacing w:before="80" w:after="80"/>
              <w:jc w:val="center"/>
              <w:rPr>
                <w:rFonts w:cs="Arial"/>
                <w:szCs w:val="24"/>
              </w:rPr>
            </w:pPr>
            <w:r w:rsidRPr="007A667E">
              <w:rPr>
                <w:rFonts w:cs="Arial"/>
                <w:szCs w:val="24"/>
              </w:rPr>
              <w:t>10</w:t>
            </w:r>
          </w:p>
        </w:tc>
        <w:tc>
          <w:tcPr>
            <w:tcW w:w="1372" w:type="dxa"/>
            <w:vAlign w:val="center"/>
          </w:tcPr>
          <w:p w14:paraId="14FD3B59" w14:textId="24D01091" w:rsidR="00B1003F" w:rsidRPr="007A667E" w:rsidRDefault="00EA0349" w:rsidP="00E856E8">
            <w:pPr>
              <w:spacing w:before="80" w:after="80"/>
              <w:jc w:val="center"/>
              <w:rPr>
                <w:rFonts w:cs="Arial"/>
                <w:szCs w:val="24"/>
              </w:rPr>
            </w:pPr>
            <w:r w:rsidRPr="007A667E">
              <w:rPr>
                <w:rFonts w:cs="Arial"/>
                <w:szCs w:val="24"/>
              </w:rPr>
              <w:t>x</w:t>
            </w:r>
            <w:r w:rsidR="0081309E" w:rsidRPr="007A667E">
              <w:rPr>
                <w:rFonts w:cs="Arial"/>
                <w:szCs w:val="24"/>
              </w:rPr>
              <w:t>3</w:t>
            </w:r>
          </w:p>
        </w:tc>
        <w:tc>
          <w:tcPr>
            <w:tcW w:w="3074" w:type="dxa"/>
            <w:vAlign w:val="center"/>
          </w:tcPr>
          <w:p w14:paraId="51DA87CB" w14:textId="5D18583A" w:rsidR="00B1003F" w:rsidRPr="007A667E" w:rsidRDefault="0081309E" w:rsidP="00E856E8">
            <w:pPr>
              <w:spacing w:before="80" w:after="80"/>
              <w:jc w:val="center"/>
              <w:rPr>
                <w:rFonts w:cs="Arial"/>
                <w:szCs w:val="24"/>
              </w:rPr>
            </w:pPr>
            <w:r w:rsidRPr="007A667E">
              <w:rPr>
                <w:rFonts w:cs="Arial"/>
                <w:szCs w:val="24"/>
              </w:rPr>
              <w:t>3</w:t>
            </w:r>
            <w:r w:rsidR="00B1003F" w:rsidRPr="007A667E">
              <w:rPr>
                <w:rFonts w:cs="Arial"/>
                <w:szCs w:val="24"/>
              </w:rPr>
              <w:t>0</w:t>
            </w:r>
          </w:p>
        </w:tc>
      </w:tr>
      <w:tr w:rsidR="00B1003F" w:rsidRPr="007A667E" w14:paraId="0C15034D" w14:textId="77777777" w:rsidTr="000F2847">
        <w:tc>
          <w:tcPr>
            <w:tcW w:w="3010" w:type="dxa"/>
          </w:tcPr>
          <w:p w14:paraId="3A01F489" w14:textId="2615002B" w:rsidR="00B1003F" w:rsidRPr="007A667E" w:rsidRDefault="00B1003F" w:rsidP="00E856E8">
            <w:pPr>
              <w:spacing w:before="80" w:after="80"/>
              <w:rPr>
                <w:rFonts w:cs="Arial"/>
                <w:szCs w:val="24"/>
              </w:rPr>
            </w:pPr>
            <w:r w:rsidRPr="007A667E">
              <w:rPr>
                <w:rFonts w:cs="Arial"/>
                <w:szCs w:val="24"/>
              </w:rPr>
              <w:t xml:space="preserve">Pricing </w:t>
            </w:r>
          </w:p>
        </w:tc>
        <w:tc>
          <w:tcPr>
            <w:tcW w:w="2280" w:type="dxa"/>
            <w:vAlign w:val="center"/>
          </w:tcPr>
          <w:p w14:paraId="780EF831" w14:textId="78871B8C" w:rsidR="00B1003F" w:rsidRPr="007A667E" w:rsidRDefault="00B1003F" w:rsidP="00E856E8">
            <w:pPr>
              <w:spacing w:before="80" w:after="80"/>
              <w:jc w:val="center"/>
              <w:rPr>
                <w:rFonts w:cs="Arial"/>
                <w:szCs w:val="24"/>
              </w:rPr>
            </w:pPr>
            <w:r w:rsidRPr="007A667E">
              <w:rPr>
                <w:rFonts w:cs="Arial"/>
                <w:szCs w:val="24"/>
              </w:rPr>
              <w:t>10</w:t>
            </w:r>
          </w:p>
        </w:tc>
        <w:tc>
          <w:tcPr>
            <w:tcW w:w="1372" w:type="dxa"/>
            <w:vAlign w:val="center"/>
          </w:tcPr>
          <w:p w14:paraId="71547A7E" w14:textId="19207A07" w:rsidR="00B1003F" w:rsidRPr="007A667E" w:rsidRDefault="00D42AD1" w:rsidP="00E856E8">
            <w:pPr>
              <w:spacing w:before="80" w:after="80"/>
              <w:jc w:val="center"/>
              <w:rPr>
                <w:rFonts w:cs="Arial"/>
                <w:szCs w:val="24"/>
              </w:rPr>
            </w:pPr>
            <w:r w:rsidRPr="007A667E">
              <w:rPr>
                <w:rFonts w:cs="Arial"/>
                <w:szCs w:val="24"/>
              </w:rPr>
              <w:t>x</w:t>
            </w:r>
            <w:r w:rsidR="00B1003F" w:rsidRPr="007A667E">
              <w:rPr>
                <w:rFonts w:cs="Arial"/>
                <w:szCs w:val="24"/>
              </w:rPr>
              <w:t>2</w:t>
            </w:r>
          </w:p>
        </w:tc>
        <w:tc>
          <w:tcPr>
            <w:tcW w:w="3074" w:type="dxa"/>
            <w:vAlign w:val="center"/>
          </w:tcPr>
          <w:p w14:paraId="50EC1601" w14:textId="42C99D3A" w:rsidR="00B1003F" w:rsidRPr="007A667E" w:rsidRDefault="00B1003F" w:rsidP="00E856E8">
            <w:pPr>
              <w:spacing w:before="80" w:after="80"/>
              <w:jc w:val="center"/>
              <w:rPr>
                <w:rFonts w:cs="Arial"/>
                <w:szCs w:val="24"/>
              </w:rPr>
            </w:pPr>
            <w:r w:rsidRPr="007A667E">
              <w:rPr>
                <w:rFonts w:cs="Arial"/>
                <w:szCs w:val="24"/>
              </w:rPr>
              <w:t>20</w:t>
            </w:r>
          </w:p>
        </w:tc>
      </w:tr>
    </w:tbl>
    <w:p w14:paraId="2924E66A" w14:textId="4FD95C50" w:rsidR="006C5B86" w:rsidRPr="007A667E" w:rsidRDefault="008D04BA" w:rsidP="000F2847">
      <w:pPr>
        <w:jc w:val="both"/>
        <w:rPr>
          <w:rFonts w:cs="Arial"/>
          <w:szCs w:val="24"/>
        </w:rPr>
      </w:pPr>
      <w:r w:rsidRPr="007A667E">
        <w:rPr>
          <w:rFonts w:cs="Arial"/>
          <w:szCs w:val="24"/>
        </w:rPr>
        <w:br/>
      </w:r>
      <w:r w:rsidR="006C5B86" w:rsidRPr="007A667E">
        <w:rPr>
          <w:rFonts w:cs="Arial"/>
          <w:szCs w:val="24"/>
        </w:rPr>
        <w:t>The bidder submitting the lowest price will be awarded the maximum of 10 (unweighted) points in the Pricing category.  All other bidders will be awarded a (unweighted) points score by applying the following formula:</w:t>
      </w:r>
    </w:p>
    <w:p w14:paraId="07A84960" w14:textId="77777777" w:rsidR="006C5B86" w:rsidRPr="007A667E" w:rsidRDefault="006C5B86" w:rsidP="006C5B86">
      <w:pPr>
        <w:spacing w:line="240" w:lineRule="auto"/>
        <w:ind w:left="709"/>
        <w:contextualSpacing/>
        <w:jc w:val="both"/>
        <w:rPr>
          <w:rFonts w:ascii="Open Sans" w:hAnsi="Open Sans" w:cs="Open Sans"/>
          <w:sz w:val="6"/>
          <w:szCs w:val="6"/>
        </w:rPr>
      </w:pPr>
    </w:p>
    <w:p w14:paraId="5E13ABAF" w14:textId="755F4727" w:rsidR="006C5B86" w:rsidRPr="007A667E" w:rsidRDefault="006C5B86" w:rsidP="006C5B86">
      <w:pPr>
        <w:spacing w:line="240" w:lineRule="auto"/>
        <w:ind w:left="1428" w:firstLine="11"/>
        <w:contextualSpacing/>
        <w:jc w:val="both"/>
        <w:rPr>
          <w:rFonts w:ascii="Open Sans" w:hAnsi="Open Sans" w:cs="Open Sans"/>
          <w:b/>
          <w:bCs/>
          <w:iCs/>
          <w:szCs w:val="24"/>
        </w:rPr>
      </w:pPr>
      <w:r w:rsidRPr="007A667E">
        <w:rPr>
          <w:rFonts w:ascii="Open Sans" w:hAnsi="Open Sans" w:cs="Open Sans"/>
          <w:b/>
          <w:bCs/>
          <w:iCs/>
          <w:szCs w:val="24"/>
        </w:rPr>
        <w:t xml:space="preserve">(lowest submitted price/bidder’s submitted </w:t>
      </w:r>
      <w:proofErr w:type="gramStart"/>
      <w:r w:rsidRPr="007A667E">
        <w:rPr>
          <w:rFonts w:ascii="Open Sans" w:hAnsi="Open Sans" w:cs="Open Sans"/>
          <w:b/>
          <w:bCs/>
          <w:iCs/>
          <w:szCs w:val="24"/>
        </w:rPr>
        <w:t>price)*</w:t>
      </w:r>
      <w:proofErr w:type="gramEnd"/>
      <w:r w:rsidRPr="007A667E">
        <w:rPr>
          <w:rFonts w:ascii="Open Sans" w:hAnsi="Open Sans" w:cs="Open Sans"/>
          <w:b/>
          <w:bCs/>
          <w:iCs/>
          <w:szCs w:val="24"/>
        </w:rPr>
        <w:t>10</w:t>
      </w:r>
    </w:p>
    <w:p w14:paraId="35FFDE1F" w14:textId="77777777" w:rsidR="007416FB" w:rsidRPr="007A667E" w:rsidRDefault="007416FB" w:rsidP="006C5B86">
      <w:pPr>
        <w:spacing w:line="240" w:lineRule="auto"/>
        <w:ind w:left="1428" w:firstLine="11"/>
        <w:contextualSpacing/>
        <w:jc w:val="both"/>
        <w:rPr>
          <w:rFonts w:ascii="Open Sans" w:hAnsi="Open Sans" w:cs="Open Sans"/>
          <w:b/>
          <w:bCs/>
          <w:iCs/>
          <w:szCs w:val="24"/>
        </w:rPr>
      </w:pPr>
    </w:p>
    <w:p w14:paraId="125F9BAD" w14:textId="3483F98C" w:rsidR="008D04BA" w:rsidRDefault="007245E5" w:rsidP="00B16510">
      <w:pPr>
        <w:jc w:val="both"/>
        <w:rPr>
          <w:rFonts w:cs="Arial"/>
          <w:szCs w:val="24"/>
        </w:rPr>
      </w:pPr>
      <w:r w:rsidRPr="007A667E">
        <w:rPr>
          <w:rFonts w:cs="Arial"/>
          <w:szCs w:val="24"/>
        </w:rPr>
        <w:t xml:space="preserve">Other categories will be evaluated according to the table below, however a minimum </w:t>
      </w:r>
      <w:r w:rsidR="006C5B86" w:rsidRPr="007A667E">
        <w:rPr>
          <w:rFonts w:cs="Arial"/>
          <w:szCs w:val="24"/>
        </w:rPr>
        <w:t xml:space="preserve">unweighted </w:t>
      </w:r>
      <w:r w:rsidRPr="007A667E">
        <w:rPr>
          <w:rFonts w:cs="Arial"/>
          <w:szCs w:val="24"/>
        </w:rPr>
        <w:t xml:space="preserve">score of at least </w:t>
      </w:r>
      <w:r w:rsidR="006C5B86" w:rsidRPr="007A667E">
        <w:rPr>
          <w:rFonts w:cs="Arial"/>
          <w:szCs w:val="24"/>
        </w:rPr>
        <w:t xml:space="preserve">7 </w:t>
      </w:r>
      <w:r w:rsidRPr="007A667E">
        <w:rPr>
          <w:rFonts w:cs="Arial"/>
          <w:szCs w:val="24"/>
        </w:rPr>
        <w:t xml:space="preserve">must be achieved against the </w:t>
      </w:r>
      <w:r w:rsidR="00EA0349" w:rsidRPr="007A667E">
        <w:rPr>
          <w:rFonts w:cs="Arial"/>
          <w:szCs w:val="24"/>
        </w:rPr>
        <w:t>‘</w:t>
      </w:r>
      <w:r w:rsidRPr="007A667E">
        <w:rPr>
          <w:rFonts w:cs="Arial"/>
          <w:szCs w:val="24"/>
        </w:rPr>
        <w:t>methodology</w:t>
      </w:r>
      <w:r w:rsidR="0081309E" w:rsidRPr="007A667E">
        <w:rPr>
          <w:rFonts w:cs="Arial"/>
          <w:szCs w:val="24"/>
        </w:rPr>
        <w:t xml:space="preserve"> and timeframe</w:t>
      </w:r>
      <w:r w:rsidR="00EA0349" w:rsidRPr="007A667E">
        <w:rPr>
          <w:rFonts w:cs="Arial"/>
          <w:szCs w:val="24"/>
        </w:rPr>
        <w:t>’</w:t>
      </w:r>
      <w:r w:rsidRPr="007A667E">
        <w:rPr>
          <w:rFonts w:cs="Arial"/>
          <w:szCs w:val="24"/>
        </w:rPr>
        <w:t xml:space="preserve"> criteri</w:t>
      </w:r>
      <w:r w:rsidR="00EA0349" w:rsidRPr="007A667E">
        <w:rPr>
          <w:rFonts w:cs="Arial"/>
          <w:szCs w:val="24"/>
        </w:rPr>
        <w:t>on</w:t>
      </w:r>
      <w:r w:rsidR="0081309E" w:rsidRPr="007A667E">
        <w:rPr>
          <w:rFonts w:cs="Arial"/>
          <w:szCs w:val="24"/>
        </w:rPr>
        <w:t xml:space="preserve">, and a minimum </w:t>
      </w:r>
      <w:r w:rsidR="006C5B86" w:rsidRPr="007A667E">
        <w:rPr>
          <w:rFonts w:cs="Arial"/>
          <w:szCs w:val="24"/>
        </w:rPr>
        <w:t xml:space="preserve">unweighted </w:t>
      </w:r>
      <w:r w:rsidR="0081309E" w:rsidRPr="007A667E">
        <w:rPr>
          <w:rFonts w:cs="Arial"/>
          <w:szCs w:val="24"/>
        </w:rPr>
        <w:t xml:space="preserve">score of at least </w:t>
      </w:r>
      <w:r w:rsidR="006C5B86" w:rsidRPr="007A667E">
        <w:rPr>
          <w:rFonts w:cs="Arial"/>
          <w:szCs w:val="24"/>
        </w:rPr>
        <w:t xml:space="preserve">7 </w:t>
      </w:r>
      <w:r w:rsidR="0081309E" w:rsidRPr="007A667E">
        <w:rPr>
          <w:rFonts w:cs="Arial"/>
          <w:szCs w:val="24"/>
        </w:rPr>
        <w:t xml:space="preserve">must be achieved against </w:t>
      </w:r>
      <w:r w:rsidR="00EA0349" w:rsidRPr="007A667E">
        <w:rPr>
          <w:rFonts w:cs="Arial"/>
          <w:szCs w:val="24"/>
        </w:rPr>
        <w:t>‘</w:t>
      </w:r>
      <w:r w:rsidR="0081309E" w:rsidRPr="007A667E">
        <w:rPr>
          <w:rFonts w:cs="Arial"/>
          <w:szCs w:val="24"/>
        </w:rPr>
        <w:t>experience in similar projects</w:t>
      </w:r>
      <w:r w:rsidR="00EA0349" w:rsidRPr="007A667E">
        <w:rPr>
          <w:rFonts w:cs="Arial"/>
          <w:szCs w:val="24"/>
        </w:rPr>
        <w:t>’,</w:t>
      </w:r>
      <w:r w:rsidRPr="007A667E">
        <w:rPr>
          <w:rFonts w:cs="Arial"/>
          <w:szCs w:val="24"/>
        </w:rPr>
        <w:t xml:space="preserve"> for the proposal for to be considered. Proposals </w:t>
      </w:r>
      <w:r w:rsidR="006C5B86" w:rsidRPr="007A667E">
        <w:rPr>
          <w:rFonts w:cs="Arial"/>
          <w:szCs w:val="24"/>
        </w:rPr>
        <w:t xml:space="preserve">that do not achieve </w:t>
      </w:r>
      <w:r w:rsidRPr="007A667E">
        <w:rPr>
          <w:rFonts w:cs="Arial"/>
          <w:szCs w:val="24"/>
        </w:rPr>
        <w:t>th</w:t>
      </w:r>
      <w:r w:rsidR="006C5B86" w:rsidRPr="007A667E">
        <w:rPr>
          <w:rFonts w:cs="Arial"/>
          <w:szCs w:val="24"/>
        </w:rPr>
        <w:t>ese</w:t>
      </w:r>
      <w:r w:rsidRPr="007A667E">
        <w:rPr>
          <w:rFonts w:cs="Arial"/>
          <w:szCs w:val="24"/>
        </w:rPr>
        <w:t xml:space="preserve"> </w:t>
      </w:r>
      <w:r w:rsidR="006C5B86" w:rsidRPr="007A667E">
        <w:rPr>
          <w:rFonts w:cs="Arial"/>
          <w:szCs w:val="24"/>
        </w:rPr>
        <w:t xml:space="preserve">minimum </w:t>
      </w:r>
      <w:r w:rsidRPr="007A667E">
        <w:rPr>
          <w:rFonts w:cs="Arial"/>
          <w:szCs w:val="24"/>
        </w:rPr>
        <w:t>score</w:t>
      </w:r>
      <w:r w:rsidR="006C5B86" w:rsidRPr="007A667E">
        <w:rPr>
          <w:rFonts w:cs="Arial"/>
          <w:szCs w:val="24"/>
        </w:rPr>
        <w:t>s</w:t>
      </w:r>
      <w:r w:rsidRPr="007A667E">
        <w:rPr>
          <w:rFonts w:cs="Arial"/>
          <w:szCs w:val="24"/>
        </w:rPr>
        <w:t xml:space="preserve"> will be considered a </w:t>
      </w:r>
      <w:proofErr w:type="gramStart"/>
      <w:r w:rsidRPr="007A667E">
        <w:rPr>
          <w:rFonts w:cs="Arial"/>
          <w:szCs w:val="24"/>
        </w:rPr>
        <w:t>fail</w:t>
      </w:r>
      <w:proofErr w:type="gramEnd"/>
      <w:r w:rsidRPr="007A667E">
        <w:rPr>
          <w:rFonts w:cs="Arial"/>
          <w:szCs w:val="24"/>
        </w:rPr>
        <w:t>.</w:t>
      </w:r>
    </w:p>
    <w:p w14:paraId="74129846" w14:textId="77777777" w:rsidR="002A160E" w:rsidRDefault="002A160E" w:rsidP="00B16510">
      <w:pPr>
        <w:jc w:val="both"/>
        <w:rPr>
          <w:rFonts w:cs="Arial"/>
          <w:szCs w:val="24"/>
        </w:rPr>
      </w:pPr>
    </w:p>
    <w:p w14:paraId="347CF4A1" w14:textId="77777777" w:rsidR="002A160E" w:rsidRPr="007A667E" w:rsidRDefault="002A160E" w:rsidP="00B16510">
      <w:pPr>
        <w:jc w:val="both"/>
        <w:rPr>
          <w:rFonts w:cs="Arial"/>
          <w:szCs w:val="24"/>
        </w:rPr>
      </w:pPr>
    </w:p>
    <w:tbl>
      <w:tblPr>
        <w:tblStyle w:val="TableGrid"/>
        <w:tblW w:w="0" w:type="auto"/>
        <w:tblLook w:val="04A0" w:firstRow="1" w:lastRow="0" w:firstColumn="1" w:lastColumn="0" w:noHBand="0" w:noVBand="1"/>
      </w:tblPr>
      <w:tblGrid>
        <w:gridCol w:w="1413"/>
        <w:gridCol w:w="7603"/>
      </w:tblGrid>
      <w:tr w:rsidR="006E3A77" w:rsidRPr="007A667E" w14:paraId="21687521" w14:textId="77777777" w:rsidTr="006E3A77">
        <w:tc>
          <w:tcPr>
            <w:tcW w:w="1413" w:type="dxa"/>
            <w:vAlign w:val="center"/>
          </w:tcPr>
          <w:p w14:paraId="10D812FB" w14:textId="017573A1" w:rsidR="006E3A77" w:rsidRPr="007A667E" w:rsidRDefault="006E3A77" w:rsidP="00E856E8">
            <w:pPr>
              <w:spacing w:before="80" w:after="80"/>
              <w:jc w:val="both"/>
              <w:rPr>
                <w:rFonts w:cs="Arial"/>
                <w:b/>
                <w:bCs/>
                <w:szCs w:val="24"/>
              </w:rPr>
            </w:pPr>
            <w:r w:rsidRPr="007A667E">
              <w:rPr>
                <w:rFonts w:cs="Arial"/>
                <w:b/>
                <w:bCs/>
                <w:szCs w:val="24"/>
              </w:rPr>
              <w:t>10 Points</w:t>
            </w:r>
          </w:p>
        </w:tc>
        <w:tc>
          <w:tcPr>
            <w:tcW w:w="7603" w:type="dxa"/>
          </w:tcPr>
          <w:p w14:paraId="53A1DB8B" w14:textId="77777777" w:rsidR="006E3A77" w:rsidRPr="007A667E" w:rsidRDefault="006E3A77" w:rsidP="00E856E8">
            <w:pPr>
              <w:spacing w:before="80" w:after="80"/>
              <w:jc w:val="both"/>
              <w:rPr>
                <w:rFonts w:cs="Arial"/>
                <w:b/>
                <w:bCs/>
                <w:szCs w:val="24"/>
              </w:rPr>
            </w:pPr>
            <w:r w:rsidRPr="007A667E">
              <w:rPr>
                <w:rFonts w:cs="Arial"/>
                <w:b/>
                <w:bCs/>
                <w:szCs w:val="24"/>
              </w:rPr>
              <w:t>Outstanding:</w:t>
            </w:r>
          </w:p>
          <w:p w14:paraId="0B650BAF" w14:textId="77777777" w:rsidR="006E3A77" w:rsidRPr="007A667E" w:rsidRDefault="006E3A77" w:rsidP="00E856E8">
            <w:pPr>
              <w:pStyle w:val="ListParagraph"/>
              <w:numPr>
                <w:ilvl w:val="0"/>
                <w:numId w:val="17"/>
              </w:numPr>
              <w:spacing w:before="80" w:after="80"/>
              <w:contextualSpacing w:val="0"/>
              <w:jc w:val="both"/>
              <w:rPr>
                <w:rFonts w:cs="Arial"/>
                <w:szCs w:val="24"/>
              </w:rPr>
            </w:pPr>
            <w:r w:rsidRPr="007A667E">
              <w:rPr>
                <w:rFonts w:cs="Arial"/>
                <w:szCs w:val="24"/>
              </w:rPr>
              <w:t xml:space="preserve">Potential Supplier has provided a response that addresses all parts of the requirement </w:t>
            </w:r>
          </w:p>
          <w:p w14:paraId="39F3B150" w14:textId="77777777" w:rsidR="006E3A77" w:rsidRPr="007A667E" w:rsidRDefault="006E3A77" w:rsidP="00E856E8">
            <w:pPr>
              <w:pStyle w:val="ListParagraph"/>
              <w:numPr>
                <w:ilvl w:val="0"/>
                <w:numId w:val="17"/>
              </w:numPr>
              <w:spacing w:before="80" w:after="80"/>
              <w:contextualSpacing w:val="0"/>
              <w:jc w:val="both"/>
              <w:rPr>
                <w:rFonts w:cs="Arial"/>
                <w:szCs w:val="24"/>
              </w:rPr>
            </w:pPr>
            <w:r w:rsidRPr="007A667E">
              <w:rPr>
                <w:rFonts w:cs="Arial"/>
                <w:szCs w:val="24"/>
              </w:rPr>
              <w:t xml:space="preserve">Potential Supplier has provided evidence to support all elements of their response </w:t>
            </w:r>
          </w:p>
          <w:p w14:paraId="473B3009" w14:textId="77777777" w:rsidR="006E3A77" w:rsidRPr="007A667E" w:rsidRDefault="006E3A77" w:rsidP="00E856E8">
            <w:pPr>
              <w:pStyle w:val="ListParagraph"/>
              <w:numPr>
                <w:ilvl w:val="0"/>
                <w:numId w:val="17"/>
              </w:numPr>
              <w:spacing w:before="80" w:after="80"/>
              <w:contextualSpacing w:val="0"/>
              <w:jc w:val="both"/>
              <w:rPr>
                <w:rFonts w:cs="Arial"/>
                <w:szCs w:val="24"/>
              </w:rPr>
            </w:pPr>
            <w:r w:rsidRPr="007A667E">
              <w:rPr>
                <w:rFonts w:cs="Arial"/>
                <w:szCs w:val="24"/>
              </w:rPr>
              <w:t>The evidence supplied is convincing and highly relevant to the requirement</w:t>
            </w:r>
          </w:p>
          <w:p w14:paraId="255B9FAE" w14:textId="77777777" w:rsidR="006E3A77" w:rsidRPr="007A667E" w:rsidRDefault="006E3A77" w:rsidP="00E856E8">
            <w:pPr>
              <w:pStyle w:val="ListParagraph"/>
              <w:numPr>
                <w:ilvl w:val="0"/>
                <w:numId w:val="17"/>
              </w:numPr>
              <w:spacing w:before="80" w:after="80"/>
              <w:contextualSpacing w:val="0"/>
              <w:jc w:val="both"/>
              <w:rPr>
                <w:rFonts w:cs="Arial"/>
                <w:szCs w:val="24"/>
              </w:rPr>
            </w:pPr>
            <w:r w:rsidRPr="007A667E">
              <w:rPr>
                <w:rFonts w:cs="Arial"/>
                <w:szCs w:val="24"/>
              </w:rPr>
              <w:t xml:space="preserve">Potential Supplier’s response is clear and easy to understand </w:t>
            </w:r>
          </w:p>
          <w:p w14:paraId="4C5CDBC8" w14:textId="2F17210C" w:rsidR="006E3A77" w:rsidRPr="007A667E" w:rsidRDefault="006E3A77" w:rsidP="00E856E8">
            <w:pPr>
              <w:pStyle w:val="ListParagraph"/>
              <w:numPr>
                <w:ilvl w:val="0"/>
                <w:numId w:val="17"/>
              </w:numPr>
              <w:spacing w:before="80" w:after="80"/>
              <w:contextualSpacing w:val="0"/>
              <w:jc w:val="both"/>
              <w:rPr>
                <w:rFonts w:cs="Arial"/>
                <w:szCs w:val="24"/>
              </w:rPr>
            </w:pPr>
            <w:r w:rsidRPr="007A667E">
              <w:rPr>
                <w:rFonts w:cs="Arial"/>
                <w:szCs w:val="24"/>
              </w:rPr>
              <w:t>Where relevant, Potential Supplier has demonstrated a high level of capability to deliver new and innovative service approaches</w:t>
            </w:r>
          </w:p>
        </w:tc>
      </w:tr>
      <w:tr w:rsidR="006E3A77" w:rsidRPr="007A667E" w14:paraId="39297035" w14:textId="77777777" w:rsidTr="006E3A77">
        <w:tc>
          <w:tcPr>
            <w:tcW w:w="1413" w:type="dxa"/>
            <w:vAlign w:val="center"/>
          </w:tcPr>
          <w:p w14:paraId="3F6234ED" w14:textId="1A115E1E" w:rsidR="007416FB" w:rsidRPr="007A667E" w:rsidRDefault="006E3A77" w:rsidP="00E856E8">
            <w:pPr>
              <w:spacing w:before="80" w:after="80"/>
              <w:jc w:val="both"/>
              <w:rPr>
                <w:rFonts w:cs="Arial"/>
                <w:b/>
                <w:bCs/>
                <w:szCs w:val="24"/>
              </w:rPr>
            </w:pPr>
            <w:r w:rsidRPr="007A667E">
              <w:rPr>
                <w:rFonts w:cs="Arial"/>
                <w:b/>
                <w:bCs/>
                <w:szCs w:val="24"/>
              </w:rPr>
              <w:lastRenderedPageBreak/>
              <w:t>7 Points</w:t>
            </w:r>
          </w:p>
        </w:tc>
        <w:tc>
          <w:tcPr>
            <w:tcW w:w="7603" w:type="dxa"/>
          </w:tcPr>
          <w:p w14:paraId="294C7F59" w14:textId="77777777" w:rsidR="006E3A77" w:rsidRPr="007A667E" w:rsidRDefault="006E3A77" w:rsidP="00E856E8">
            <w:pPr>
              <w:spacing w:before="80" w:after="80"/>
              <w:jc w:val="both"/>
              <w:rPr>
                <w:rFonts w:cs="Arial"/>
                <w:szCs w:val="24"/>
              </w:rPr>
            </w:pPr>
            <w:r w:rsidRPr="007A667E">
              <w:rPr>
                <w:rFonts w:cs="Arial"/>
                <w:b/>
                <w:bCs/>
                <w:szCs w:val="24"/>
              </w:rPr>
              <w:t>Good:</w:t>
            </w:r>
            <w:r w:rsidRPr="007A667E">
              <w:rPr>
                <w:rFonts w:cs="Arial"/>
                <w:szCs w:val="24"/>
              </w:rPr>
              <w:t xml:space="preserve"> </w:t>
            </w:r>
          </w:p>
          <w:p w14:paraId="29A7CEF7" w14:textId="77777777" w:rsidR="006E3A77" w:rsidRPr="007A667E" w:rsidRDefault="006E3A77" w:rsidP="00E856E8">
            <w:pPr>
              <w:pStyle w:val="ListParagraph"/>
              <w:numPr>
                <w:ilvl w:val="0"/>
                <w:numId w:val="18"/>
              </w:numPr>
              <w:spacing w:before="80" w:after="80"/>
              <w:contextualSpacing w:val="0"/>
              <w:jc w:val="both"/>
              <w:rPr>
                <w:rFonts w:cs="Arial"/>
                <w:szCs w:val="24"/>
              </w:rPr>
            </w:pPr>
            <w:r w:rsidRPr="007A667E">
              <w:rPr>
                <w:rFonts w:cs="Arial"/>
                <w:szCs w:val="24"/>
              </w:rPr>
              <w:t xml:space="preserve">Potential Supplier has provided a response that addresses all parts of the requirement </w:t>
            </w:r>
          </w:p>
          <w:p w14:paraId="4E0C8A27" w14:textId="77777777" w:rsidR="006E3A77" w:rsidRPr="007A667E" w:rsidRDefault="006E3A77" w:rsidP="00E856E8">
            <w:pPr>
              <w:pStyle w:val="ListParagraph"/>
              <w:numPr>
                <w:ilvl w:val="0"/>
                <w:numId w:val="18"/>
              </w:numPr>
              <w:spacing w:before="80" w:after="80"/>
              <w:contextualSpacing w:val="0"/>
              <w:jc w:val="both"/>
              <w:rPr>
                <w:rFonts w:cs="Arial"/>
                <w:szCs w:val="24"/>
              </w:rPr>
            </w:pPr>
            <w:r w:rsidRPr="007A667E">
              <w:rPr>
                <w:rFonts w:cs="Arial"/>
                <w:szCs w:val="24"/>
              </w:rPr>
              <w:t xml:space="preserve">Potential Supplier has provided evidence to support most elements of their response </w:t>
            </w:r>
          </w:p>
          <w:p w14:paraId="108CC866" w14:textId="77777777" w:rsidR="006E3A77" w:rsidRPr="007A667E" w:rsidRDefault="006E3A77" w:rsidP="00E856E8">
            <w:pPr>
              <w:pStyle w:val="ListParagraph"/>
              <w:numPr>
                <w:ilvl w:val="0"/>
                <w:numId w:val="18"/>
              </w:numPr>
              <w:spacing w:before="80" w:after="80"/>
              <w:contextualSpacing w:val="0"/>
              <w:jc w:val="both"/>
              <w:rPr>
                <w:rFonts w:cs="Arial"/>
                <w:szCs w:val="24"/>
              </w:rPr>
            </w:pPr>
            <w:r w:rsidRPr="007A667E">
              <w:rPr>
                <w:rFonts w:cs="Arial"/>
                <w:szCs w:val="24"/>
              </w:rPr>
              <w:t>The evidence supplied is good and relevant to the requirement</w:t>
            </w:r>
          </w:p>
          <w:p w14:paraId="39FBBAF3" w14:textId="77777777" w:rsidR="006E3A77" w:rsidRPr="007A667E" w:rsidRDefault="006E3A77" w:rsidP="00E856E8">
            <w:pPr>
              <w:pStyle w:val="ListParagraph"/>
              <w:numPr>
                <w:ilvl w:val="0"/>
                <w:numId w:val="18"/>
              </w:numPr>
              <w:spacing w:before="80" w:after="80"/>
              <w:contextualSpacing w:val="0"/>
              <w:jc w:val="both"/>
              <w:rPr>
                <w:rFonts w:cs="Arial"/>
                <w:szCs w:val="24"/>
              </w:rPr>
            </w:pPr>
            <w:r w:rsidRPr="007A667E">
              <w:rPr>
                <w:rFonts w:cs="Arial"/>
                <w:szCs w:val="24"/>
              </w:rPr>
              <w:t>Potential Supplier’s response is clear and easy to understand</w:t>
            </w:r>
          </w:p>
          <w:p w14:paraId="35953BF2" w14:textId="65424270" w:rsidR="006E3A77" w:rsidRPr="007A667E" w:rsidRDefault="006E3A77" w:rsidP="00E856E8">
            <w:pPr>
              <w:pStyle w:val="ListParagraph"/>
              <w:numPr>
                <w:ilvl w:val="0"/>
                <w:numId w:val="18"/>
              </w:numPr>
              <w:spacing w:before="80" w:after="80"/>
              <w:contextualSpacing w:val="0"/>
              <w:jc w:val="both"/>
              <w:rPr>
                <w:rFonts w:cs="Arial"/>
                <w:szCs w:val="24"/>
              </w:rPr>
            </w:pPr>
            <w:r w:rsidRPr="007A667E">
              <w:rPr>
                <w:rFonts w:cs="Arial"/>
                <w:szCs w:val="24"/>
              </w:rPr>
              <w:t>Where relevant, Potential Supplier has demonstrated some level of capability to deliver new and innovative service approaches</w:t>
            </w:r>
          </w:p>
        </w:tc>
      </w:tr>
      <w:tr w:rsidR="006E3A77" w:rsidRPr="007A667E" w14:paraId="1073661E" w14:textId="77777777" w:rsidTr="006E3A77">
        <w:tc>
          <w:tcPr>
            <w:tcW w:w="1413" w:type="dxa"/>
            <w:vAlign w:val="center"/>
          </w:tcPr>
          <w:p w14:paraId="05C26B10" w14:textId="006EC763" w:rsidR="006E3A77" w:rsidRPr="007A667E" w:rsidRDefault="006E3A77" w:rsidP="00E856E8">
            <w:pPr>
              <w:spacing w:before="80" w:after="80"/>
              <w:jc w:val="both"/>
              <w:rPr>
                <w:rFonts w:cs="Arial"/>
                <w:b/>
                <w:bCs/>
                <w:szCs w:val="24"/>
              </w:rPr>
            </w:pPr>
            <w:r w:rsidRPr="007A667E">
              <w:rPr>
                <w:rFonts w:cs="Arial"/>
                <w:b/>
                <w:bCs/>
                <w:szCs w:val="24"/>
              </w:rPr>
              <w:t>4 Points</w:t>
            </w:r>
          </w:p>
        </w:tc>
        <w:tc>
          <w:tcPr>
            <w:tcW w:w="7603" w:type="dxa"/>
          </w:tcPr>
          <w:p w14:paraId="0920D6FA" w14:textId="77777777" w:rsidR="006E3A77" w:rsidRPr="007A667E" w:rsidRDefault="006E3A77" w:rsidP="00E856E8">
            <w:pPr>
              <w:spacing w:before="80" w:after="80"/>
              <w:jc w:val="both"/>
              <w:rPr>
                <w:rFonts w:cs="Arial"/>
                <w:b/>
                <w:bCs/>
                <w:szCs w:val="24"/>
              </w:rPr>
            </w:pPr>
            <w:r w:rsidRPr="007A667E">
              <w:rPr>
                <w:rFonts w:cs="Arial"/>
                <w:b/>
                <w:bCs/>
                <w:szCs w:val="24"/>
              </w:rPr>
              <w:t>Average:</w:t>
            </w:r>
          </w:p>
          <w:p w14:paraId="019E39EC" w14:textId="19BD1931" w:rsidR="006E3A77" w:rsidRPr="007A667E" w:rsidRDefault="006E3A77" w:rsidP="00E856E8">
            <w:pPr>
              <w:pStyle w:val="ListParagraph"/>
              <w:numPr>
                <w:ilvl w:val="0"/>
                <w:numId w:val="19"/>
              </w:numPr>
              <w:spacing w:before="80" w:after="80"/>
              <w:contextualSpacing w:val="0"/>
              <w:jc w:val="both"/>
              <w:rPr>
                <w:rFonts w:cs="Arial"/>
                <w:szCs w:val="24"/>
              </w:rPr>
            </w:pPr>
            <w:r w:rsidRPr="007A667E">
              <w:rPr>
                <w:rFonts w:cs="Arial"/>
                <w:szCs w:val="24"/>
              </w:rPr>
              <w:t>Potential Supplier has provided a response that addresses some parts of the requirement</w:t>
            </w:r>
          </w:p>
          <w:p w14:paraId="3B804A5C" w14:textId="2821222E" w:rsidR="006E3A77" w:rsidRPr="007A667E" w:rsidRDefault="006E3A77" w:rsidP="00E856E8">
            <w:pPr>
              <w:pStyle w:val="ListParagraph"/>
              <w:numPr>
                <w:ilvl w:val="0"/>
                <w:numId w:val="19"/>
              </w:numPr>
              <w:spacing w:before="80" w:after="80"/>
              <w:contextualSpacing w:val="0"/>
              <w:jc w:val="both"/>
              <w:rPr>
                <w:rFonts w:cs="Arial"/>
                <w:szCs w:val="24"/>
              </w:rPr>
            </w:pPr>
            <w:r w:rsidRPr="007A667E">
              <w:rPr>
                <w:rFonts w:cs="Arial"/>
                <w:szCs w:val="24"/>
              </w:rPr>
              <w:t>Potential Supplier has provided evidence to support some elements of their response, but not all</w:t>
            </w:r>
          </w:p>
          <w:p w14:paraId="2175B6A1" w14:textId="77777777" w:rsidR="006E3A77" w:rsidRPr="007A667E" w:rsidRDefault="006E3A77" w:rsidP="00E856E8">
            <w:pPr>
              <w:pStyle w:val="ListParagraph"/>
              <w:numPr>
                <w:ilvl w:val="0"/>
                <w:numId w:val="19"/>
              </w:numPr>
              <w:spacing w:before="80" w:after="80"/>
              <w:contextualSpacing w:val="0"/>
              <w:jc w:val="both"/>
              <w:rPr>
                <w:rFonts w:cs="Arial"/>
                <w:szCs w:val="24"/>
              </w:rPr>
            </w:pPr>
            <w:r w:rsidRPr="007A667E">
              <w:rPr>
                <w:rFonts w:cs="Arial"/>
                <w:szCs w:val="24"/>
              </w:rPr>
              <w:t>The evidence supplied has some limited relevance to the requirement</w:t>
            </w:r>
          </w:p>
          <w:p w14:paraId="2E6384C1" w14:textId="77777777" w:rsidR="00F35A01" w:rsidRPr="007A667E" w:rsidRDefault="00F35A01" w:rsidP="00E856E8">
            <w:pPr>
              <w:pStyle w:val="ListParagraph"/>
              <w:numPr>
                <w:ilvl w:val="0"/>
                <w:numId w:val="19"/>
              </w:numPr>
              <w:spacing w:before="80" w:after="80"/>
              <w:contextualSpacing w:val="0"/>
              <w:jc w:val="both"/>
              <w:rPr>
                <w:rFonts w:cs="Arial"/>
                <w:szCs w:val="24"/>
              </w:rPr>
            </w:pPr>
            <w:r w:rsidRPr="007A667E">
              <w:rPr>
                <w:rFonts w:cs="Arial"/>
                <w:szCs w:val="24"/>
              </w:rPr>
              <w:t xml:space="preserve">Potential Supplier’s response is not always clear and easy to understand </w:t>
            </w:r>
          </w:p>
          <w:p w14:paraId="0E91F512" w14:textId="0C979609" w:rsidR="00F35A01" w:rsidRPr="007A667E" w:rsidRDefault="00F35A01" w:rsidP="00E856E8">
            <w:pPr>
              <w:pStyle w:val="ListParagraph"/>
              <w:numPr>
                <w:ilvl w:val="0"/>
                <w:numId w:val="19"/>
              </w:numPr>
              <w:spacing w:before="80" w:after="80"/>
              <w:contextualSpacing w:val="0"/>
              <w:jc w:val="both"/>
              <w:rPr>
                <w:rFonts w:cs="Arial"/>
                <w:szCs w:val="24"/>
              </w:rPr>
            </w:pPr>
            <w:r w:rsidRPr="007A667E">
              <w:rPr>
                <w:rFonts w:cs="Arial"/>
                <w:szCs w:val="24"/>
              </w:rPr>
              <w:t>Where relevant, Potential Supplier has demonstrated limited capability to deliver new and innovative service approaches</w:t>
            </w:r>
          </w:p>
        </w:tc>
      </w:tr>
      <w:tr w:rsidR="006E3A77" w:rsidRPr="007A667E" w14:paraId="41A19C3F" w14:textId="77777777" w:rsidTr="006E3A77">
        <w:tc>
          <w:tcPr>
            <w:tcW w:w="1413" w:type="dxa"/>
            <w:vAlign w:val="center"/>
          </w:tcPr>
          <w:p w14:paraId="362157AE" w14:textId="6F56D185" w:rsidR="006E3A77" w:rsidRPr="007A667E" w:rsidRDefault="006E3A77" w:rsidP="00E856E8">
            <w:pPr>
              <w:spacing w:before="80" w:after="80"/>
              <w:jc w:val="both"/>
              <w:rPr>
                <w:rFonts w:cs="Arial"/>
                <w:b/>
                <w:bCs/>
                <w:szCs w:val="24"/>
              </w:rPr>
            </w:pPr>
            <w:r w:rsidRPr="007A667E">
              <w:rPr>
                <w:rFonts w:cs="Arial"/>
                <w:b/>
                <w:bCs/>
                <w:szCs w:val="24"/>
              </w:rPr>
              <w:t>1 Point</w:t>
            </w:r>
          </w:p>
        </w:tc>
        <w:tc>
          <w:tcPr>
            <w:tcW w:w="7603" w:type="dxa"/>
          </w:tcPr>
          <w:p w14:paraId="430680CB" w14:textId="77777777" w:rsidR="00F35A01" w:rsidRPr="007A667E" w:rsidRDefault="00F35A01" w:rsidP="00E856E8">
            <w:pPr>
              <w:spacing w:before="80" w:after="80"/>
              <w:jc w:val="both"/>
              <w:rPr>
                <w:rFonts w:cs="Arial"/>
                <w:szCs w:val="24"/>
              </w:rPr>
            </w:pPr>
            <w:r w:rsidRPr="007A667E">
              <w:rPr>
                <w:rFonts w:cs="Arial"/>
                <w:b/>
                <w:bCs/>
                <w:szCs w:val="24"/>
              </w:rPr>
              <w:t>Poor:</w:t>
            </w:r>
            <w:r w:rsidRPr="007A667E">
              <w:rPr>
                <w:rFonts w:cs="Arial"/>
                <w:szCs w:val="24"/>
              </w:rPr>
              <w:t xml:space="preserve"> </w:t>
            </w:r>
          </w:p>
          <w:p w14:paraId="1D12B383" w14:textId="77777777" w:rsidR="00F35A01" w:rsidRPr="007A667E" w:rsidRDefault="00F35A01" w:rsidP="00E856E8">
            <w:pPr>
              <w:pStyle w:val="ListParagraph"/>
              <w:numPr>
                <w:ilvl w:val="0"/>
                <w:numId w:val="20"/>
              </w:numPr>
              <w:spacing w:before="80" w:after="80"/>
              <w:contextualSpacing w:val="0"/>
              <w:jc w:val="both"/>
              <w:rPr>
                <w:rFonts w:cs="Arial"/>
                <w:szCs w:val="24"/>
              </w:rPr>
            </w:pPr>
            <w:r w:rsidRPr="007A667E">
              <w:rPr>
                <w:rFonts w:cs="Arial"/>
                <w:szCs w:val="24"/>
              </w:rPr>
              <w:t xml:space="preserve">Potential Supplier has provided a response that fails to address most parts of the requirement </w:t>
            </w:r>
          </w:p>
          <w:p w14:paraId="45A2200B" w14:textId="77777777" w:rsidR="00F35A01" w:rsidRPr="007A667E" w:rsidRDefault="00F35A01" w:rsidP="00E856E8">
            <w:pPr>
              <w:pStyle w:val="ListParagraph"/>
              <w:numPr>
                <w:ilvl w:val="0"/>
                <w:numId w:val="20"/>
              </w:numPr>
              <w:spacing w:before="80" w:after="80"/>
              <w:contextualSpacing w:val="0"/>
              <w:jc w:val="both"/>
              <w:rPr>
                <w:rFonts w:cs="Arial"/>
                <w:szCs w:val="24"/>
              </w:rPr>
            </w:pPr>
            <w:r w:rsidRPr="007A667E">
              <w:rPr>
                <w:rFonts w:cs="Arial"/>
                <w:szCs w:val="24"/>
              </w:rPr>
              <w:t xml:space="preserve">Potential Supplier has provided little or no evidence to support most elements of their response </w:t>
            </w:r>
          </w:p>
          <w:p w14:paraId="5DFA1771" w14:textId="77777777" w:rsidR="00F35A01" w:rsidRPr="007A667E" w:rsidRDefault="00F35A01" w:rsidP="00E856E8">
            <w:pPr>
              <w:pStyle w:val="ListParagraph"/>
              <w:numPr>
                <w:ilvl w:val="0"/>
                <w:numId w:val="20"/>
              </w:numPr>
              <w:spacing w:before="80" w:after="80"/>
              <w:contextualSpacing w:val="0"/>
              <w:jc w:val="both"/>
              <w:rPr>
                <w:rFonts w:cs="Arial"/>
                <w:szCs w:val="24"/>
              </w:rPr>
            </w:pPr>
            <w:r w:rsidRPr="007A667E">
              <w:rPr>
                <w:rFonts w:cs="Arial"/>
                <w:szCs w:val="24"/>
              </w:rPr>
              <w:t xml:space="preserve">The evidence supplied is very weak and has very limited relevance to the requirement </w:t>
            </w:r>
          </w:p>
          <w:p w14:paraId="75DA56BD" w14:textId="77777777" w:rsidR="00F35A01" w:rsidRPr="007A667E" w:rsidRDefault="00F35A01" w:rsidP="00E856E8">
            <w:pPr>
              <w:pStyle w:val="ListParagraph"/>
              <w:numPr>
                <w:ilvl w:val="0"/>
                <w:numId w:val="20"/>
              </w:numPr>
              <w:spacing w:before="80" w:after="80"/>
              <w:contextualSpacing w:val="0"/>
              <w:jc w:val="both"/>
              <w:rPr>
                <w:rFonts w:cs="Arial"/>
                <w:szCs w:val="24"/>
              </w:rPr>
            </w:pPr>
            <w:r w:rsidRPr="007A667E">
              <w:rPr>
                <w:rFonts w:cs="Arial"/>
                <w:szCs w:val="24"/>
              </w:rPr>
              <w:t xml:space="preserve">Potential Supplier’s response is not always clear and easy to understand </w:t>
            </w:r>
          </w:p>
          <w:p w14:paraId="382D6C54" w14:textId="3F77E6B4" w:rsidR="006E3A77" w:rsidRPr="007A667E" w:rsidRDefault="00F35A01" w:rsidP="00E856E8">
            <w:pPr>
              <w:pStyle w:val="ListParagraph"/>
              <w:numPr>
                <w:ilvl w:val="0"/>
                <w:numId w:val="20"/>
              </w:numPr>
              <w:spacing w:before="80" w:after="80"/>
              <w:contextualSpacing w:val="0"/>
              <w:jc w:val="both"/>
              <w:rPr>
                <w:rFonts w:cs="Arial"/>
                <w:szCs w:val="24"/>
              </w:rPr>
            </w:pPr>
            <w:r w:rsidRPr="007A667E">
              <w:rPr>
                <w:rFonts w:cs="Arial"/>
                <w:szCs w:val="24"/>
              </w:rPr>
              <w:t>Where relevant, Potential Supplier has demonstrated little or no capability to deliver new and innovative service approaches</w:t>
            </w:r>
          </w:p>
        </w:tc>
      </w:tr>
    </w:tbl>
    <w:p w14:paraId="7241090C" w14:textId="6C577235" w:rsidR="00430663" w:rsidRDefault="00430663" w:rsidP="00B16510">
      <w:pPr>
        <w:jc w:val="both"/>
        <w:rPr>
          <w:rFonts w:cs="Arial"/>
          <w:szCs w:val="24"/>
        </w:rPr>
      </w:pPr>
    </w:p>
    <w:p w14:paraId="57EFE06D" w14:textId="01023738" w:rsidR="0064215E" w:rsidRDefault="0064215E" w:rsidP="0064215E">
      <w:pPr>
        <w:jc w:val="both"/>
        <w:rPr>
          <w:rFonts w:cs="Arial"/>
          <w:szCs w:val="24"/>
        </w:rPr>
      </w:pPr>
      <w:r>
        <w:rPr>
          <w:rFonts w:cs="Arial"/>
          <w:szCs w:val="24"/>
        </w:rPr>
        <w:t xml:space="preserve">The top three ranked bidders will be shortlisted for interview, as referred to in item </w:t>
      </w:r>
      <w:r>
        <w:rPr>
          <w:rFonts w:cs="Arial"/>
          <w:szCs w:val="24"/>
        </w:rPr>
        <w:t>5</w:t>
      </w:r>
      <w:r>
        <w:rPr>
          <w:rFonts w:cs="Arial"/>
          <w:szCs w:val="24"/>
        </w:rPr>
        <w:t xml:space="preserve"> of the timetable below. Once these interviews have been completed, the shortlisted bidders’ submissions will be re-evaluated and a contract award decision made.</w:t>
      </w:r>
    </w:p>
    <w:p w14:paraId="2EF71510" w14:textId="77777777" w:rsidR="0064215E" w:rsidRPr="007A667E" w:rsidRDefault="0064215E" w:rsidP="00B16510">
      <w:pPr>
        <w:jc w:val="both"/>
        <w:rPr>
          <w:rFonts w:cs="Arial"/>
          <w:szCs w:val="24"/>
        </w:rPr>
      </w:pPr>
    </w:p>
    <w:p w14:paraId="3523956A" w14:textId="22B55AED" w:rsidR="006E3A77" w:rsidRPr="007A667E" w:rsidRDefault="008D04BA" w:rsidP="00CB6C35">
      <w:pPr>
        <w:pStyle w:val="Heading2"/>
        <w:rPr>
          <w:rFonts w:cs="Arial"/>
          <w:b/>
          <w:bCs/>
          <w:color w:val="1F4E79" w:themeColor="accent5" w:themeShade="80"/>
        </w:rPr>
      </w:pPr>
      <w:bookmarkStart w:id="16" w:name="_Toc205045024"/>
      <w:r w:rsidRPr="007A667E">
        <w:rPr>
          <w:rFonts w:cs="Arial"/>
          <w:b/>
          <w:bCs/>
          <w:color w:val="1F4E79" w:themeColor="accent5" w:themeShade="80"/>
        </w:rPr>
        <w:lastRenderedPageBreak/>
        <w:t>10</w:t>
      </w:r>
      <w:r w:rsidR="00630E43" w:rsidRPr="007A667E">
        <w:rPr>
          <w:rFonts w:cs="Arial"/>
          <w:b/>
          <w:bCs/>
          <w:color w:val="1F4E79" w:themeColor="accent5" w:themeShade="80"/>
        </w:rPr>
        <w:t xml:space="preserve">. </w:t>
      </w:r>
      <w:r w:rsidR="00F35A01" w:rsidRPr="007A667E">
        <w:rPr>
          <w:rFonts w:cs="Arial"/>
          <w:b/>
          <w:bCs/>
          <w:color w:val="1F4E79" w:themeColor="accent5" w:themeShade="80"/>
        </w:rPr>
        <w:t>Procurement Timetable</w:t>
      </w:r>
      <w:bookmarkEnd w:id="16"/>
    </w:p>
    <w:p w14:paraId="0EBABB33" w14:textId="2A828D27" w:rsidR="00F35A01" w:rsidRPr="007A667E" w:rsidRDefault="00F35A01" w:rsidP="00B16510">
      <w:pPr>
        <w:jc w:val="both"/>
        <w:rPr>
          <w:rFonts w:cs="Arial"/>
          <w:szCs w:val="24"/>
        </w:rPr>
      </w:pPr>
      <w:r w:rsidRPr="007A667E">
        <w:rPr>
          <w:rFonts w:cs="Arial"/>
          <w:szCs w:val="24"/>
        </w:rPr>
        <w:t>The procurement timetable is as follows:</w:t>
      </w:r>
    </w:p>
    <w:tbl>
      <w:tblPr>
        <w:tblStyle w:val="TableGrid"/>
        <w:tblW w:w="0" w:type="auto"/>
        <w:tblLook w:val="04A0" w:firstRow="1" w:lastRow="0" w:firstColumn="1" w:lastColumn="0" w:noHBand="0" w:noVBand="1"/>
      </w:tblPr>
      <w:tblGrid>
        <w:gridCol w:w="603"/>
        <w:gridCol w:w="5414"/>
        <w:gridCol w:w="2999"/>
      </w:tblGrid>
      <w:tr w:rsidR="00C07578" w:rsidRPr="007A667E" w14:paraId="6428837E" w14:textId="77777777" w:rsidTr="127F171C">
        <w:tc>
          <w:tcPr>
            <w:tcW w:w="603" w:type="dxa"/>
            <w:vAlign w:val="center"/>
          </w:tcPr>
          <w:p w14:paraId="7477E897" w14:textId="67BEDEE3" w:rsidR="00C07578" w:rsidRPr="007A667E" w:rsidRDefault="00C07578" w:rsidP="00C07578">
            <w:pPr>
              <w:spacing w:before="60" w:after="60"/>
              <w:jc w:val="both"/>
              <w:rPr>
                <w:rFonts w:cs="Arial"/>
                <w:b/>
                <w:bCs/>
                <w:szCs w:val="24"/>
              </w:rPr>
            </w:pPr>
            <w:bookmarkStart w:id="17" w:name="_Hlk180485378"/>
            <w:r w:rsidRPr="007A667E">
              <w:rPr>
                <w:rFonts w:cs="Arial"/>
                <w:b/>
                <w:bCs/>
                <w:szCs w:val="24"/>
              </w:rPr>
              <w:t>Ref</w:t>
            </w:r>
          </w:p>
        </w:tc>
        <w:tc>
          <w:tcPr>
            <w:tcW w:w="5414" w:type="dxa"/>
            <w:vAlign w:val="center"/>
          </w:tcPr>
          <w:p w14:paraId="3722EC81" w14:textId="083796B8" w:rsidR="00C07578" w:rsidRPr="007A667E" w:rsidRDefault="00C07578" w:rsidP="00C07578">
            <w:pPr>
              <w:spacing w:before="60" w:after="60"/>
              <w:jc w:val="both"/>
              <w:rPr>
                <w:rFonts w:cs="Arial"/>
                <w:b/>
                <w:bCs/>
                <w:szCs w:val="24"/>
              </w:rPr>
            </w:pPr>
            <w:r w:rsidRPr="007A667E">
              <w:rPr>
                <w:rFonts w:cs="Arial"/>
                <w:b/>
                <w:bCs/>
                <w:szCs w:val="24"/>
              </w:rPr>
              <w:t>Description</w:t>
            </w:r>
          </w:p>
        </w:tc>
        <w:tc>
          <w:tcPr>
            <w:tcW w:w="2999" w:type="dxa"/>
            <w:vAlign w:val="center"/>
          </w:tcPr>
          <w:p w14:paraId="51D7F03F" w14:textId="5A678674" w:rsidR="00C07578" w:rsidRPr="007A667E" w:rsidRDefault="00C07578" w:rsidP="00C07578">
            <w:pPr>
              <w:spacing w:before="60" w:after="60"/>
              <w:jc w:val="both"/>
              <w:rPr>
                <w:rFonts w:cs="Arial"/>
                <w:b/>
                <w:bCs/>
                <w:szCs w:val="24"/>
              </w:rPr>
            </w:pPr>
            <w:r w:rsidRPr="007A667E">
              <w:rPr>
                <w:rFonts w:cs="Arial"/>
                <w:b/>
                <w:bCs/>
                <w:szCs w:val="24"/>
              </w:rPr>
              <w:t>Date</w:t>
            </w:r>
          </w:p>
        </w:tc>
      </w:tr>
      <w:tr w:rsidR="00C07578" w:rsidRPr="007A667E" w14:paraId="5A83D056" w14:textId="77777777" w:rsidTr="127F171C">
        <w:tc>
          <w:tcPr>
            <w:tcW w:w="603" w:type="dxa"/>
            <w:vAlign w:val="center"/>
          </w:tcPr>
          <w:p w14:paraId="0149541D" w14:textId="566884A5" w:rsidR="00C07578" w:rsidRPr="007A667E" w:rsidRDefault="00C07578" w:rsidP="00C07578">
            <w:pPr>
              <w:spacing w:before="60" w:after="60"/>
              <w:jc w:val="both"/>
              <w:rPr>
                <w:rFonts w:cs="Arial"/>
                <w:szCs w:val="24"/>
              </w:rPr>
            </w:pPr>
            <w:r w:rsidRPr="007A667E">
              <w:rPr>
                <w:rFonts w:cs="Arial"/>
                <w:szCs w:val="24"/>
              </w:rPr>
              <w:t>1</w:t>
            </w:r>
          </w:p>
        </w:tc>
        <w:tc>
          <w:tcPr>
            <w:tcW w:w="5414" w:type="dxa"/>
            <w:vAlign w:val="center"/>
          </w:tcPr>
          <w:p w14:paraId="752CA01E" w14:textId="1EDECA64" w:rsidR="00C07578" w:rsidRPr="007A667E" w:rsidRDefault="00C07578" w:rsidP="000F2847">
            <w:pPr>
              <w:spacing w:before="60" w:after="60"/>
              <w:rPr>
                <w:rFonts w:cs="Arial"/>
                <w:szCs w:val="24"/>
              </w:rPr>
            </w:pPr>
            <w:r w:rsidRPr="007A667E">
              <w:rPr>
                <w:rFonts w:cs="Arial"/>
                <w:szCs w:val="24"/>
              </w:rPr>
              <w:t>Invitation to Tender published</w:t>
            </w:r>
          </w:p>
        </w:tc>
        <w:tc>
          <w:tcPr>
            <w:tcW w:w="2999" w:type="dxa"/>
            <w:vAlign w:val="center"/>
          </w:tcPr>
          <w:p w14:paraId="4C0798F5" w14:textId="42B4A8E7" w:rsidR="00C07578" w:rsidRPr="007A667E" w:rsidRDefault="007375F3" w:rsidP="127F171C">
            <w:pPr>
              <w:spacing w:before="60" w:after="60"/>
              <w:rPr>
                <w:rFonts w:cs="Arial"/>
              </w:rPr>
            </w:pPr>
            <w:r>
              <w:rPr>
                <w:rFonts w:cs="Arial"/>
              </w:rPr>
              <w:t>Friday 5</w:t>
            </w:r>
            <w:r w:rsidRPr="007375F3">
              <w:rPr>
                <w:rFonts w:cs="Arial"/>
                <w:vertAlign w:val="superscript"/>
              </w:rPr>
              <w:t>th</w:t>
            </w:r>
            <w:r>
              <w:rPr>
                <w:rFonts w:cs="Arial"/>
              </w:rPr>
              <w:t xml:space="preserve"> September</w:t>
            </w:r>
          </w:p>
        </w:tc>
      </w:tr>
      <w:tr w:rsidR="007A667E" w:rsidRPr="007A667E" w14:paraId="698E4FF0" w14:textId="77777777" w:rsidTr="127F171C">
        <w:tc>
          <w:tcPr>
            <w:tcW w:w="603" w:type="dxa"/>
            <w:vAlign w:val="center"/>
          </w:tcPr>
          <w:p w14:paraId="0DDC4B36" w14:textId="3F18AB58" w:rsidR="007A667E" w:rsidRPr="007A667E" w:rsidRDefault="007A667E" w:rsidP="007A667E">
            <w:pPr>
              <w:spacing w:before="60" w:after="60"/>
              <w:jc w:val="both"/>
              <w:rPr>
                <w:rFonts w:cs="Arial"/>
                <w:szCs w:val="24"/>
              </w:rPr>
            </w:pPr>
            <w:r w:rsidRPr="007A667E">
              <w:rPr>
                <w:rFonts w:cs="Arial"/>
                <w:szCs w:val="24"/>
              </w:rPr>
              <w:t>2</w:t>
            </w:r>
          </w:p>
        </w:tc>
        <w:tc>
          <w:tcPr>
            <w:tcW w:w="5414" w:type="dxa"/>
            <w:vAlign w:val="center"/>
          </w:tcPr>
          <w:p w14:paraId="573E1388" w14:textId="74B0D10D" w:rsidR="007A667E" w:rsidRPr="007A667E" w:rsidRDefault="007A667E" w:rsidP="007A667E">
            <w:pPr>
              <w:spacing w:before="60" w:after="60"/>
              <w:rPr>
                <w:rFonts w:cs="Arial"/>
                <w:szCs w:val="24"/>
              </w:rPr>
            </w:pPr>
            <w:r w:rsidRPr="007A667E">
              <w:rPr>
                <w:rFonts w:cs="Arial"/>
                <w:szCs w:val="24"/>
              </w:rPr>
              <w:t xml:space="preserve">Deadline for Potential Suppliers to submit clarification questions to </w:t>
            </w:r>
            <w:hyperlink r:id="rId36" w:history="1">
              <w:r w:rsidRPr="007A667E">
                <w:rPr>
                  <w:rStyle w:val="Hyperlink"/>
                  <w:rFonts w:cs="Arial"/>
                  <w:szCs w:val="24"/>
                </w:rPr>
                <w:t>procurement@nationalarchives.gov.uk</w:t>
              </w:r>
            </w:hyperlink>
          </w:p>
        </w:tc>
        <w:tc>
          <w:tcPr>
            <w:tcW w:w="2999" w:type="dxa"/>
            <w:vAlign w:val="center"/>
          </w:tcPr>
          <w:p w14:paraId="03803C19" w14:textId="1CDE27C7" w:rsidR="007A667E" w:rsidRPr="007A667E" w:rsidRDefault="4A795522" w:rsidP="127F171C">
            <w:pPr>
              <w:spacing w:before="60" w:after="60"/>
              <w:rPr>
                <w:rFonts w:cs="Arial"/>
              </w:rPr>
            </w:pPr>
            <w:r w:rsidRPr="42946D72">
              <w:rPr>
                <w:rFonts w:cs="Arial"/>
              </w:rPr>
              <w:t>5pm, Wednesday 1</w:t>
            </w:r>
            <w:r w:rsidRPr="42946D72">
              <w:rPr>
                <w:rFonts w:cs="Arial"/>
                <w:vertAlign w:val="superscript"/>
              </w:rPr>
              <w:t>st</w:t>
            </w:r>
            <w:r w:rsidRPr="42946D72">
              <w:rPr>
                <w:rFonts w:cs="Arial"/>
              </w:rPr>
              <w:t xml:space="preserve"> October</w:t>
            </w:r>
          </w:p>
        </w:tc>
      </w:tr>
      <w:tr w:rsidR="007A667E" w:rsidRPr="007A667E" w14:paraId="4A724BDD" w14:textId="77777777" w:rsidTr="127F171C">
        <w:tc>
          <w:tcPr>
            <w:tcW w:w="603" w:type="dxa"/>
            <w:vAlign w:val="center"/>
          </w:tcPr>
          <w:p w14:paraId="0D9480B0" w14:textId="6830D39A" w:rsidR="007A667E" w:rsidRPr="007A667E" w:rsidRDefault="001A389E" w:rsidP="007A667E">
            <w:pPr>
              <w:spacing w:before="60" w:after="60"/>
              <w:jc w:val="both"/>
              <w:rPr>
                <w:rFonts w:cs="Arial"/>
                <w:szCs w:val="24"/>
              </w:rPr>
            </w:pPr>
            <w:r>
              <w:rPr>
                <w:rFonts w:cs="Arial"/>
                <w:szCs w:val="24"/>
              </w:rPr>
              <w:t>3</w:t>
            </w:r>
          </w:p>
        </w:tc>
        <w:tc>
          <w:tcPr>
            <w:tcW w:w="5414" w:type="dxa"/>
            <w:vAlign w:val="center"/>
          </w:tcPr>
          <w:p w14:paraId="1519AA32" w14:textId="70310EDA" w:rsidR="007A667E" w:rsidRPr="007A667E" w:rsidRDefault="007A667E" w:rsidP="007A667E">
            <w:pPr>
              <w:spacing w:before="60" w:after="60"/>
              <w:rPr>
                <w:rFonts w:cs="Arial"/>
                <w:szCs w:val="24"/>
              </w:rPr>
            </w:pPr>
            <w:r w:rsidRPr="007A667E">
              <w:rPr>
                <w:rFonts w:cs="Arial"/>
                <w:szCs w:val="24"/>
              </w:rPr>
              <w:t xml:space="preserve">Deadline for Potential Suppliers to submit Tender Responses to </w:t>
            </w:r>
            <w:hyperlink r:id="rId37" w:history="1">
              <w:r w:rsidRPr="007A667E">
                <w:rPr>
                  <w:rStyle w:val="Hyperlink"/>
                  <w:rFonts w:cs="Arial"/>
                  <w:szCs w:val="24"/>
                </w:rPr>
                <w:t>procurement@nationalarchives.gov.uk</w:t>
              </w:r>
            </w:hyperlink>
          </w:p>
        </w:tc>
        <w:tc>
          <w:tcPr>
            <w:tcW w:w="2999" w:type="dxa"/>
            <w:vAlign w:val="center"/>
          </w:tcPr>
          <w:p w14:paraId="14A2F3DE" w14:textId="70BF7B0D" w:rsidR="007A667E" w:rsidRPr="007A667E" w:rsidRDefault="1FF19231" w:rsidP="127F171C">
            <w:pPr>
              <w:spacing w:before="60" w:after="60"/>
              <w:rPr>
                <w:rFonts w:cs="Arial"/>
              </w:rPr>
            </w:pPr>
            <w:r w:rsidRPr="42946D72">
              <w:rPr>
                <w:rFonts w:cs="Arial"/>
              </w:rPr>
              <w:t>Friday 24</w:t>
            </w:r>
            <w:r w:rsidRPr="42946D72">
              <w:rPr>
                <w:rFonts w:cs="Arial"/>
                <w:vertAlign w:val="superscript"/>
              </w:rPr>
              <w:t>th</w:t>
            </w:r>
            <w:r w:rsidRPr="42946D72">
              <w:rPr>
                <w:rFonts w:cs="Arial"/>
              </w:rPr>
              <w:t xml:space="preserve"> October </w:t>
            </w:r>
          </w:p>
        </w:tc>
      </w:tr>
      <w:tr w:rsidR="007A667E" w:rsidRPr="007A667E" w14:paraId="4A247709" w14:textId="77777777" w:rsidTr="127F171C">
        <w:tc>
          <w:tcPr>
            <w:tcW w:w="603" w:type="dxa"/>
            <w:vAlign w:val="center"/>
          </w:tcPr>
          <w:p w14:paraId="02BDCE9D" w14:textId="1914748C" w:rsidR="007A667E" w:rsidRPr="007A667E" w:rsidRDefault="001A389E" w:rsidP="007A667E">
            <w:pPr>
              <w:spacing w:before="60" w:after="60"/>
              <w:jc w:val="both"/>
              <w:rPr>
                <w:rFonts w:cs="Arial"/>
                <w:szCs w:val="24"/>
              </w:rPr>
            </w:pPr>
            <w:r>
              <w:rPr>
                <w:rFonts w:cs="Arial"/>
                <w:szCs w:val="24"/>
              </w:rPr>
              <w:t>4</w:t>
            </w:r>
          </w:p>
        </w:tc>
        <w:tc>
          <w:tcPr>
            <w:tcW w:w="5414" w:type="dxa"/>
            <w:vAlign w:val="center"/>
          </w:tcPr>
          <w:p w14:paraId="46ABFC6E" w14:textId="6B947A1A" w:rsidR="007A667E" w:rsidRPr="007A667E" w:rsidRDefault="007A667E" w:rsidP="007A667E">
            <w:pPr>
              <w:spacing w:before="60" w:after="60"/>
              <w:rPr>
                <w:rFonts w:cs="Arial"/>
                <w:szCs w:val="24"/>
              </w:rPr>
            </w:pPr>
            <w:r w:rsidRPr="007A667E">
              <w:rPr>
                <w:rFonts w:cs="Arial"/>
                <w:szCs w:val="24"/>
              </w:rPr>
              <w:t>Evaluation of submissions completed</w:t>
            </w:r>
          </w:p>
        </w:tc>
        <w:tc>
          <w:tcPr>
            <w:tcW w:w="2999" w:type="dxa"/>
            <w:vAlign w:val="center"/>
          </w:tcPr>
          <w:p w14:paraId="4EFFE5EC" w14:textId="05840629" w:rsidR="007A667E" w:rsidRPr="007A667E" w:rsidRDefault="045EE245" w:rsidP="127F171C">
            <w:pPr>
              <w:spacing w:before="60" w:after="60"/>
              <w:rPr>
                <w:rFonts w:cs="Arial"/>
              </w:rPr>
            </w:pPr>
            <w:r w:rsidRPr="42946D72">
              <w:rPr>
                <w:rFonts w:cs="Arial"/>
              </w:rPr>
              <w:t>w/b 10</w:t>
            </w:r>
            <w:r w:rsidRPr="42946D72">
              <w:rPr>
                <w:rFonts w:cs="Arial"/>
                <w:vertAlign w:val="superscript"/>
              </w:rPr>
              <w:t>th</w:t>
            </w:r>
            <w:r w:rsidRPr="42946D72">
              <w:rPr>
                <w:rFonts w:cs="Arial"/>
              </w:rPr>
              <w:t xml:space="preserve"> November</w:t>
            </w:r>
          </w:p>
        </w:tc>
      </w:tr>
      <w:tr w:rsidR="007A667E" w:rsidRPr="007A667E" w14:paraId="79DE3328" w14:textId="77777777" w:rsidTr="127F171C">
        <w:tc>
          <w:tcPr>
            <w:tcW w:w="603" w:type="dxa"/>
            <w:vAlign w:val="center"/>
          </w:tcPr>
          <w:p w14:paraId="55B277BE" w14:textId="50ED9019" w:rsidR="007A667E" w:rsidRPr="007A667E" w:rsidRDefault="001A389E" w:rsidP="007A667E">
            <w:pPr>
              <w:spacing w:before="60" w:after="60"/>
              <w:jc w:val="both"/>
              <w:rPr>
                <w:rFonts w:cs="Arial"/>
                <w:szCs w:val="24"/>
              </w:rPr>
            </w:pPr>
            <w:r>
              <w:rPr>
                <w:rFonts w:cs="Arial"/>
                <w:szCs w:val="24"/>
              </w:rPr>
              <w:t>5</w:t>
            </w:r>
          </w:p>
        </w:tc>
        <w:tc>
          <w:tcPr>
            <w:tcW w:w="5414" w:type="dxa"/>
            <w:vAlign w:val="center"/>
          </w:tcPr>
          <w:p w14:paraId="3AA88D57" w14:textId="135E470F" w:rsidR="007A667E" w:rsidRPr="007A667E" w:rsidRDefault="007A667E" w:rsidP="007A667E">
            <w:pPr>
              <w:spacing w:before="60" w:after="60"/>
              <w:rPr>
                <w:rFonts w:cs="Arial"/>
                <w:szCs w:val="24"/>
              </w:rPr>
            </w:pPr>
            <w:r w:rsidRPr="007A667E">
              <w:rPr>
                <w:rFonts w:cs="Arial"/>
                <w:szCs w:val="24"/>
              </w:rPr>
              <w:t>Interviews with shortlisted suppliers</w:t>
            </w:r>
          </w:p>
        </w:tc>
        <w:tc>
          <w:tcPr>
            <w:tcW w:w="2999" w:type="dxa"/>
            <w:vAlign w:val="center"/>
          </w:tcPr>
          <w:p w14:paraId="6F4309DC" w14:textId="261FDAD6" w:rsidR="007A667E" w:rsidRPr="007A667E" w:rsidRDefault="796FE3C5" w:rsidP="127F171C">
            <w:pPr>
              <w:spacing w:before="60" w:after="60"/>
              <w:rPr>
                <w:rFonts w:cs="Arial"/>
              </w:rPr>
            </w:pPr>
            <w:r w:rsidRPr="42946D72">
              <w:rPr>
                <w:rFonts w:cs="Arial"/>
              </w:rPr>
              <w:t>w/b 24</w:t>
            </w:r>
            <w:r w:rsidRPr="42946D72">
              <w:rPr>
                <w:rFonts w:cs="Arial"/>
                <w:vertAlign w:val="superscript"/>
              </w:rPr>
              <w:t>th</w:t>
            </w:r>
            <w:r w:rsidRPr="42946D72">
              <w:rPr>
                <w:rFonts w:cs="Arial"/>
              </w:rPr>
              <w:t xml:space="preserve"> November</w:t>
            </w:r>
          </w:p>
        </w:tc>
      </w:tr>
      <w:tr w:rsidR="007A667E" w:rsidRPr="007A667E" w14:paraId="27173B4F" w14:textId="77777777" w:rsidTr="127F171C">
        <w:tc>
          <w:tcPr>
            <w:tcW w:w="603" w:type="dxa"/>
            <w:vAlign w:val="center"/>
          </w:tcPr>
          <w:p w14:paraId="7148F1BD" w14:textId="4532F0AE" w:rsidR="007A667E" w:rsidRPr="007A667E" w:rsidRDefault="001A389E" w:rsidP="007A667E">
            <w:pPr>
              <w:spacing w:before="60" w:after="60"/>
              <w:jc w:val="both"/>
              <w:rPr>
                <w:rFonts w:cs="Arial"/>
                <w:szCs w:val="24"/>
              </w:rPr>
            </w:pPr>
            <w:r>
              <w:rPr>
                <w:rFonts w:cs="Arial"/>
                <w:szCs w:val="24"/>
              </w:rPr>
              <w:t>6</w:t>
            </w:r>
          </w:p>
        </w:tc>
        <w:tc>
          <w:tcPr>
            <w:tcW w:w="5414" w:type="dxa"/>
            <w:vAlign w:val="center"/>
          </w:tcPr>
          <w:p w14:paraId="166EDDB1" w14:textId="72AF3427" w:rsidR="007A667E" w:rsidRPr="007A667E" w:rsidRDefault="007A667E" w:rsidP="007A667E">
            <w:pPr>
              <w:spacing w:before="60" w:after="60"/>
              <w:rPr>
                <w:rFonts w:cs="Arial"/>
                <w:szCs w:val="24"/>
              </w:rPr>
            </w:pPr>
            <w:r w:rsidRPr="007A667E">
              <w:rPr>
                <w:rFonts w:cs="Arial"/>
                <w:szCs w:val="24"/>
              </w:rPr>
              <w:t>Contract Award</w:t>
            </w:r>
          </w:p>
        </w:tc>
        <w:tc>
          <w:tcPr>
            <w:tcW w:w="2999" w:type="dxa"/>
            <w:vAlign w:val="center"/>
          </w:tcPr>
          <w:p w14:paraId="363B96DC" w14:textId="7E6E19ED" w:rsidR="007A667E" w:rsidRPr="007A667E" w:rsidRDefault="410493A0" w:rsidP="127F171C">
            <w:pPr>
              <w:spacing w:before="60" w:after="60"/>
              <w:rPr>
                <w:rFonts w:cs="Arial"/>
              </w:rPr>
            </w:pPr>
            <w:r w:rsidRPr="42946D72">
              <w:rPr>
                <w:rFonts w:cs="Arial"/>
              </w:rPr>
              <w:t>December 2025</w:t>
            </w:r>
          </w:p>
        </w:tc>
      </w:tr>
    </w:tbl>
    <w:bookmarkEnd w:id="17"/>
    <w:p w14:paraId="7B3F7EB5" w14:textId="77777777" w:rsidR="00A05F8D" w:rsidRPr="007A667E" w:rsidRDefault="00F35A01" w:rsidP="00430663">
      <w:pPr>
        <w:spacing w:before="80"/>
        <w:jc w:val="both"/>
        <w:rPr>
          <w:rFonts w:cs="Arial"/>
          <w:szCs w:val="24"/>
        </w:rPr>
      </w:pPr>
      <w:r w:rsidRPr="007A667E">
        <w:rPr>
          <w:rFonts w:cs="Arial"/>
          <w:szCs w:val="24"/>
        </w:rPr>
        <w:t>* Any clarification question received that TNA deems to be relevant to more than one Potential Supplier may be shared with all Potential Suppliers</w:t>
      </w:r>
    </w:p>
    <w:p w14:paraId="35C302F9" w14:textId="77777777" w:rsidR="00A05F8D" w:rsidRPr="007A667E" w:rsidRDefault="00A05F8D" w:rsidP="00A05F8D">
      <w:pPr>
        <w:jc w:val="both"/>
        <w:rPr>
          <w:rFonts w:cs="Arial"/>
          <w:szCs w:val="24"/>
        </w:rPr>
      </w:pPr>
    </w:p>
    <w:p w14:paraId="1B725B4B" w14:textId="17DA88E9" w:rsidR="00F35A01" w:rsidRPr="007A667E" w:rsidRDefault="008D04BA" w:rsidP="00A05F8D">
      <w:pPr>
        <w:pStyle w:val="Heading2"/>
        <w:rPr>
          <w:rFonts w:cs="Arial"/>
          <w:b/>
          <w:bCs/>
          <w:color w:val="1F4E79" w:themeColor="accent5" w:themeShade="80"/>
        </w:rPr>
      </w:pPr>
      <w:bookmarkStart w:id="18" w:name="_Toc205045025"/>
      <w:r w:rsidRPr="007A667E">
        <w:rPr>
          <w:rFonts w:cs="Arial"/>
          <w:b/>
          <w:bCs/>
          <w:color w:val="1F4E79" w:themeColor="accent5" w:themeShade="80"/>
        </w:rPr>
        <w:t>11</w:t>
      </w:r>
      <w:r w:rsidR="00630E43" w:rsidRPr="007A667E">
        <w:rPr>
          <w:rFonts w:cs="Arial"/>
          <w:b/>
          <w:bCs/>
          <w:color w:val="1F4E79" w:themeColor="accent5" w:themeShade="80"/>
        </w:rPr>
        <w:t xml:space="preserve">. </w:t>
      </w:r>
      <w:r w:rsidR="00F35A01" w:rsidRPr="007A667E">
        <w:rPr>
          <w:rFonts w:cs="Arial"/>
          <w:b/>
          <w:bCs/>
          <w:color w:val="1F4E79" w:themeColor="accent5" w:themeShade="80"/>
        </w:rPr>
        <w:t>Contract Terms</w:t>
      </w:r>
      <w:bookmarkEnd w:id="18"/>
    </w:p>
    <w:p w14:paraId="5AF90987" w14:textId="22C72466" w:rsidR="00F35A01" w:rsidRPr="007A667E" w:rsidRDefault="00F35A01" w:rsidP="00B16510">
      <w:pPr>
        <w:jc w:val="both"/>
        <w:rPr>
          <w:rFonts w:cs="Arial"/>
          <w:szCs w:val="24"/>
        </w:rPr>
      </w:pPr>
      <w:r w:rsidRPr="007A667E">
        <w:rPr>
          <w:rFonts w:cs="Arial"/>
          <w:szCs w:val="24"/>
        </w:rPr>
        <w:t>The contract will be awarded subject to our standard terms and conditions, which can be found</w:t>
      </w:r>
      <w:r w:rsidR="008D04BA" w:rsidRPr="007A667E">
        <w:rPr>
          <w:rFonts w:cs="Arial"/>
          <w:szCs w:val="24"/>
        </w:rPr>
        <w:t xml:space="preserve"> at</w:t>
      </w:r>
      <w:r w:rsidRPr="007A667E">
        <w:rPr>
          <w:rFonts w:cs="Arial"/>
          <w:szCs w:val="24"/>
        </w:rPr>
        <w:t xml:space="preserve"> </w:t>
      </w:r>
      <w:hyperlink r:id="rId38" w:history="1">
        <w:r w:rsidRPr="007A667E">
          <w:rPr>
            <w:rStyle w:val="Hyperlink"/>
            <w:rFonts w:cs="Arial"/>
            <w:szCs w:val="24"/>
          </w:rPr>
          <w:t>Information for our suppliers - The National Archives</w:t>
        </w:r>
      </w:hyperlink>
    </w:p>
    <w:p w14:paraId="7D886482" w14:textId="77777777" w:rsidR="00394AAB" w:rsidRDefault="00F35A01" w:rsidP="00D0434A">
      <w:pPr>
        <w:jc w:val="both"/>
        <w:rPr>
          <w:rFonts w:cs="Arial"/>
          <w:szCs w:val="24"/>
        </w:rPr>
      </w:pPr>
      <w:r w:rsidRPr="007A667E">
        <w:rPr>
          <w:rFonts w:cs="Arial"/>
          <w:szCs w:val="24"/>
        </w:rPr>
        <w:t>The National Archives reserves the right not to award and to complete its objects through other means.</w:t>
      </w:r>
    </w:p>
    <w:p w14:paraId="2702361B" w14:textId="77777777" w:rsidR="00394AAB" w:rsidRDefault="00394AAB">
      <w:pPr>
        <w:rPr>
          <w:rFonts w:cs="Arial"/>
          <w:szCs w:val="24"/>
        </w:rPr>
      </w:pPr>
      <w:r>
        <w:rPr>
          <w:rFonts w:cs="Arial"/>
          <w:szCs w:val="24"/>
        </w:rPr>
        <w:br w:type="page"/>
      </w:r>
    </w:p>
    <w:p w14:paraId="46605F99" w14:textId="77777777" w:rsidR="00394AAB" w:rsidRDefault="00394AAB" w:rsidP="00867DA5">
      <w:pPr>
        <w:pStyle w:val="Heading2"/>
        <w:rPr>
          <w:rFonts w:cs="Arial"/>
          <w:b/>
          <w:bCs/>
          <w:color w:val="1F4E79" w:themeColor="accent5" w:themeShade="80"/>
        </w:rPr>
        <w:sectPr w:rsidR="00394AAB" w:rsidSect="0033731C">
          <w:headerReference w:type="default" r:id="rId39"/>
          <w:footerReference w:type="default" r:id="rId40"/>
          <w:pgSz w:w="11906" w:h="16838"/>
          <w:pgMar w:top="1440" w:right="1080" w:bottom="1440" w:left="1080" w:header="708" w:footer="708" w:gutter="0"/>
          <w:cols w:space="708"/>
          <w:titlePg/>
          <w:docGrid w:linePitch="360"/>
        </w:sectPr>
      </w:pPr>
    </w:p>
    <w:p w14:paraId="665FACD8" w14:textId="25C7E0C6" w:rsidR="00CA423C" w:rsidRPr="00031AC3" w:rsidRDefault="001A389E" w:rsidP="00867DA5">
      <w:pPr>
        <w:pStyle w:val="Heading2"/>
        <w:rPr>
          <w:rFonts w:cs="Arial"/>
          <w:b/>
          <w:bCs/>
          <w:color w:val="1F4E79" w:themeColor="accent5" w:themeShade="80"/>
        </w:rPr>
      </w:pPr>
      <w:bookmarkStart w:id="19" w:name="_Toc205045026"/>
      <w:r>
        <w:rPr>
          <w:noProof/>
        </w:rPr>
        <w:lastRenderedPageBreak/>
        <w:drawing>
          <wp:anchor distT="0" distB="0" distL="114300" distR="114300" simplePos="0" relativeHeight="251658240" behindDoc="0" locked="0" layoutInCell="1" allowOverlap="1" wp14:anchorId="7981580E" wp14:editId="570256DE">
            <wp:simplePos x="0" y="0"/>
            <wp:positionH relativeFrom="margin">
              <wp:align>center</wp:align>
            </wp:positionH>
            <wp:positionV relativeFrom="margin">
              <wp:posOffset>499110</wp:posOffset>
            </wp:positionV>
            <wp:extent cx="10179050" cy="5725160"/>
            <wp:effectExtent l="0" t="0" r="0" b="8890"/>
            <wp:wrapSquare wrapText="bothSides"/>
            <wp:docPr id="8074904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90481" name=""/>
                    <pic:cNvPicPr/>
                  </pic:nvPicPr>
                  <pic:blipFill>
                    <a:blip r:embed="rId41">
                      <a:extLst>
                        <a:ext uri="{96DAC541-7B7A-43D3-8B79-37D633B846F1}">
                          <asvg:svgBlip xmlns:asvg="http://schemas.microsoft.com/office/drawing/2016/SVG/main" r:embed="rId42"/>
                        </a:ext>
                      </a:extLst>
                    </a:blip>
                    <a:stretch>
                      <a:fillRect/>
                    </a:stretch>
                  </pic:blipFill>
                  <pic:spPr>
                    <a:xfrm>
                      <a:off x="0" y="0"/>
                      <a:ext cx="10179050" cy="5725160"/>
                    </a:xfrm>
                    <a:prstGeom prst="rect">
                      <a:avLst/>
                    </a:prstGeom>
                  </pic:spPr>
                </pic:pic>
              </a:graphicData>
            </a:graphic>
            <wp14:sizeRelH relativeFrom="margin">
              <wp14:pctWidth>0</wp14:pctWidth>
            </wp14:sizeRelH>
            <wp14:sizeRelV relativeFrom="margin">
              <wp14:pctHeight>0</wp14:pctHeight>
            </wp14:sizeRelV>
          </wp:anchor>
        </w:drawing>
      </w:r>
      <w:r w:rsidR="00867DA5" w:rsidRPr="00394AAB">
        <w:rPr>
          <w:rFonts w:cs="Arial"/>
          <w:b/>
          <w:bCs/>
          <w:color w:val="1F4E79" w:themeColor="accent5" w:themeShade="80"/>
        </w:rPr>
        <w:t xml:space="preserve">Appendix </w:t>
      </w:r>
      <w:r w:rsidR="00146145" w:rsidRPr="00394AAB">
        <w:rPr>
          <w:rFonts w:cs="Arial"/>
          <w:b/>
          <w:bCs/>
          <w:color w:val="1F4E79" w:themeColor="accent5" w:themeShade="80"/>
        </w:rPr>
        <w:t>1</w:t>
      </w:r>
      <w:r w:rsidR="00867DA5" w:rsidRPr="00394AAB">
        <w:rPr>
          <w:rFonts w:cs="Arial"/>
          <w:b/>
          <w:bCs/>
          <w:color w:val="1F4E79" w:themeColor="accent5" w:themeShade="80"/>
        </w:rPr>
        <w:t xml:space="preserve">: </w:t>
      </w:r>
      <w:r w:rsidR="007A667E" w:rsidRPr="00394AAB">
        <w:rPr>
          <w:rFonts w:cs="Arial"/>
          <w:b/>
          <w:bCs/>
          <w:color w:val="1F4E79" w:themeColor="accent5" w:themeShade="80"/>
        </w:rPr>
        <w:t xml:space="preserve">‘Spaces, Places and Belonging’ Community Hub </w:t>
      </w:r>
      <w:r w:rsidR="00031AC3">
        <w:rPr>
          <w:rFonts w:cs="Arial"/>
          <w:b/>
          <w:bCs/>
          <w:color w:val="1F4E79" w:themeColor="accent5" w:themeShade="80"/>
        </w:rPr>
        <w:t>Logic Model</w:t>
      </w:r>
      <w:bookmarkEnd w:id="19"/>
    </w:p>
    <w:sectPr w:rsidR="00CA423C" w:rsidRPr="00031AC3" w:rsidSect="00394AAB">
      <w:pgSz w:w="16838" w:h="11906" w:orient="landscape"/>
      <w:pgMar w:top="1077" w:right="1440" w:bottom="1077"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4C1A4" w14:textId="77777777" w:rsidR="00C96D66" w:rsidRDefault="00C96D66" w:rsidP="00B91ED7">
      <w:pPr>
        <w:spacing w:after="0" w:line="240" w:lineRule="auto"/>
      </w:pPr>
      <w:r>
        <w:separator/>
      </w:r>
    </w:p>
  </w:endnote>
  <w:endnote w:type="continuationSeparator" w:id="0">
    <w:p w14:paraId="6DA0C9AD" w14:textId="77777777" w:rsidR="00C96D66" w:rsidRDefault="00C96D66" w:rsidP="00B91ED7">
      <w:pPr>
        <w:spacing w:after="0" w:line="240" w:lineRule="auto"/>
      </w:pPr>
      <w:r>
        <w:continuationSeparator/>
      </w:r>
    </w:p>
  </w:endnote>
  <w:endnote w:type="continuationNotice" w:id="1">
    <w:p w14:paraId="7B0430EC" w14:textId="77777777" w:rsidR="00C96D66" w:rsidRDefault="00C96D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ono Light">
    <w:panose1 w:val="00000000000000000000"/>
    <w:charset w:val="00"/>
    <w:family w:val="auto"/>
    <w:pitch w:val="variable"/>
    <w:sig w:usb0="E00002FF" w:usb1="1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Noto Sans">
    <w:altName w:val="Noto Sans"/>
    <w:charset w:val="00"/>
    <w:family w:val="swiss"/>
    <w:pitch w:val="variable"/>
    <w:sig w:usb0="E00082FF" w:usb1="400078FF" w:usb2="00000021"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A722" w14:textId="70B8C77E" w:rsidR="00B91ED7" w:rsidRDefault="00B91ED7">
    <w:pPr>
      <w:pStyle w:val="Footer"/>
      <w:pBdr>
        <w:top w:val="single" w:sz="4" w:space="1" w:color="D9D9D9" w:themeColor="background1" w:themeShade="D9"/>
      </w:pBdr>
      <w:jc w:val="right"/>
    </w:pPr>
    <w:r>
      <w:t xml:space="preserve">Invitation to Tender: </w:t>
    </w:r>
    <w:r w:rsidR="003C15F2">
      <w:t xml:space="preserve">SPB Community Hub                                                              </w:t>
    </w:r>
    <w:r>
      <w:tab/>
    </w:r>
    <w:sdt>
      <w:sdtPr>
        <w:id w:val="-1663924137"/>
        <w:docPartObj>
          <w:docPartGallery w:val="Page Numbers (Bottom of Page)"/>
          <w:docPartUnique/>
        </w:docPartObj>
      </w:sdtPr>
      <w:sdtEndPr>
        <w:rPr>
          <w:color w:val="7F7F7F" w:themeColor="background1" w:themeShade="7F"/>
          <w:spacing w:val="60"/>
        </w:rPr>
      </w:sdtEndPr>
      <w:sdtContent>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sdtContent>
    </w:sdt>
  </w:p>
  <w:p w14:paraId="02A0B369" w14:textId="7DBE9F9D" w:rsidR="00B91ED7" w:rsidRDefault="00B91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7334" w14:textId="77777777" w:rsidR="00C96D66" w:rsidRDefault="00C96D66" w:rsidP="00B91ED7">
      <w:pPr>
        <w:spacing w:after="0" w:line="240" w:lineRule="auto"/>
      </w:pPr>
      <w:r>
        <w:separator/>
      </w:r>
    </w:p>
  </w:footnote>
  <w:footnote w:type="continuationSeparator" w:id="0">
    <w:p w14:paraId="14943120" w14:textId="77777777" w:rsidR="00C96D66" w:rsidRDefault="00C96D66" w:rsidP="00B91ED7">
      <w:pPr>
        <w:spacing w:after="0" w:line="240" w:lineRule="auto"/>
      </w:pPr>
      <w:r>
        <w:continuationSeparator/>
      </w:r>
    </w:p>
  </w:footnote>
  <w:footnote w:type="continuationNotice" w:id="1">
    <w:p w14:paraId="29546D0A" w14:textId="77777777" w:rsidR="00C96D66" w:rsidRDefault="00C96D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margin" w:tblpXSpec="center" w:tblpY="611"/>
      <w:tblW w:w="10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135"/>
      <w:gridCol w:w="3087"/>
      <w:gridCol w:w="764"/>
      <w:gridCol w:w="764"/>
    </w:tblGrid>
    <w:tr w:rsidR="00B91ED7" w14:paraId="0142A336" w14:textId="77777777">
      <w:trPr>
        <w:trHeight w:val="488"/>
      </w:trPr>
      <w:tc>
        <w:tcPr>
          <w:tcW w:w="6135" w:type="dxa"/>
          <w:vMerge w:val="restart"/>
        </w:tcPr>
        <w:p w14:paraId="6511821A" w14:textId="77777777" w:rsidR="00B91ED7" w:rsidRDefault="00B91ED7" w:rsidP="00B91ED7">
          <w:pPr>
            <w:pStyle w:val="TableParagraph"/>
          </w:pPr>
          <w:r>
            <w:rPr>
              <w:rStyle w:val="Strong"/>
            </w:rPr>
            <w:t>Invitation to Tender</w:t>
          </w:r>
          <w:r>
            <w:t xml:space="preserve"> </w:t>
          </w:r>
        </w:p>
      </w:tc>
      <w:tc>
        <w:tcPr>
          <w:tcW w:w="3087" w:type="dxa"/>
        </w:tcPr>
        <w:p w14:paraId="6BB91754" w14:textId="77777777" w:rsidR="00B91ED7" w:rsidRDefault="00B91ED7" w:rsidP="00B91ED7">
          <w:pPr>
            <w:pStyle w:val="TableParagraph"/>
          </w:pPr>
        </w:p>
      </w:tc>
      <w:tc>
        <w:tcPr>
          <w:tcW w:w="764" w:type="dxa"/>
        </w:tcPr>
        <w:p w14:paraId="36C0E355" w14:textId="77777777" w:rsidR="00B91ED7" w:rsidRDefault="00B91ED7" w:rsidP="00B91ED7">
          <w:pPr>
            <w:pStyle w:val="TableParagraph"/>
          </w:pPr>
        </w:p>
      </w:tc>
      <w:tc>
        <w:tcPr>
          <w:tcW w:w="764" w:type="dxa"/>
        </w:tcPr>
        <w:p w14:paraId="20DE0A6C" w14:textId="77777777" w:rsidR="00B91ED7" w:rsidRDefault="00B91ED7" w:rsidP="00B91ED7">
          <w:pPr>
            <w:pStyle w:val="TableParagraph"/>
          </w:pPr>
        </w:p>
      </w:tc>
    </w:tr>
    <w:tr w:rsidR="00B91ED7" w14:paraId="7838F48C" w14:textId="77777777">
      <w:trPr>
        <w:trHeight w:val="490"/>
      </w:trPr>
      <w:tc>
        <w:tcPr>
          <w:tcW w:w="6135" w:type="dxa"/>
          <w:vMerge/>
          <w:tcBorders>
            <w:top w:val="nil"/>
          </w:tcBorders>
        </w:tcPr>
        <w:p w14:paraId="747BF727" w14:textId="77777777" w:rsidR="00B91ED7" w:rsidRDefault="00B91ED7" w:rsidP="00B91ED7">
          <w:pPr>
            <w:rPr>
              <w:sz w:val="2"/>
              <w:szCs w:val="2"/>
            </w:rPr>
          </w:pPr>
        </w:p>
      </w:tc>
      <w:tc>
        <w:tcPr>
          <w:tcW w:w="3087" w:type="dxa"/>
        </w:tcPr>
        <w:p w14:paraId="52C57746" w14:textId="77777777" w:rsidR="00B91ED7" w:rsidRDefault="00B91ED7" w:rsidP="00B91ED7">
          <w:pPr>
            <w:pStyle w:val="TableParagraph"/>
          </w:pPr>
        </w:p>
      </w:tc>
      <w:tc>
        <w:tcPr>
          <w:tcW w:w="1528" w:type="dxa"/>
          <w:gridSpan w:val="2"/>
        </w:tcPr>
        <w:p w14:paraId="7C7D9137" w14:textId="77777777" w:rsidR="00B91ED7" w:rsidRDefault="00B91ED7" w:rsidP="00B91ED7">
          <w:pPr>
            <w:pStyle w:val="TableParagraph"/>
          </w:pPr>
        </w:p>
      </w:tc>
    </w:tr>
    <w:tr w:rsidR="00B91ED7" w14:paraId="3D9BCC3C" w14:textId="77777777">
      <w:trPr>
        <w:trHeight w:val="490"/>
      </w:trPr>
      <w:tc>
        <w:tcPr>
          <w:tcW w:w="6135" w:type="dxa"/>
        </w:tcPr>
        <w:p w14:paraId="3C0A8B95" w14:textId="6DE6D321" w:rsidR="00B91ED7" w:rsidRPr="005849C7" w:rsidRDefault="003C15F2" w:rsidP="00B91ED7">
          <w:pPr>
            <w:pStyle w:val="TableParagraph"/>
          </w:pPr>
          <w:r>
            <w:t>SPB Community Hub</w:t>
          </w:r>
        </w:p>
      </w:tc>
      <w:tc>
        <w:tcPr>
          <w:tcW w:w="3087" w:type="dxa"/>
        </w:tcPr>
        <w:p w14:paraId="7B999C2E" w14:textId="77777777" w:rsidR="00B91ED7" w:rsidRDefault="00B91ED7" w:rsidP="00B91ED7">
          <w:pPr>
            <w:pStyle w:val="TableParagraph"/>
          </w:pPr>
        </w:p>
      </w:tc>
      <w:tc>
        <w:tcPr>
          <w:tcW w:w="1528" w:type="dxa"/>
          <w:gridSpan w:val="2"/>
        </w:tcPr>
        <w:p w14:paraId="4F0994BC" w14:textId="77777777" w:rsidR="00B91ED7" w:rsidRDefault="00B91ED7" w:rsidP="00B91ED7">
          <w:pPr>
            <w:pStyle w:val="TableParagraph"/>
          </w:pPr>
          <w:r>
            <w:rPr>
              <w:noProof/>
              <w:lang w:eastAsia="en-GB"/>
            </w:rPr>
            <w:drawing>
              <wp:anchor distT="0" distB="0" distL="0" distR="0" simplePos="0" relativeHeight="251658240" behindDoc="1" locked="0" layoutInCell="1" allowOverlap="1" wp14:anchorId="1CF6EEC5" wp14:editId="4832AE4B">
                <wp:simplePos x="0" y="0"/>
                <wp:positionH relativeFrom="page">
                  <wp:posOffset>76932</wp:posOffset>
                </wp:positionH>
                <wp:positionV relativeFrom="paragraph">
                  <wp:posOffset>-556944</wp:posOffset>
                </wp:positionV>
                <wp:extent cx="774843" cy="783335"/>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774843" cy="783335"/>
                        </a:xfrm>
                        <a:prstGeom prst="rect">
                          <a:avLst/>
                        </a:prstGeom>
                      </pic:spPr>
                    </pic:pic>
                  </a:graphicData>
                </a:graphic>
              </wp:anchor>
            </w:drawing>
          </w:r>
        </w:p>
      </w:tc>
    </w:tr>
  </w:tbl>
  <w:p w14:paraId="4963AB07" w14:textId="77777777" w:rsidR="00B91ED7" w:rsidRDefault="00B91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5282"/>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E2A6F"/>
    <w:multiLevelType w:val="multilevel"/>
    <w:tmpl w:val="1A0C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D6C69"/>
    <w:multiLevelType w:val="multilevel"/>
    <w:tmpl w:val="692E7F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60D98"/>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D652D2"/>
    <w:multiLevelType w:val="hybridMultilevel"/>
    <w:tmpl w:val="F09C2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551BE7"/>
    <w:multiLevelType w:val="hybridMultilevel"/>
    <w:tmpl w:val="5710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2489B"/>
    <w:multiLevelType w:val="hybridMultilevel"/>
    <w:tmpl w:val="3A0A1E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017134"/>
    <w:multiLevelType w:val="hybridMultilevel"/>
    <w:tmpl w:val="DA8A7E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3C7FF2"/>
    <w:multiLevelType w:val="hybridMultilevel"/>
    <w:tmpl w:val="47C81212"/>
    <w:lvl w:ilvl="0" w:tplc="A9442B44">
      <w:start w:val="7"/>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719BC"/>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6022F8"/>
    <w:multiLevelType w:val="hybridMultilevel"/>
    <w:tmpl w:val="485A34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DB1EBE"/>
    <w:multiLevelType w:val="multilevel"/>
    <w:tmpl w:val="451A7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CB305C"/>
    <w:multiLevelType w:val="hybridMultilevel"/>
    <w:tmpl w:val="42401B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284EF1"/>
    <w:multiLevelType w:val="multilevel"/>
    <w:tmpl w:val="6E38E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50281F"/>
    <w:multiLevelType w:val="hybridMultilevel"/>
    <w:tmpl w:val="E634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5F5042"/>
    <w:multiLevelType w:val="hybridMultilevel"/>
    <w:tmpl w:val="53E608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49D1C91"/>
    <w:multiLevelType w:val="hybridMultilevel"/>
    <w:tmpl w:val="4B021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10229"/>
    <w:multiLevelType w:val="hybridMultilevel"/>
    <w:tmpl w:val="60FE43E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2D0D28"/>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B55414"/>
    <w:multiLevelType w:val="multilevel"/>
    <w:tmpl w:val="9676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2066ED"/>
    <w:multiLevelType w:val="hybridMultilevel"/>
    <w:tmpl w:val="D802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3A0D4"/>
    <w:multiLevelType w:val="hybridMultilevel"/>
    <w:tmpl w:val="9334A114"/>
    <w:lvl w:ilvl="0" w:tplc="2E084DAA">
      <w:start w:val="1"/>
      <w:numFmt w:val="decimal"/>
      <w:lvlText w:val="%1."/>
      <w:lvlJc w:val="left"/>
      <w:pPr>
        <w:ind w:left="644" w:hanging="360"/>
      </w:pPr>
      <w:rPr>
        <w:b/>
        <w:bCs/>
        <w:i w:val="0"/>
        <w:iCs w:val="0"/>
        <w:color w:val="auto"/>
      </w:rPr>
    </w:lvl>
    <w:lvl w:ilvl="1" w:tplc="1320219E">
      <w:start w:val="1"/>
      <w:numFmt w:val="lowerLetter"/>
      <w:lvlText w:val="%2."/>
      <w:lvlJc w:val="left"/>
      <w:pPr>
        <w:ind w:left="1440" w:hanging="360"/>
      </w:pPr>
    </w:lvl>
    <w:lvl w:ilvl="2" w:tplc="FD184952">
      <w:start w:val="1"/>
      <w:numFmt w:val="lowerRoman"/>
      <w:lvlText w:val="%3."/>
      <w:lvlJc w:val="right"/>
      <w:pPr>
        <w:ind w:left="2160" w:hanging="180"/>
      </w:pPr>
    </w:lvl>
    <w:lvl w:ilvl="3" w:tplc="4D88B07E">
      <w:start w:val="1"/>
      <w:numFmt w:val="decimal"/>
      <w:lvlText w:val="%4."/>
      <w:lvlJc w:val="left"/>
      <w:pPr>
        <w:ind w:left="2880" w:hanging="360"/>
      </w:pPr>
    </w:lvl>
    <w:lvl w:ilvl="4" w:tplc="5B680B84">
      <w:start w:val="1"/>
      <w:numFmt w:val="lowerLetter"/>
      <w:lvlText w:val="%5."/>
      <w:lvlJc w:val="left"/>
      <w:pPr>
        <w:ind w:left="3600" w:hanging="360"/>
      </w:pPr>
    </w:lvl>
    <w:lvl w:ilvl="5" w:tplc="1DCEBEF0">
      <w:start w:val="1"/>
      <w:numFmt w:val="lowerRoman"/>
      <w:lvlText w:val="%6."/>
      <w:lvlJc w:val="right"/>
      <w:pPr>
        <w:ind w:left="4320" w:hanging="180"/>
      </w:pPr>
    </w:lvl>
    <w:lvl w:ilvl="6" w:tplc="A636EC24">
      <w:start w:val="1"/>
      <w:numFmt w:val="decimal"/>
      <w:lvlText w:val="%7."/>
      <w:lvlJc w:val="left"/>
      <w:pPr>
        <w:ind w:left="5040" w:hanging="360"/>
      </w:pPr>
    </w:lvl>
    <w:lvl w:ilvl="7" w:tplc="B05C692E">
      <w:start w:val="1"/>
      <w:numFmt w:val="lowerLetter"/>
      <w:lvlText w:val="%8."/>
      <w:lvlJc w:val="left"/>
      <w:pPr>
        <w:ind w:left="5760" w:hanging="360"/>
      </w:pPr>
    </w:lvl>
    <w:lvl w:ilvl="8" w:tplc="97401758">
      <w:start w:val="1"/>
      <w:numFmt w:val="lowerRoman"/>
      <w:lvlText w:val="%9."/>
      <w:lvlJc w:val="right"/>
      <w:pPr>
        <w:ind w:left="6480" w:hanging="180"/>
      </w:pPr>
    </w:lvl>
  </w:abstractNum>
  <w:abstractNum w:abstractNumId="22" w15:restartNumberingAfterBreak="0">
    <w:nsid w:val="44274677"/>
    <w:multiLevelType w:val="hybridMultilevel"/>
    <w:tmpl w:val="1C3C9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D3ADB"/>
    <w:multiLevelType w:val="multilevel"/>
    <w:tmpl w:val="39FC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520E17"/>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FB0333"/>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E3773A"/>
    <w:multiLevelType w:val="hybridMultilevel"/>
    <w:tmpl w:val="614C3E20"/>
    <w:lvl w:ilvl="0" w:tplc="2F3469F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6B1668"/>
    <w:multiLevelType w:val="multilevel"/>
    <w:tmpl w:val="7736D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3063D7"/>
    <w:multiLevelType w:val="hybridMultilevel"/>
    <w:tmpl w:val="DBE44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642EA4"/>
    <w:multiLevelType w:val="multilevel"/>
    <w:tmpl w:val="9A5E882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3496760"/>
    <w:multiLevelType w:val="multilevel"/>
    <w:tmpl w:val="3EC45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785CEE"/>
    <w:multiLevelType w:val="hybridMultilevel"/>
    <w:tmpl w:val="C8564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912C46"/>
    <w:multiLevelType w:val="hybridMultilevel"/>
    <w:tmpl w:val="85408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E5B2A"/>
    <w:multiLevelType w:val="hybridMultilevel"/>
    <w:tmpl w:val="AA8C3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78245C"/>
    <w:multiLevelType w:val="multilevel"/>
    <w:tmpl w:val="E31A17E8"/>
    <w:lvl w:ilvl="0">
      <w:start w:val="1"/>
      <w:numFmt w:val="decimal"/>
      <w:lvlText w:val="%1."/>
      <w:lvlJc w:val="left"/>
      <w:pPr>
        <w:ind w:left="360" w:hanging="360"/>
      </w:p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666070"/>
    <w:multiLevelType w:val="hybridMultilevel"/>
    <w:tmpl w:val="E33AB76E"/>
    <w:lvl w:ilvl="0" w:tplc="4552EB2E">
      <w:start w:val="7"/>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822F23"/>
    <w:multiLevelType w:val="hybridMultilevel"/>
    <w:tmpl w:val="0A942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2F45B1"/>
    <w:multiLevelType w:val="multilevel"/>
    <w:tmpl w:val="D56E7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6C0BA0"/>
    <w:multiLevelType w:val="hybridMultilevel"/>
    <w:tmpl w:val="709E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523826"/>
    <w:multiLevelType w:val="multilevel"/>
    <w:tmpl w:val="E31A17E8"/>
    <w:lvl w:ilvl="0">
      <w:start w:val="1"/>
      <w:numFmt w:val="decimal"/>
      <w:lvlText w:val="%1."/>
      <w:lvlJc w:val="left"/>
      <w:pPr>
        <w:ind w:left="360" w:hanging="360"/>
      </w:p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98C44C3"/>
    <w:multiLevelType w:val="multilevel"/>
    <w:tmpl w:val="42B22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4F2E4E"/>
    <w:multiLevelType w:val="hybridMultilevel"/>
    <w:tmpl w:val="5730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8359404">
    <w:abstractNumId w:val="40"/>
  </w:num>
  <w:num w:numId="2" w16cid:durableId="1681083459">
    <w:abstractNumId w:val="23"/>
  </w:num>
  <w:num w:numId="3" w16cid:durableId="1665740657">
    <w:abstractNumId w:val="1"/>
  </w:num>
  <w:num w:numId="4" w16cid:durableId="2009599134">
    <w:abstractNumId w:val="16"/>
  </w:num>
  <w:num w:numId="5" w16cid:durableId="2012446304">
    <w:abstractNumId w:val="39"/>
  </w:num>
  <w:num w:numId="6" w16cid:durableId="1319916307">
    <w:abstractNumId w:val="26"/>
  </w:num>
  <w:num w:numId="7" w16cid:durableId="1646886582">
    <w:abstractNumId w:val="19"/>
  </w:num>
  <w:num w:numId="8" w16cid:durableId="1923836154">
    <w:abstractNumId w:val="4"/>
  </w:num>
  <w:num w:numId="9" w16cid:durableId="1129857479">
    <w:abstractNumId w:val="11"/>
  </w:num>
  <w:num w:numId="10" w16cid:durableId="1330517722">
    <w:abstractNumId w:val="22"/>
  </w:num>
  <w:num w:numId="11" w16cid:durableId="1629358094">
    <w:abstractNumId w:val="5"/>
  </w:num>
  <w:num w:numId="12" w16cid:durableId="1228997781">
    <w:abstractNumId w:val="41"/>
  </w:num>
  <w:num w:numId="13" w16cid:durableId="752311448">
    <w:abstractNumId w:val="38"/>
  </w:num>
  <w:num w:numId="14" w16cid:durableId="583997889">
    <w:abstractNumId w:val="20"/>
  </w:num>
  <w:num w:numId="15" w16cid:durableId="764765152">
    <w:abstractNumId w:val="34"/>
  </w:num>
  <w:num w:numId="16" w16cid:durableId="789980350">
    <w:abstractNumId w:val="3"/>
  </w:num>
  <w:num w:numId="17" w16cid:durableId="1608149393">
    <w:abstractNumId w:val="18"/>
  </w:num>
  <w:num w:numId="18" w16cid:durableId="450704427">
    <w:abstractNumId w:val="0"/>
  </w:num>
  <w:num w:numId="19" w16cid:durableId="1823111067">
    <w:abstractNumId w:val="29"/>
  </w:num>
  <w:num w:numId="20" w16cid:durableId="992678370">
    <w:abstractNumId w:val="25"/>
  </w:num>
  <w:num w:numId="21" w16cid:durableId="223224375">
    <w:abstractNumId w:val="24"/>
  </w:num>
  <w:num w:numId="22" w16cid:durableId="1218512086">
    <w:abstractNumId w:val="9"/>
  </w:num>
  <w:num w:numId="23" w16cid:durableId="748380804">
    <w:abstractNumId w:val="30"/>
  </w:num>
  <w:num w:numId="24" w16cid:durableId="518813529">
    <w:abstractNumId w:val="37"/>
  </w:num>
  <w:num w:numId="25" w16cid:durableId="1349790752">
    <w:abstractNumId w:val="13"/>
  </w:num>
  <w:num w:numId="26" w16cid:durableId="1900435279">
    <w:abstractNumId w:val="2"/>
  </w:num>
  <w:num w:numId="27" w16cid:durableId="353193874">
    <w:abstractNumId w:val="7"/>
  </w:num>
  <w:num w:numId="28" w16cid:durableId="874925392">
    <w:abstractNumId w:val="27"/>
  </w:num>
  <w:num w:numId="29" w16cid:durableId="1732266185">
    <w:abstractNumId w:val="21"/>
  </w:num>
  <w:num w:numId="30" w16cid:durableId="1843231656">
    <w:abstractNumId w:val="14"/>
  </w:num>
  <w:num w:numId="31" w16cid:durableId="1477182025">
    <w:abstractNumId w:val="31"/>
  </w:num>
  <w:num w:numId="32" w16cid:durableId="228882114">
    <w:abstractNumId w:val="17"/>
  </w:num>
  <w:num w:numId="33" w16cid:durableId="2067680731">
    <w:abstractNumId w:val="6"/>
  </w:num>
  <w:num w:numId="34" w16cid:durableId="2013288908">
    <w:abstractNumId w:val="15"/>
  </w:num>
  <w:num w:numId="35" w16cid:durableId="1979801296">
    <w:abstractNumId w:val="12"/>
  </w:num>
  <w:num w:numId="36" w16cid:durableId="1201406572">
    <w:abstractNumId w:val="10"/>
  </w:num>
  <w:num w:numId="37" w16cid:durableId="2125541111">
    <w:abstractNumId w:val="36"/>
  </w:num>
  <w:num w:numId="38" w16cid:durableId="1632007744">
    <w:abstractNumId w:val="32"/>
  </w:num>
  <w:num w:numId="39" w16cid:durableId="1933581592">
    <w:abstractNumId w:val="8"/>
  </w:num>
  <w:num w:numId="40" w16cid:durableId="943265460">
    <w:abstractNumId w:val="35"/>
  </w:num>
  <w:num w:numId="41" w16cid:durableId="1785347361">
    <w:abstractNumId w:val="33"/>
  </w:num>
  <w:num w:numId="42" w16cid:durableId="185283930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DF"/>
    <w:rsid w:val="000060B4"/>
    <w:rsid w:val="000101F0"/>
    <w:rsid w:val="00016341"/>
    <w:rsid w:val="00020890"/>
    <w:rsid w:val="00020C5A"/>
    <w:rsid w:val="00031AC3"/>
    <w:rsid w:val="000321A2"/>
    <w:rsid w:val="00033452"/>
    <w:rsid w:val="00037893"/>
    <w:rsid w:val="0004290A"/>
    <w:rsid w:val="00042FDF"/>
    <w:rsid w:val="00045786"/>
    <w:rsid w:val="00066ACB"/>
    <w:rsid w:val="00070A17"/>
    <w:rsid w:val="00074E51"/>
    <w:rsid w:val="00084DE0"/>
    <w:rsid w:val="000873F9"/>
    <w:rsid w:val="0009602F"/>
    <w:rsid w:val="000A0668"/>
    <w:rsid w:val="000A2436"/>
    <w:rsid w:val="000B4124"/>
    <w:rsid w:val="000B5F20"/>
    <w:rsid w:val="000B6396"/>
    <w:rsid w:val="000C1867"/>
    <w:rsid w:val="000D4E09"/>
    <w:rsid w:val="000D6C2F"/>
    <w:rsid w:val="000E0578"/>
    <w:rsid w:val="000E16A6"/>
    <w:rsid w:val="000F0572"/>
    <w:rsid w:val="000F2847"/>
    <w:rsid w:val="000F5FB2"/>
    <w:rsid w:val="001071D3"/>
    <w:rsid w:val="00116BD8"/>
    <w:rsid w:val="0013547E"/>
    <w:rsid w:val="001377DD"/>
    <w:rsid w:val="00141C35"/>
    <w:rsid w:val="00142A1D"/>
    <w:rsid w:val="00146145"/>
    <w:rsid w:val="0015DC35"/>
    <w:rsid w:val="00160957"/>
    <w:rsid w:val="00162D2A"/>
    <w:rsid w:val="0016508C"/>
    <w:rsid w:val="00166133"/>
    <w:rsid w:val="00170A05"/>
    <w:rsid w:val="00171D31"/>
    <w:rsid w:val="00185191"/>
    <w:rsid w:val="001A389E"/>
    <w:rsid w:val="001A4652"/>
    <w:rsid w:val="001B3532"/>
    <w:rsid w:val="001B3561"/>
    <w:rsid w:val="001B39DD"/>
    <w:rsid w:val="001B5153"/>
    <w:rsid w:val="001B549C"/>
    <w:rsid w:val="001C3B0F"/>
    <w:rsid w:val="001C6524"/>
    <w:rsid w:val="001C6BC4"/>
    <w:rsid w:val="001E0A8F"/>
    <w:rsid w:val="001F63A5"/>
    <w:rsid w:val="002045B6"/>
    <w:rsid w:val="00205C65"/>
    <w:rsid w:val="002144DF"/>
    <w:rsid w:val="0022183E"/>
    <w:rsid w:val="0022665F"/>
    <w:rsid w:val="002278ED"/>
    <w:rsid w:val="00231F5A"/>
    <w:rsid w:val="00232E12"/>
    <w:rsid w:val="00241870"/>
    <w:rsid w:val="00246579"/>
    <w:rsid w:val="00253A8E"/>
    <w:rsid w:val="0026680D"/>
    <w:rsid w:val="00267342"/>
    <w:rsid w:val="00270741"/>
    <w:rsid w:val="00274479"/>
    <w:rsid w:val="0029389D"/>
    <w:rsid w:val="002944E0"/>
    <w:rsid w:val="002A160E"/>
    <w:rsid w:val="002A3656"/>
    <w:rsid w:val="002B6EFE"/>
    <w:rsid w:val="002C7194"/>
    <w:rsid w:val="002F0130"/>
    <w:rsid w:val="002F31A0"/>
    <w:rsid w:val="002F48FD"/>
    <w:rsid w:val="002F665C"/>
    <w:rsid w:val="002F70EC"/>
    <w:rsid w:val="0030070C"/>
    <w:rsid w:val="003021C9"/>
    <w:rsid w:val="00310E7A"/>
    <w:rsid w:val="00316588"/>
    <w:rsid w:val="003206D5"/>
    <w:rsid w:val="00320FD9"/>
    <w:rsid w:val="003321C8"/>
    <w:rsid w:val="00334BAC"/>
    <w:rsid w:val="00334F71"/>
    <w:rsid w:val="0033731C"/>
    <w:rsid w:val="0034373C"/>
    <w:rsid w:val="00344148"/>
    <w:rsid w:val="0034455F"/>
    <w:rsid w:val="00355C75"/>
    <w:rsid w:val="003608A9"/>
    <w:rsid w:val="00361B4E"/>
    <w:rsid w:val="003649EC"/>
    <w:rsid w:val="0036662D"/>
    <w:rsid w:val="00366A49"/>
    <w:rsid w:val="00380944"/>
    <w:rsid w:val="00381D4F"/>
    <w:rsid w:val="00385DD0"/>
    <w:rsid w:val="00394AAB"/>
    <w:rsid w:val="0039718E"/>
    <w:rsid w:val="003A6FD8"/>
    <w:rsid w:val="003C15F2"/>
    <w:rsid w:val="003C50FB"/>
    <w:rsid w:val="003E526D"/>
    <w:rsid w:val="003F4831"/>
    <w:rsid w:val="00403B55"/>
    <w:rsid w:val="004051A9"/>
    <w:rsid w:val="00405350"/>
    <w:rsid w:val="004103B1"/>
    <w:rsid w:val="00413422"/>
    <w:rsid w:val="00413D50"/>
    <w:rsid w:val="004205D9"/>
    <w:rsid w:val="00430663"/>
    <w:rsid w:val="004339B1"/>
    <w:rsid w:val="00434C48"/>
    <w:rsid w:val="00436B0B"/>
    <w:rsid w:val="004468B8"/>
    <w:rsid w:val="004508EE"/>
    <w:rsid w:val="00462C95"/>
    <w:rsid w:val="004678D7"/>
    <w:rsid w:val="00470598"/>
    <w:rsid w:val="0047474E"/>
    <w:rsid w:val="00493A12"/>
    <w:rsid w:val="00497544"/>
    <w:rsid w:val="004A06D8"/>
    <w:rsid w:val="004A1108"/>
    <w:rsid w:val="004A1BA3"/>
    <w:rsid w:val="004B5B01"/>
    <w:rsid w:val="004C32D8"/>
    <w:rsid w:val="004F0F87"/>
    <w:rsid w:val="00505F20"/>
    <w:rsid w:val="005312DA"/>
    <w:rsid w:val="00533575"/>
    <w:rsid w:val="00535637"/>
    <w:rsid w:val="00547DDC"/>
    <w:rsid w:val="005655A7"/>
    <w:rsid w:val="0057012A"/>
    <w:rsid w:val="0059650D"/>
    <w:rsid w:val="005A7AA3"/>
    <w:rsid w:val="005B31EC"/>
    <w:rsid w:val="005C12C8"/>
    <w:rsid w:val="005C22C8"/>
    <w:rsid w:val="005C6499"/>
    <w:rsid w:val="005D77DC"/>
    <w:rsid w:val="005E7073"/>
    <w:rsid w:val="005F5C59"/>
    <w:rsid w:val="005F63BD"/>
    <w:rsid w:val="00600A7A"/>
    <w:rsid w:val="006054A6"/>
    <w:rsid w:val="00624DD8"/>
    <w:rsid w:val="00625185"/>
    <w:rsid w:val="00625F69"/>
    <w:rsid w:val="00630E43"/>
    <w:rsid w:val="00631597"/>
    <w:rsid w:val="00634C73"/>
    <w:rsid w:val="00637623"/>
    <w:rsid w:val="006407CB"/>
    <w:rsid w:val="0064215E"/>
    <w:rsid w:val="00643A75"/>
    <w:rsid w:val="00652D03"/>
    <w:rsid w:val="006541B2"/>
    <w:rsid w:val="00655D77"/>
    <w:rsid w:val="00660EDE"/>
    <w:rsid w:val="00664864"/>
    <w:rsid w:val="0066661C"/>
    <w:rsid w:val="006669E7"/>
    <w:rsid w:val="00677166"/>
    <w:rsid w:val="00682117"/>
    <w:rsid w:val="0068603A"/>
    <w:rsid w:val="006A12BE"/>
    <w:rsid w:val="006A3395"/>
    <w:rsid w:val="006A4E54"/>
    <w:rsid w:val="006B2B16"/>
    <w:rsid w:val="006B765C"/>
    <w:rsid w:val="006C41F9"/>
    <w:rsid w:val="006C5B86"/>
    <w:rsid w:val="006D0B39"/>
    <w:rsid w:val="006D42CE"/>
    <w:rsid w:val="006D5DCC"/>
    <w:rsid w:val="006E06D7"/>
    <w:rsid w:val="006E175C"/>
    <w:rsid w:val="006E17DB"/>
    <w:rsid w:val="006E3A77"/>
    <w:rsid w:val="006E7C36"/>
    <w:rsid w:val="006F0461"/>
    <w:rsid w:val="006F46EC"/>
    <w:rsid w:val="006F5CEA"/>
    <w:rsid w:val="00701E0D"/>
    <w:rsid w:val="0070286F"/>
    <w:rsid w:val="007110D7"/>
    <w:rsid w:val="007144B2"/>
    <w:rsid w:val="00724500"/>
    <w:rsid w:val="007245E5"/>
    <w:rsid w:val="0073041C"/>
    <w:rsid w:val="00730B11"/>
    <w:rsid w:val="00733AF1"/>
    <w:rsid w:val="0073412D"/>
    <w:rsid w:val="007375F3"/>
    <w:rsid w:val="00737DD0"/>
    <w:rsid w:val="007416FB"/>
    <w:rsid w:val="007417EE"/>
    <w:rsid w:val="00747A9B"/>
    <w:rsid w:val="0075496E"/>
    <w:rsid w:val="00756C6C"/>
    <w:rsid w:val="007579F4"/>
    <w:rsid w:val="007664F8"/>
    <w:rsid w:val="00773274"/>
    <w:rsid w:val="00780FCD"/>
    <w:rsid w:val="0078245A"/>
    <w:rsid w:val="007906D4"/>
    <w:rsid w:val="00791F69"/>
    <w:rsid w:val="007A14C7"/>
    <w:rsid w:val="007A667E"/>
    <w:rsid w:val="007A7527"/>
    <w:rsid w:val="007B1FCA"/>
    <w:rsid w:val="007B334F"/>
    <w:rsid w:val="007C7ECE"/>
    <w:rsid w:val="007D1A5F"/>
    <w:rsid w:val="007E14F9"/>
    <w:rsid w:val="007E153C"/>
    <w:rsid w:val="007E16FD"/>
    <w:rsid w:val="007F3FFA"/>
    <w:rsid w:val="007F5F7D"/>
    <w:rsid w:val="00801E43"/>
    <w:rsid w:val="00802941"/>
    <w:rsid w:val="00802F2E"/>
    <w:rsid w:val="008039BE"/>
    <w:rsid w:val="00806BC5"/>
    <w:rsid w:val="0081309E"/>
    <w:rsid w:val="00823950"/>
    <w:rsid w:val="00823FF6"/>
    <w:rsid w:val="00826E16"/>
    <w:rsid w:val="00840422"/>
    <w:rsid w:val="0085044B"/>
    <w:rsid w:val="008524D8"/>
    <w:rsid w:val="00857277"/>
    <w:rsid w:val="00863E7D"/>
    <w:rsid w:val="00865DD7"/>
    <w:rsid w:val="00867DA5"/>
    <w:rsid w:val="0087537D"/>
    <w:rsid w:val="0087582A"/>
    <w:rsid w:val="00886202"/>
    <w:rsid w:val="00886E93"/>
    <w:rsid w:val="0089611E"/>
    <w:rsid w:val="00896F26"/>
    <w:rsid w:val="008A102D"/>
    <w:rsid w:val="008A2AE6"/>
    <w:rsid w:val="008C0273"/>
    <w:rsid w:val="008C437C"/>
    <w:rsid w:val="008C72D6"/>
    <w:rsid w:val="008D04BA"/>
    <w:rsid w:val="008D26DF"/>
    <w:rsid w:val="008D53C1"/>
    <w:rsid w:val="008E2235"/>
    <w:rsid w:val="008E6C35"/>
    <w:rsid w:val="008F5352"/>
    <w:rsid w:val="008F7315"/>
    <w:rsid w:val="009079EF"/>
    <w:rsid w:val="0091303F"/>
    <w:rsid w:val="00917A1D"/>
    <w:rsid w:val="009241AC"/>
    <w:rsid w:val="00924876"/>
    <w:rsid w:val="00934834"/>
    <w:rsid w:val="0093546C"/>
    <w:rsid w:val="00936EC5"/>
    <w:rsid w:val="00940917"/>
    <w:rsid w:val="00946579"/>
    <w:rsid w:val="00951C33"/>
    <w:rsid w:val="00975990"/>
    <w:rsid w:val="009800AB"/>
    <w:rsid w:val="00990A5B"/>
    <w:rsid w:val="009A1312"/>
    <w:rsid w:val="009A172C"/>
    <w:rsid w:val="009A260C"/>
    <w:rsid w:val="009B0CCB"/>
    <w:rsid w:val="009B2564"/>
    <w:rsid w:val="009B6FDC"/>
    <w:rsid w:val="009B778B"/>
    <w:rsid w:val="009C7B17"/>
    <w:rsid w:val="009D0C4D"/>
    <w:rsid w:val="009D63E7"/>
    <w:rsid w:val="009D6A1D"/>
    <w:rsid w:val="009E2D23"/>
    <w:rsid w:val="009E43FF"/>
    <w:rsid w:val="009F3617"/>
    <w:rsid w:val="009F3D7A"/>
    <w:rsid w:val="00A0294C"/>
    <w:rsid w:val="00A04160"/>
    <w:rsid w:val="00A05F8D"/>
    <w:rsid w:val="00A10DDC"/>
    <w:rsid w:val="00A1735A"/>
    <w:rsid w:val="00A21339"/>
    <w:rsid w:val="00A230E9"/>
    <w:rsid w:val="00A2666B"/>
    <w:rsid w:val="00A2726C"/>
    <w:rsid w:val="00A35AF1"/>
    <w:rsid w:val="00A4135F"/>
    <w:rsid w:val="00A42AD3"/>
    <w:rsid w:val="00A446D8"/>
    <w:rsid w:val="00A45038"/>
    <w:rsid w:val="00A47A89"/>
    <w:rsid w:val="00A534D1"/>
    <w:rsid w:val="00A63DBC"/>
    <w:rsid w:val="00A67238"/>
    <w:rsid w:val="00A70AD3"/>
    <w:rsid w:val="00A81D6A"/>
    <w:rsid w:val="00A978CB"/>
    <w:rsid w:val="00A97F03"/>
    <w:rsid w:val="00AC144E"/>
    <w:rsid w:val="00AD00D6"/>
    <w:rsid w:val="00AD4B67"/>
    <w:rsid w:val="00AD723D"/>
    <w:rsid w:val="00AE40E7"/>
    <w:rsid w:val="00AE4B09"/>
    <w:rsid w:val="00AE6517"/>
    <w:rsid w:val="00AE67D4"/>
    <w:rsid w:val="00AE6F43"/>
    <w:rsid w:val="00AE7F33"/>
    <w:rsid w:val="00B05695"/>
    <w:rsid w:val="00B1003F"/>
    <w:rsid w:val="00B12665"/>
    <w:rsid w:val="00B15AC4"/>
    <w:rsid w:val="00B16092"/>
    <w:rsid w:val="00B16510"/>
    <w:rsid w:val="00B2157B"/>
    <w:rsid w:val="00B23FED"/>
    <w:rsid w:val="00B33DC0"/>
    <w:rsid w:val="00B372F6"/>
    <w:rsid w:val="00B4311E"/>
    <w:rsid w:val="00B45AA4"/>
    <w:rsid w:val="00B47558"/>
    <w:rsid w:val="00B55D97"/>
    <w:rsid w:val="00B57101"/>
    <w:rsid w:val="00B60111"/>
    <w:rsid w:val="00B62869"/>
    <w:rsid w:val="00B71777"/>
    <w:rsid w:val="00B7201A"/>
    <w:rsid w:val="00B75C76"/>
    <w:rsid w:val="00B76555"/>
    <w:rsid w:val="00B76F90"/>
    <w:rsid w:val="00B85AB6"/>
    <w:rsid w:val="00B91ED7"/>
    <w:rsid w:val="00BA5801"/>
    <w:rsid w:val="00BB5FA5"/>
    <w:rsid w:val="00BB7C7E"/>
    <w:rsid w:val="00BC54D7"/>
    <w:rsid w:val="00BC59B1"/>
    <w:rsid w:val="00BD4B0D"/>
    <w:rsid w:val="00BE5AFE"/>
    <w:rsid w:val="00BF3D43"/>
    <w:rsid w:val="00BF4FB8"/>
    <w:rsid w:val="00C026F7"/>
    <w:rsid w:val="00C05DED"/>
    <w:rsid w:val="00C05EE3"/>
    <w:rsid w:val="00C07578"/>
    <w:rsid w:val="00C167AD"/>
    <w:rsid w:val="00C236B4"/>
    <w:rsid w:val="00C2596F"/>
    <w:rsid w:val="00C40F33"/>
    <w:rsid w:val="00C43AD4"/>
    <w:rsid w:val="00C46AAF"/>
    <w:rsid w:val="00C603A3"/>
    <w:rsid w:val="00C64390"/>
    <w:rsid w:val="00C644A4"/>
    <w:rsid w:val="00C64BB1"/>
    <w:rsid w:val="00C70CED"/>
    <w:rsid w:val="00C742FD"/>
    <w:rsid w:val="00C818F5"/>
    <w:rsid w:val="00C821B7"/>
    <w:rsid w:val="00C946C1"/>
    <w:rsid w:val="00C96D66"/>
    <w:rsid w:val="00CA1229"/>
    <w:rsid w:val="00CA423C"/>
    <w:rsid w:val="00CA79E5"/>
    <w:rsid w:val="00CA7B9D"/>
    <w:rsid w:val="00CB11AA"/>
    <w:rsid w:val="00CB206B"/>
    <w:rsid w:val="00CB6C35"/>
    <w:rsid w:val="00CC4538"/>
    <w:rsid w:val="00CC636E"/>
    <w:rsid w:val="00CD188F"/>
    <w:rsid w:val="00CD7B73"/>
    <w:rsid w:val="00CE5A9B"/>
    <w:rsid w:val="00CE7E76"/>
    <w:rsid w:val="00CF0CA1"/>
    <w:rsid w:val="00CF71EE"/>
    <w:rsid w:val="00D02BAB"/>
    <w:rsid w:val="00D0434A"/>
    <w:rsid w:val="00D0673D"/>
    <w:rsid w:val="00D07174"/>
    <w:rsid w:val="00D20CBD"/>
    <w:rsid w:val="00D25CF3"/>
    <w:rsid w:val="00D2693A"/>
    <w:rsid w:val="00D3336E"/>
    <w:rsid w:val="00D34B81"/>
    <w:rsid w:val="00D35061"/>
    <w:rsid w:val="00D35E45"/>
    <w:rsid w:val="00D42AD1"/>
    <w:rsid w:val="00D46E30"/>
    <w:rsid w:val="00D56E4B"/>
    <w:rsid w:val="00D579CC"/>
    <w:rsid w:val="00D6358F"/>
    <w:rsid w:val="00D64034"/>
    <w:rsid w:val="00D7340D"/>
    <w:rsid w:val="00D75935"/>
    <w:rsid w:val="00D822D0"/>
    <w:rsid w:val="00D91017"/>
    <w:rsid w:val="00D97351"/>
    <w:rsid w:val="00DA233F"/>
    <w:rsid w:val="00DA406F"/>
    <w:rsid w:val="00DB2412"/>
    <w:rsid w:val="00DB6732"/>
    <w:rsid w:val="00DC0268"/>
    <w:rsid w:val="00DC5AC9"/>
    <w:rsid w:val="00DD4391"/>
    <w:rsid w:val="00DD48ED"/>
    <w:rsid w:val="00DE0BC6"/>
    <w:rsid w:val="00DE533E"/>
    <w:rsid w:val="00DF3C79"/>
    <w:rsid w:val="00DF7BC8"/>
    <w:rsid w:val="00E00C01"/>
    <w:rsid w:val="00E0585B"/>
    <w:rsid w:val="00E06768"/>
    <w:rsid w:val="00E1361C"/>
    <w:rsid w:val="00E14EBA"/>
    <w:rsid w:val="00E22818"/>
    <w:rsid w:val="00E4122B"/>
    <w:rsid w:val="00E4653A"/>
    <w:rsid w:val="00E67B96"/>
    <w:rsid w:val="00E70CEE"/>
    <w:rsid w:val="00E856E8"/>
    <w:rsid w:val="00E9104A"/>
    <w:rsid w:val="00E91221"/>
    <w:rsid w:val="00EA02D1"/>
    <w:rsid w:val="00EA0349"/>
    <w:rsid w:val="00EA41FB"/>
    <w:rsid w:val="00EA5EFF"/>
    <w:rsid w:val="00EB206C"/>
    <w:rsid w:val="00EC7569"/>
    <w:rsid w:val="00ED1108"/>
    <w:rsid w:val="00EE1034"/>
    <w:rsid w:val="00EE69A5"/>
    <w:rsid w:val="00EF0A3D"/>
    <w:rsid w:val="00EF35FA"/>
    <w:rsid w:val="00EF7C41"/>
    <w:rsid w:val="00F14A5A"/>
    <w:rsid w:val="00F15399"/>
    <w:rsid w:val="00F22CF6"/>
    <w:rsid w:val="00F24F01"/>
    <w:rsid w:val="00F30E74"/>
    <w:rsid w:val="00F31F3E"/>
    <w:rsid w:val="00F35A01"/>
    <w:rsid w:val="00F54117"/>
    <w:rsid w:val="00F57140"/>
    <w:rsid w:val="00F65F56"/>
    <w:rsid w:val="00F81948"/>
    <w:rsid w:val="00F83985"/>
    <w:rsid w:val="00F86EB0"/>
    <w:rsid w:val="00F945BE"/>
    <w:rsid w:val="00F9615B"/>
    <w:rsid w:val="00FA64D8"/>
    <w:rsid w:val="00FC75C5"/>
    <w:rsid w:val="00FC780B"/>
    <w:rsid w:val="00FD170F"/>
    <w:rsid w:val="00FD695F"/>
    <w:rsid w:val="00FE058A"/>
    <w:rsid w:val="00FE3D49"/>
    <w:rsid w:val="00FE54D4"/>
    <w:rsid w:val="00FE57C3"/>
    <w:rsid w:val="00FE5C41"/>
    <w:rsid w:val="00FF17EB"/>
    <w:rsid w:val="00FF40A6"/>
    <w:rsid w:val="0102D8B3"/>
    <w:rsid w:val="045EE245"/>
    <w:rsid w:val="0A26B482"/>
    <w:rsid w:val="127F171C"/>
    <w:rsid w:val="14028351"/>
    <w:rsid w:val="1D71AE06"/>
    <w:rsid w:val="1FF19231"/>
    <w:rsid w:val="247C3C72"/>
    <w:rsid w:val="2D836168"/>
    <w:rsid w:val="3CA8B301"/>
    <w:rsid w:val="410493A0"/>
    <w:rsid w:val="4146D0CA"/>
    <w:rsid w:val="42946D72"/>
    <w:rsid w:val="43AD574C"/>
    <w:rsid w:val="43D04B73"/>
    <w:rsid w:val="44B5FD33"/>
    <w:rsid w:val="4A795522"/>
    <w:rsid w:val="5879A542"/>
    <w:rsid w:val="58CFA1FD"/>
    <w:rsid w:val="620278D9"/>
    <w:rsid w:val="790849F2"/>
    <w:rsid w:val="7955C19A"/>
    <w:rsid w:val="796FE3C5"/>
    <w:rsid w:val="7B525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BD98"/>
  <w15:chartTrackingRefBased/>
  <w15:docId w15:val="{8DB8267F-2DF9-4FDE-8F07-3FB0369D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7D4"/>
    <w:rPr>
      <w:rFonts w:ascii="Arial" w:hAnsi="Arial"/>
      <w:sz w:val="24"/>
    </w:rPr>
  </w:style>
  <w:style w:type="paragraph" w:styleId="Heading1">
    <w:name w:val="heading 1"/>
    <w:basedOn w:val="Normal"/>
    <w:next w:val="Normal"/>
    <w:link w:val="Heading1Char"/>
    <w:uiPriority w:val="9"/>
    <w:qFormat/>
    <w:rsid w:val="00205C65"/>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05C65"/>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205C65"/>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205C65"/>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205C65"/>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F5496"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3763"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F5496"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F5496"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3763"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3763"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4472C4"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E67D4"/>
    <w:rPr>
      <w:rFonts w:ascii="Arial" w:hAnsi="Arial"/>
      <w:i/>
      <w:iCs/>
      <w:color w:val="4472C4"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4472C4"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paragraph" w:styleId="NormalWeb">
    <w:name w:val="Normal (Web)"/>
    <w:basedOn w:val="Normal"/>
    <w:uiPriority w:val="99"/>
    <w:semiHidden/>
    <w:unhideWhenUsed/>
    <w:rsid w:val="001E0A8F"/>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TableParagraph">
    <w:name w:val="Table Paragraph"/>
    <w:basedOn w:val="Normal"/>
    <w:uiPriority w:val="1"/>
    <w:qFormat/>
    <w:rsid w:val="001E0A8F"/>
    <w:pPr>
      <w:widowControl w:val="0"/>
      <w:autoSpaceDE w:val="0"/>
      <w:autoSpaceDN w:val="0"/>
      <w:spacing w:before="60" w:after="0" w:line="240" w:lineRule="auto"/>
      <w:ind w:left="130"/>
    </w:pPr>
    <w:rPr>
      <w:rFonts w:ascii="Roboto Mono Light" w:eastAsia="Courier New" w:hAnsi="Roboto Mono Light" w:cs="Courier New"/>
      <w:kern w:val="0"/>
      <w:sz w:val="22"/>
      <w14:ligatures w14:val="none"/>
    </w:rPr>
  </w:style>
  <w:style w:type="character" w:styleId="Hyperlink">
    <w:name w:val="Hyperlink"/>
    <w:basedOn w:val="DefaultParagraphFont"/>
    <w:uiPriority w:val="99"/>
    <w:unhideWhenUsed/>
    <w:rsid w:val="001E0A8F"/>
    <w:rPr>
      <w:color w:val="0563C1" w:themeColor="hyperlink"/>
      <w:u w:val="single"/>
    </w:rPr>
  </w:style>
  <w:style w:type="character" w:styleId="UnresolvedMention">
    <w:name w:val="Unresolved Mention"/>
    <w:basedOn w:val="DefaultParagraphFont"/>
    <w:uiPriority w:val="99"/>
    <w:semiHidden/>
    <w:unhideWhenUsed/>
    <w:rsid w:val="001E0A8F"/>
    <w:rPr>
      <w:color w:val="605E5C"/>
      <w:shd w:val="clear" w:color="auto" w:fill="E1DFDD"/>
    </w:rPr>
  </w:style>
  <w:style w:type="character" w:styleId="CommentReference">
    <w:name w:val="annotation reference"/>
    <w:basedOn w:val="DefaultParagraphFont"/>
    <w:uiPriority w:val="99"/>
    <w:semiHidden/>
    <w:unhideWhenUsed/>
    <w:rsid w:val="00CC4538"/>
    <w:rPr>
      <w:sz w:val="16"/>
      <w:szCs w:val="16"/>
    </w:rPr>
  </w:style>
  <w:style w:type="paragraph" w:styleId="CommentText">
    <w:name w:val="annotation text"/>
    <w:basedOn w:val="Normal"/>
    <w:link w:val="CommentTextChar"/>
    <w:uiPriority w:val="99"/>
    <w:unhideWhenUsed/>
    <w:rsid w:val="00CC4538"/>
    <w:pPr>
      <w:spacing w:line="240" w:lineRule="auto"/>
    </w:pPr>
    <w:rPr>
      <w:sz w:val="20"/>
      <w:szCs w:val="20"/>
    </w:rPr>
  </w:style>
  <w:style w:type="character" w:customStyle="1" w:styleId="CommentTextChar">
    <w:name w:val="Comment Text Char"/>
    <w:basedOn w:val="DefaultParagraphFont"/>
    <w:link w:val="CommentText"/>
    <w:uiPriority w:val="99"/>
    <w:rsid w:val="00CC453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C4538"/>
    <w:rPr>
      <w:b/>
      <w:bCs/>
    </w:rPr>
  </w:style>
  <w:style w:type="character" w:customStyle="1" w:styleId="CommentSubjectChar">
    <w:name w:val="Comment Subject Char"/>
    <w:basedOn w:val="CommentTextChar"/>
    <w:link w:val="CommentSubject"/>
    <w:uiPriority w:val="99"/>
    <w:semiHidden/>
    <w:rsid w:val="00CC4538"/>
    <w:rPr>
      <w:rFonts w:ascii="Arial" w:hAnsi="Arial"/>
      <w:b/>
      <w:bCs/>
      <w:sz w:val="20"/>
      <w:szCs w:val="20"/>
    </w:rPr>
  </w:style>
  <w:style w:type="table" w:styleId="TableGrid">
    <w:name w:val="Table Grid"/>
    <w:basedOn w:val="TableNormal"/>
    <w:uiPriority w:val="39"/>
    <w:rsid w:val="00B10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C7B17"/>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9C7B17"/>
  </w:style>
  <w:style w:type="character" w:customStyle="1" w:styleId="eop">
    <w:name w:val="eop"/>
    <w:basedOn w:val="DefaultParagraphFont"/>
    <w:rsid w:val="009C7B17"/>
  </w:style>
  <w:style w:type="paragraph" w:styleId="Header">
    <w:name w:val="header"/>
    <w:basedOn w:val="Normal"/>
    <w:link w:val="HeaderChar"/>
    <w:uiPriority w:val="99"/>
    <w:unhideWhenUsed/>
    <w:rsid w:val="00B9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ED7"/>
    <w:rPr>
      <w:rFonts w:ascii="Arial" w:hAnsi="Arial"/>
      <w:sz w:val="24"/>
    </w:rPr>
  </w:style>
  <w:style w:type="paragraph" w:styleId="Footer">
    <w:name w:val="footer"/>
    <w:basedOn w:val="Normal"/>
    <w:link w:val="FooterChar"/>
    <w:uiPriority w:val="99"/>
    <w:unhideWhenUsed/>
    <w:rsid w:val="00B9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ED7"/>
    <w:rPr>
      <w:rFonts w:ascii="Arial" w:hAnsi="Arial"/>
      <w:sz w:val="24"/>
    </w:rPr>
  </w:style>
  <w:style w:type="paragraph" w:styleId="TOCHeading">
    <w:name w:val="TOC Heading"/>
    <w:basedOn w:val="Heading1"/>
    <w:next w:val="Normal"/>
    <w:uiPriority w:val="39"/>
    <w:unhideWhenUsed/>
    <w:qFormat/>
    <w:rsid w:val="00B16510"/>
    <w:pPr>
      <w:outlineLvl w:val="9"/>
    </w:pPr>
    <w:rPr>
      <w:rFonts w:asciiTheme="majorHAnsi" w:hAnsiTheme="majorHAnsi"/>
      <w:kern w:val="0"/>
      <w:lang w:eastAsia="en-GB"/>
      <w14:ligatures w14:val="none"/>
    </w:rPr>
  </w:style>
  <w:style w:type="paragraph" w:styleId="TOC2">
    <w:name w:val="toc 2"/>
    <w:basedOn w:val="Normal"/>
    <w:next w:val="Normal"/>
    <w:autoRedefine/>
    <w:uiPriority w:val="39"/>
    <w:unhideWhenUsed/>
    <w:rsid w:val="00BE5AFE"/>
    <w:pPr>
      <w:spacing w:after="100"/>
      <w:ind w:left="240"/>
    </w:pPr>
  </w:style>
  <w:style w:type="paragraph" w:styleId="TOC3">
    <w:name w:val="toc 3"/>
    <w:basedOn w:val="Normal"/>
    <w:next w:val="Normal"/>
    <w:autoRedefine/>
    <w:uiPriority w:val="39"/>
    <w:unhideWhenUsed/>
    <w:rsid w:val="00BE5AFE"/>
    <w:pPr>
      <w:spacing w:after="100"/>
      <w:ind w:left="480"/>
    </w:pPr>
  </w:style>
  <w:style w:type="character" w:customStyle="1" w:styleId="contextualspellingandgrammarerrorzoomed">
    <w:name w:val="contextualspellingandgrammarerrorzoomed"/>
    <w:basedOn w:val="DefaultParagraphFont"/>
    <w:rsid w:val="00E67B96"/>
  </w:style>
  <w:style w:type="paragraph" w:styleId="Revision">
    <w:name w:val="Revision"/>
    <w:hidden/>
    <w:uiPriority w:val="99"/>
    <w:semiHidden/>
    <w:rsid w:val="000C1867"/>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3608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8923">
      <w:bodyDiv w:val="1"/>
      <w:marLeft w:val="0"/>
      <w:marRight w:val="0"/>
      <w:marTop w:val="0"/>
      <w:marBottom w:val="0"/>
      <w:divBdr>
        <w:top w:val="none" w:sz="0" w:space="0" w:color="auto"/>
        <w:left w:val="none" w:sz="0" w:space="0" w:color="auto"/>
        <w:bottom w:val="none" w:sz="0" w:space="0" w:color="auto"/>
        <w:right w:val="none" w:sz="0" w:space="0" w:color="auto"/>
      </w:divBdr>
    </w:div>
    <w:div w:id="296617247">
      <w:bodyDiv w:val="1"/>
      <w:marLeft w:val="0"/>
      <w:marRight w:val="0"/>
      <w:marTop w:val="0"/>
      <w:marBottom w:val="0"/>
      <w:divBdr>
        <w:top w:val="none" w:sz="0" w:space="0" w:color="auto"/>
        <w:left w:val="none" w:sz="0" w:space="0" w:color="auto"/>
        <w:bottom w:val="none" w:sz="0" w:space="0" w:color="auto"/>
        <w:right w:val="none" w:sz="0" w:space="0" w:color="auto"/>
      </w:divBdr>
    </w:div>
    <w:div w:id="442462536">
      <w:bodyDiv w:val="1"/>
      <w:marLeft w:val="0"/>
      <w:marRight w:val="0"/>
      <w:marTop w:val="0"/>
      <w:marBottom w:val="0"/>
      <w:divBdr>
        <w:top w:val="none" w:sz="0" w:space="0" w:color="auto"/>
        <w:left w:val="none" w:sz="0" w:space="0" w:color="auto"/>
        <w:bottom w:val="none" w:sz="0" w:space="0" w:color="auto"/>
        <w:right w:val="none" w:sz="0" w:space="0" w:color="auto"/>
      </w:divBdr>
    </w:div>
    <w:div w:id="474684500">
      <w:bodyDiv w:val="1"/>
      <w:marLeft w:val="0"/>
      <w:marRight w:val="0"/>
      <w:marTop w:val="0"/>
      <w:marBottom w:val="0"/>
      <w:divBdr>
        <w:top w:val="none" w:sz="0" w:space="0" w:color="auto"/>
        <w:left w:val="none" w:sz="0" w:space="0" w:color="auto"/>
        <w:bottom w:val="none" w:sz="0" w:space="0" w:color="auto"/>
        <w:right w:val="none" w:sz="0" w:space="0" w:color="auto"/>
      </w:divBdr>
    </w:div>
    <w:div w:id="528491537">
      <w:bodyDiv w:val="1"/>
      <w:marLeft w:val="0"/>
      <w:marRight w:val="0"/>
      <w:marTop w:val="0"/>
      <w:marBottom w:val="0"/>
      <w:divBdr>
        <w:top w:val="none" w:sz="0" w:space="0" w:color="auto"/>
        <w:left w:val="none" w:sz="0" w:space="0" w:color="auto"/>
        <w:bottom w:val="none" w:sz="0" w:space="0" w:color="auto"/>
        <w:right w:val="none" w:sz="0" w:space="0" w:color="auto"/>
      </w:divBdr>
    </w:div>
    <w:div w:id="560216560">
      <w:bodyDiv w:val="1"/>
      <w:marLeft w:val="0"/>
      <w:marRight w:val="0"/>
      <w:marTop w:val="0"/>
      <w:marBottom w:val="0"/>
      <w:divBdr>
        <w:top w:val="none" w:sz="0" w:space="0" w:color="auto"/>
        <w:left w:val="none" w:sz="0" w:space="0" w:color="auto"/>
        <w:bottom w:val="none" w:sz="0" w:space="0" w:color="auto"/>
        <w:right w:val="none" w:sz="0" w:space="0" w:color="auto"/>
      </w:divBdr>
    </w:div>
    <w:div w:id="633364406">
      <w:bodyDiv w:val="1"/>
      <w:marLeft w:val="0"/>
      <w:marRight w:val="0"/>
      <w:marTop w:val="0"/>
      <w:marBottom w:val="0"/>
      <w:divBdr>
        <w:top w:val="none" w:sz="0" w:space="0" w:color="auto"/>
        <w:left w:val="none" w:sz="0" w:space="0" w:color="auto"/>
        <w:bottom w:val="none" w:sz="0" w:space="0" w:color="auto"/>
        <w:right w:val="none" w:sz="0" w:space="0" w:color="auto"/>
      </w:divBdr>
    </w:div>
    <w:div w:id="750589739">
      <w:bodyDiv w:val="1"/>
      <w:marLeft w:val="0"/>
      <w:marRight w:val="0"/>
      <w:marTop w:val="0"/>
      <w:marBottom w:val="0"/>
      <w:divBdr>
        <w:top w:val="none" w:sz="0" w:space="0" w:color="auto"/>
        <w:left w:val="none" w:sz="0" w:space="0" w:color="auto"/>
        <w:bottom w:val="none" w:sz="0" w:space="0" w:color="auto"/>
        <w:right w:val="none" w:sz="0" w:space="0" w:color="auto"/>
      </w:divBdr>
    </w:div>
    <w:div w:id="1552811265">
      <w:bodyDiv w:val="1"/>
      <w:marLeft w:val="0"/>
      <w:marRight w:val="0"/>
      <w:marTop w:val="0"/>
      <w:marBottom w:val="0"/>
      <w:divBdr>
        <w:top w:val="none" w:sz="0" w:space="0" w:color="auto"/>
        <w:left w:val="none" w:sz="0" w:space="0" w:color="auto"/>
        <w:bottom w:val="none" w:sz="0" w:space="0" w:color="auto"/>
        <w:right w:val="none" w:sz="0" w:space="0" w:color="auto"/>
      </w:divBdr>
    </w:div>
    <w:div w:id="1621647640">
      <w:bodyDiv w:val="1"/>
      <w:marLeft w:val="0"/>
      <w:marRight w:val="0"/>
      <w:marTop w:val="0"/>
      <w:marBottom w:val="0"/>
      <w:divBdr>
        <w:top w:val="none" w:sz="0" w:space="0" w:color="auto"/>
        <w:left w:val="none" w:sz="0" w:space="0" w:color="auto"/>
        <w:bottom w:val="none" w:sz="0" w:space="0" w:color="auto"/>
        <w:right w:val="none" w:sz="0" w:space="0" w:color="auto"/>
      </w:divBdr>
    </w:div>
    <w:div w:id="176422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cdn.nationalarchives.gov.uk/documents/the-national-archives-research-vision-2024-27.pdf" TargetMode="External"/><Relationship Id="rId26" Type="http://schemas.openxmlformats.org/officeDocument/2006/relationships/hyperlink" Target="https://www.nationalarchives.gov.uk/community-hub/project-grant/" TargetMode="External"/><Relationship Id="rId39" Type="http://schemas.openxmlformats.org/officeDocument/2006/relationships/header" Target="header1.xml"/><Relationship Id="rId21" Type="http://schemas.openxmlformats.org/officeDocument/2006/relationships/hyperlink" Target="https://www.library.wales/" TargetMode="External"/><Relationship Id="rId34" Type="http://schemas.openxmlformats.org/officeDocument/2006/relationships/hyperlink" Target="mailto:procurement@nationalarchives.gov.uk" TargetMode="External"/><Relationship Id="rId42" Type="http://schemas.openxmlformats.org/officeDocument/2006/relationships/image" Target="media/image4.sv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nationalarchives.gov.uk/" TargetMode="External"/><Relationship Id="rId20" Type="http://schemas.openxmlformats.org/officeDocument/2006/relationships/hyperlink" Target="https://museumsandgalleries.leeds.gov.uk/" TargetMode="External"/><Relationship Id="rId29" Type="http://schemas.openxmlformats.org/officeDocument/2006/relationships/hyperlink" Target="https://www.nationalarchives.gov.uk/archives-sector/grants-and-funding/"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nationalarchives.gov.uk/community-hub/seed-corn-grant/" TargetMode="External"/><Relationship Id="rId32" Type="http://schemas.openxmlformats.org/officeDocument/2006/relationships/hyperlink" Target="https://www.communityarchives.org.uk/" TargetMode="External"/><Relationship Id="rId37" Type="http://schemas.openxmlformats.org/officeDocument/2006/relationships/hyperlink" Target="mailto:procurement@nationalarchives.gov.uk"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procurement@nationalarchives.gov.uk" TargetMode="External"/><Relationship Id="rId23" Type="http://schemas.openxmlformats.org/officeDocument/2006/relationships/hyperlink" Target="https://www.ukri.org/councils/ahrc/" TargetMode="External"/><Relationship Id="rId28" Type="http://schemas.openxmlformats.org/officeDocument/2006/relationships/hyperlink" Target="https://www.nationalarchives.gov.uk/community-hub/" TargetMode="External"/><Relationship Id="rId36" Type="http://schemas.openxmlformats.org/officeDocument/2006/relationships/hyperlink" Target="mailto:procurement@nationalarchives.gov.uk" TargetMode="External"/><Relationship Id="rId10" Type="http://schemas.openxmlformats.org/officeDocument/2006/relationships/settings" Target="settings.xml"/><Relationship Id="rId19" Type="http://schemas.openxmlformats.org/officeDocument/2006/relationships/hyperlink" Target="https://www.nationalarchives.gov.uk/archives-sector/grants-and-funding/" TargetMode="External"/><Relationship Id="rId31" Type="http://schemas.openxmlformats.org/officeDocument/2006/relationships/hyperlink" Target="https://www.library.wal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communityarchives.org.uk/" TargetMode="External"/><Relationship Id="rId27" Type="http://schemas.openxmlformats.org/officeDocument/2006/relationships/hyperlink" Target="https://www.ukri.org/opportunity/ahrc-community-led-heritage-research-and-skills-hub/" TargetMode="External"/><Relationship Id="rId30" Type="http://schemas.openxmlformats.org/officeDocument/2006/relationships/hyperlink" Target="https://museumsandgalleries.leeds.gov.uk/" TargetMode="External"/><Relationship Id="rId35" Type="http://schemas.openxmlformats.org/officeDocument/2006/relationships/hyperlink" Target="mailto:procurement@nationalarchives.gov.uk" TargetMode="External"/><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nationalarchives.gov.uk/community-hub/" TargetMode="External"/><Relationship Id="rId25" Type="http://schemas.openxmlformats.org/officeDocument/2006/relationships/hyperlink" Target="https://www.nationalarchives.gov.uk/community-hub/skills-bursaries/" TargetMode="External"/><Relationship Id="rId33" Type="http://schemas.openxmlformats.org/officeDocument/2006/relationships/hyperlink" Target="https://www.ukri.org/councils/ahrc/" TargetMode="External"/><Relationship Id="rId38" Type="http://schemas.openxmlformats.org/officeDocument/2006/relationships/hyperlink" Target="https://www.nationalarchives.gov.uk/about/commercial-opportunities/information-for-our-suppli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p:Policy xmlns:p="office.server.policy" id="" local="true">
  <p:Name>TNA Document</p:Name>
  <p:Description/>
  <p:Statement/>
  <p:PolicyItems>
    <p:PolicyItem featureId="Microsoft.Office.RecordsManagement.PolicyFeatures.PolicyAudit" staticId="0x0101005D679CA3F8E696449A285DF9D1DAE831|1757814118" UniqueId="a5bd7b12-cb9e-44fb-9885-02a962b52751">
      <p:Name>Auditing</p:Name>
      <p:Description>Audits user actions on documents and list items to the Audit Log.</p:Description>
      <p:CustomData>
        <Audit>
          <Update/>
          <CheckInOut/>
          <MoveCopy/>
          <DeleteRestore/>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TNA Document" ma:contentTypeID="0x0101005D679CA3F8E696449A285DF9D1DAE83100939F57604D95AC4186CC293435610926" ma:contentTypeVersion="190" ma:contentTypeDescription="" ma:contentTypeScope="" ma:versionID="7f76e334939fd48100b00f94f90e4e1d">
  <xsd:schema xmlns:xsd="http://www.w3.org/2001/XMLSchema" xmlns:xs="http://www.w3.org/2001/XMLSchema" xmlns:p="http://schemas.microsoft.com/office/2006/metadata/properties" xmlns:ns1="http://schemas.microsoft.com/sharepoint/v3" xmlns:ns2="b55421fe-d432-41c3-a616-7a047f898650" xmlns:ns3="4f998c8e-9751-4b60-ab63-466603ec2845" targetNamespace="http://schemas.microsoft.com/office/2006/metadata/properties" ma:root="true" ma:fieldsID="c1c88b1649c9c942a7d06dd8e012ee95" ns1:_="" ns2:_="" ns3:_="">
    <xsd:import namespace="http://schemas.microsoft.com/sharepoint/v3"/>
    <xsd:import namespace="b55421fe-d432-41c3-a616-7a047f898650"/>
    <xsd:import namespace="4f998c8e-9751-4b60-ab63-466603ec2845"/>
    <xsd:element name="properties">
      <xsd:complexType>
        <xsd:sequence>
          <xsd:element name="documentManagement">
            <xsd:complexType>
              <xsd:all>
                <xsd:element ref="ns2:Objective_id" minOccurs="0"/>
                <xsd:element ref="ns2:Notes1" minOccurs="0"/>
                <xsd:element ref="ns2:Objective_filepath" minOccurs="0"/>
                <xsd:element ref="ns2:Objective_template" minOccurs="0"/>
                <xsd:element ref="ns2:Protective_x0020_Marking" minOccurs="0"/>
                <xsd:element ref="ns2:Objective_disposal_date" minOccurs="0"/>
                <xsd:element ref="ns2:Objective_date_sentenced" minOccurs="0"/>
                <xsd:element ref="ns2:Objective_disposal_schedule" minOccurs="0"/>
                <xsd:element ref="ns2:Objective_date_trigger" minOccurs="0"/>
                <xsd:element ref="ns2:Objective_manually_sentenced" minOccurs="0"/>
                <xsd:element ref="ns2:Objective_repository" minOccurs="0"/>
                <xsd:element ref="ns2:Objective_doc_extension" minOccurs="0"/>
                <xsd:element ref="ns2:Objective_created_by" minOccurs="0"/>
                <xsd:element ref="ns2:Objective_modified_by" minOccurs="0"/>
                <xsd:element ref="ns2:Reason_for_closire" minOccurs="0"/>
                <xsd:element ref="ns2:Closure_review_date" minOccurs="0"/>
                <xsd:element ref="ns2:Date_closed"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421fe-d432-41c3-a616-7a047f898650" elementFormDefault="qualified">
    <xsd:import namespace="http://schemas.microsoft.com/office/2006/documentManagement/types"/>
    <xsd:import namespace="http://schemas.microsoft.com/office/infopath/2007/PartnerControls"/>
    <xsd:element name="Objective_id" ma:index="8" nillable="true" ma:displayName="Objective_id" ma:internalName="Objective_id" ma:readOnly="false">
      <xsd:simpleType>
        <xsd:restriction base="dms:Text">
          <xsd:maxLength value="255"/>
        </xsd:restriction>
      </xsd:simpleType>
    </xsd:element>
    <xsd:element name="Notes1" ma:index="9" nillable="true" ma:displayName="Notes" ma:internalName="Notes1">
      <xsd:simpleType>
        <xsd:restriction base="dms:Note">
          <xsd:maxLength value="255"/>
        </xsd:restriction>
      </xsd:simpleType>
    </xsd:element>
    <xsd:element name="Objective_filepath" ma:index="10" nillable="true" ma:displayName="Objective_filepath" ma:internalName="Objective_filepath" ma:readOnly="false">
      <xsd:simpleType>
        <xsd:restriction base="dms:Note">
          <xsd:maxLength value="255"/>
        </xsd:restriction>
      </xsd:simpleType>
    </xsd:element>
    <xsd:element name="Objective_template" ma:index="11" nillable="true" ma:displayName="Objective_template" ma:default="No" ma:format="Dropdown" ma:internalName="Objective_template" ma:readOnly="false">
      <xsd:simpleType>
        <xsd:restriction base="dms:Choice">
          <xsd:enumeration value="Yes"/>
          <xsd:enumeration value="No"/>
        </xsd:restriction>
      </xsd:simpleType>
    </xsd:element>
    <xsd:element name="Protective_x0020_Marking" ma:index="12" nillable="true" ma:displayName="Protective Marking" ma:format="Dropdown" ma:internalName="Protective_x0020_Marking">
      <xsd:simpleType>
        <xsd:restriction base="dms:Choice">
          <xsd:enumeration value="OFFICIAL-SENSITIVE"/>
          <xsd:enumeration value="OFFICIAL-SENSITIVE-COMMERCIAL"/>
          <xsd:enumeration value="OFFICIAL-SENSITIVE-PERSONAL"/>
        </xsd:restriction>
      </xsd:simpleType>
    </xsd:element>
    <xsd:element name="Objective_disposal_date" ma:index="13" nillable="true" ma:displayName="Objective_disposal_date" ma:format="DateTime" ma:hidden="true" ma:internalName="Objective_disposal_date" ma:readOnly="false">
      <xsd:simpleType>
        <xsd:restriction base="dms:DateTime"/>
      </xsd:simpleType>
    </xsd:element>
    <xsd:element name="Objective_date_sentenced" ma:index="14" nillable="true" ma:displayName="Objective_date_sentenced" ma:format="DateTime" ma:hidden="true" ma:internalName="Objective_date_sentenced" ma:readOnly="false">
      <xsd:simpleType>
        <xsd:restriction base="dms:DateTime"/>
      </xsd:simpleType>
    </xsd:element>
    <xsd:element name="Objective_disposal_schedule" ma:index="15" nillable="true" ma:displayName="Objective_disposal_schedule" ma:hidden="true" ma:internalName="Objective_disposal_schedule" ma:readOnly="false">
      <xsd:simpleType>
        <xsd:restriction base="dms:Text">
          <xsd:maxLength value="255"/>
        </xsd:restriction>
      </xsd:simpleType>
    </xsd:element>
    <xsd:element name="Objective_date_trigger" ma:index="16" nillable="true" ma:displayName="Objective_date_trigger" ma:format="DateTime" ma:hidden="true" ma:internalName="Objective_date_trigger" ma:readOnly="false">
      <xsd:simpleType>
        <xsd:restriction base="dms:DateTime"/>
      </xsd:simpleType>
    </xsd:element>
    <xsd:element name="Objective_manually_sentenced" ma:index="17" nillable="true" ma:displayName="Objective_manually_sentenced" ma:default="No" ma:format="Dropdown" ma:hidden="true" ma:internalName="Objective_manually_sentenced" ma:readOnly="false">
      <xsd:simpleType>
        <xsd:restriction base="dms:Choice">
          <xsd:enumeration value="Yes"/>
          <xsd:enumeration value="No"/>
        </xsd:restriction>
      </xsd:simpleType>
    </xsd:element>
    <xsd:element name="Objective_repository" ma:index="18" nillable="true" ma:displayName="Objective_repository" ma:hidden="true" ma:internalName="Objective_repository" ma:readOnly="false">
      <xsd:simpleType>
        <xsd:restriction base="dms:Text">
          <xsd:maxLength value="255"/>
        </xsd:restriction>
      </xsd:simpleType>
    </xsd:element>
    <xsd:element name="Objective_doc_extension" ma:index="19" nillable="true" ma:displayName="Objective_doc_extension" ma:internalName="Objective_doc_extension" ma:readOnly="false">
      <xsd:simpleType>
        <xsd:restriction base="dms:Text">
          <xsd:maxLength value="255"/>
        </xsd:restriction>
      </xsd:simpleType>
    </xsd:element>
    <xsd:element name="Objective_created_by" ma:index="20" nillable="true" ma:displayName="Objective_created_by" ma:internalName="Objective_created_by">
      <xsd:simpleType>
        <xsd:restriction base="dms:Text">
          <xsd:maxLength value="255"/>
        </xsd:restriction>
      </xsd:simpleType>
    </xsd:element>
    <xsd:element name="Objective_modified_by" ma:index="21" nillable="true" ma:displayName="Objective_modified_by" ma:internalName="Objective_modified_by">
      <xsd:simpleType>
        <xsd:restriction base="dms:Text">
          <xsd:maxLength value="255"/>
        </xsd:restriction>
      </xsd:simpleType>
    </xsd:element>
    <xsd:element name="Reason_for_closire" ma:index="22" nillable="true" ma:displayName="Closure_decision_reason" ma:hidden="true" ma:internalName="Reason_for_closire" ma:readOnly="false">
      <xsd:simpleType>
        <xsd:restriction base="dms:Text">
          <xsd:maxLength value="255"/>
        </xsd:restriction>
      </xsd:simpleType>
    </xsd:element>
    <xsd:element name="Closure_review_date" ma:index="23" nillable="true" ma:displayName="Closure_review_date" ma:format="DateOnly" ma:hidden="true" ma:internalName="Closure_review_date" ma:readOnly="false">
      <xsd:simpleType>
        <xsd:restriction base="dms:DateTime"/>
      </xsd:simpleType>
    </xsd:element>
    <xsd:element name="Date_closed" ma:index="24" nillable="true" ma:displayName="Date_closed" ma:format="DateTime" ma:hidden="true" ma:internalName="Date_clos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998c8e-9751-4b60-ab63-466603ec2845"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0c0fc91-5178-4f65-8d1d-944e60792c5e" ContentTypeId="0x0101005D679CA3F8E696449A285DF9D1DAE831" PreviousValue="false"/>
</file>

<file path=customXml/item5.xml><?xml version="1.0" encoding="utf-8"?>
<p:properties xmlns:p="http://schemas.microsoft.com/office/2006/metadata/properties" xmlns:xsi="http://www.w3.org/2001/XMLSchema-instance" xmlns:pc="http://schemas.microsoft.com/office/infopath/2007/PartnerControls">
  <documentManagement>
    <Objective_manually_sentenced xmlns="b55421fe-d432-41c3-a616-7a047f898650">No</Objective_manually_sentenced>
    <Objective_doc_extension xmlns="b55421fe-d432-41c3-a616-7a047f898650" xsi:nil="true"/>
    <Objective_modified_by xmlns="b55421fe-d432-41c3-a616-7a047f898650" xsi:nil="true"/>
    <Closure_review_date xmlns="b55421fe-d432-41c3-a616-7a047f898650" xsi:nil="true"/>
    <Objective_date_sentenced xmlns="b55421fe-d432-41c3-a616-7a047f898650" xsi:nil="true"/>
    <Objective_filepath xmlns="b55421fe-d432-41c3-a616-7a047f898650" xsi:nil="true"/>
    <Objective_date_trigger xmlns="b55421fe-d432-41c3-a616-7a047f898650" xsi:nil="true"/>
    <Objective_created_by xmlns="b55421fe-d432-41c3-a616-7a047f898650" xsi:nil="true"/>
    <Protective_x0020_Marking xmlns="b55421fe-d432-41c3-a616-7a047f898650" xsi:nil="true"/>
    <Objective_template xmlns="b55421fe-d432-41c3-a616-7a047f898650">No</Objective_template>
    <Objective_disposal_date xmlns="b55421fe-d432-41c3-a616-7a047f898650" xsi:nil="true"/>
    <Date_closed xmlns="b55421fe-d432-41c3-a616-7a047f898650" xsi:nil="true"/>
    <Objective_repository xmlns="b55421fe-d432-41c3-a616-7a047f898650" xsi:nil="true"/>
    <Objective_disposal_schedule xmlns="b55421fe-d432-41c3-a616-7a047f898650" xsi:nil="true"/>
    <Objective_id xmlns="b55421fe-d432-41c3-a616-7a047f898650" xsi:nil="true"/>
    <Notes1 xmlns="b55421fe-d432-41c3-a616-7a047f898650" xsi:nil="true"/>
    <Reason_for_closire xmlns="b55421fe-d432-41c3-a616-7a047f898650" xsi:nil="true"/>
    <_dlc_Exempt xmlns="http://schemas.microsoft.com/sharepoint/v3">false</_dlc_Exempt>
    <_dlc_DocId xmlns="4f998c8e-9751-4b60-ab63-466603ec2845">443QPW6MEUH3-1335349982-18135</_dlc_DocId>
    <_dlc_DocIdUrl xmlns="4f998c8e-9751-4b60-ab63-466603ec2845">
      <Url>https://nationalarchivesuk.sharepoint.com/sites/PPD_Proc/_layouts/15/DocIdRedir.aspx?ID=443QPW6MEUH3-1335349982-18135</Url>
      <Description>443QPW6MEUH3-1335349982-18135</Description>
    </_dlc_DocIdUrl>
  </documentManagement>
</p:properti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F415A2-8311-4CD7-AC4F-C15C1FF12691}">
  <ds:schemaRefs>
    <ds:schemaRef ds:uri="http://schemas.openxmlformats.org/officeDocument/2006/bibliography"/>
  </ds:schemaRefs>
</ds:datastoreItem>
</file>

<file path=customXml/itemProps2.xml><?xml version="1.0" encoding="utf-8"?>
<ds:datastoreItem xmlns:ds="http://schemas.openxmlformats.org/officeDocument/2006/customXml" ds:itemID="{3DF7DDE0-A6D9-45B9-BFB2-917C80CF4567}">
  <ds:schemaRefs>
    <ds:schemaRef ds:uri="office.server.policy"/>
  </ds:schemaRefs>
</ds:datastoreItem>
</file>

<file path=customXml/itemProps3.xml><?xml version="1.0" encoding="utf-8"?>
<ds:datastoreItem xmlns:ds="http://schemas.openxmlformats.org/officeDocument/2006/customXml" ds:itemID="{6531D589-531E-4DC2-B7F7-F3C509FDB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421fe-d432-41c3-a616-7a047f898650"/>
    <ds:schemaRef ds:uri="4f998c8e-9751-4b60-ab63-466603ec2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9F388-BF6E-4A72-80F9-85851D227464}">
  <ds:schemaRefs>
    <ds:schemaRef ds:uri="Microsoft.SharePoint.Taxonomy.ContentTypeSync"/>
  </ds:schemaRefs>
</ds:datastoreItem>
</file>

<file path=customXml/itemProps5.xml><?xml version="1.0" encoding="utf-8"?>
<ds:datastoreItem xmlns:ds="http://schemas.openxmlformats.org/officeDocument/2006/customXml" ds:itemID="{64D533E9-F8B0-4804-A1BC-11FF613BE0FF}">
  <ds:schemaRefs>
    <ds:schemaRef ds:uri="4f998c8e-9751-4b60-ab63-466603ec2845"/>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sharepoint/v3"/>
    <ds:schemaRef ds:uri="b55421fe-d432-41c3-a616-7a047f898650"/>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20E9E0D8-6790-49CB-9076-22648DB68C35}">
  <ds:schemaRefs>
    <ds:schemaRef ds:uri="http://schemas.microsoft.com/sharepoint/events"/>
  </ds:schemaRefs>
</ds:datastoreItem>
</file>

<file path=customXml/itemProps7.xml><?xml version="1.0" encoding="utf-8"?>
<ds:datastoreItem xmlns:ds="http://schemas.openxmlformats.org/officeDocument/2006/customXml" ds:itemID="{4D8A6E34-53AA-4CE6-8C65-28E88E13D5F8}">
  <ds:schemaRefs>
    <ds:schemaRef ds:uri="http://schemas.microsoft.com/sharepoint/v3/contenttype/forms"/>
  </ds:schemaRefs>
</ds:datastoreItem>
</file>

<file path=docMetadata/LabelInfo.xml><?xml version="1.0" encoding="utf-8"?>
<clbl:labelList xmlns:clbl="http://schemas.microsoft.com/office/2020/mipLabelMetadata">
  <clbl:label id="{61c22e59-6e76-40e7-9277-37c464fc6354}" enabled="1" method="Privileged" siteId="{f99512c1-fd9f-4475-9896-9a0b3cdc50ec}" removed="0"/>
</clbl:labelList>
</file>

<file path=docProps/app.xml><?xml version="1.0" encoding="utf-8"?>
<Properties xmlns="http://schemas.openxmlformats.org/officeDocument/2006/extended-properties" xmlns:vt="http://schemas.openxmlformats.org/officeDocument/2006/docPropsVTypes">
  <Template>Normal</Template>
  <TotalTime>42</TotalTime>
  <Pages>14</Pages>
  <Words>3910</Words>
  <Characters>22291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James</dc:creator>
  <cp:keywords/>
  <dc:description/>
  <cp:lastModifiedBy>Knoxville, Indigo</cp:lastModifiedBy>
  <cp:revision>18</cp:revision>
  <cp:lastPrinted>2024-03-28T21:56:00Z</cp:lastPrinted>
  <dcterms:created xsi:type="dcterms:W3CDTF">2025-08-02T14:29:00Z</dcterms:created>
  <dcterms:modified xsi:type="dcterms:W3CDTF">2025-09-05T10:21:00Z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c22e59-6e76-40e7-9277-37c464fc6354_Enabled">
    <vt:lpwstr>true</vt:lpwstr>
  </property>
  <property fmtid="{D5CDD505-2E9C-101B-9397-08002B2CF9AE}" pid="3" name="MSIP_Label_61c22e59-6e76-40e7-9277-37c464fc6354_SetDate">
    <vt:lpwstr>2024-02-27T14:15:25Z</vt:lpwstr>
  </property>
  <property fmtid="{D5CDD505-2E9C-101B-9397-08002B2CF9AE}" pid="4" name="MSIP_Label_61c22e59-6e76-40e7-9277-37c464fc6354_Method">
    <vt:lpwstr>Privileged</vt:lpwstr>
  </property>
  <property fmtid="{D5CDD505-2E9C-101B-9397-08002B2CF9AE}" pid="5" name="MSIP_Label_61c22e59-6e76-40e7-9277-37c464fc6354_Name">
    <vt:lpwstr>OFFICIAL</vt:lpwstr>
  </property>
  <property fmtid="{D5CDD505-2E9C-101B-9397-08002B2CF9AE}" pid="6" name="MSIP_Label_61c22e59-6e76-40e7-9277-37c464fc6354_SiteId">
    <vt:lpwstr>f99512c1-fd9f-4475-9896-9a0b3cdc50ec</vt:lpwstr>
  </property>
  <property fmtid="{D5CDD505-2E9C-101B-9397-08002B2CF9AE}" pid="7" name="MSIP_Label_61c22e59-6e76-40e7-9277-37c464fc6354_ActionId">
    <vt:lpwstr>b5faeb72-afb3-4e24-9ebb-80338ebe4241</vt:lpwstr>
  </property>
  <property fmtid="{D5CDD505-2E9C-101B-9397-08002B2CF9AE}" pid="8" name="MSIP_Label_61c22e59-6e76-40e7-9277-37c464fc6354_ContentBits">
    <vt:lpwstr>0</vt:lpwstr>
  </property>
  <property fmtid="{D5CDD505-2E9C-101B-9397-08002B2CF9AE}" pid="9" name="ContentTypeId">
    <vt:lpwstr>0x0101005D679CA3F8E696449A285DF9D1DAE83100939F57604D95AC4186CC293435610926</vt:lpwstr>
  </property>
  <property fmtid="{D5CDD505-2E9C-101B-9397-08002B2CF9AE}" pid="10" name="MediaServiceImageTags">
    <vt:lpwstr/>
  </property>
  <property fmtid="{D5CDD505-2E9C-101B-9397-08002B2CF9AE}" pid="11" name="_docset_NoMedatataSyncRequired">
    <vt:lpwstr>False</vt:lpwstr>
  </property>
  <property fmtid="{D5CDD505-2E9C-101B-9397-08002B2CF9AE}" pid="12" name="lcf76f155ced4ddcb4097134ff3c332f">
    <vt:lpwstr/>
  </property>
  <property fmtid="{D5CDD505-2E9C-101B-9397-08002B2CF9AE}" pid="13" name="TaxCatchAll">
    <vt:lpwstr/>
  </property>
  <property fmtid="{D5CDD505-2E9C-101B-9397-08002B2CF9AE}" pid="14" name="Objective_id_target">
    <vt:lpwstr/>
  </property>
  <property fmtid="{D5CDD505-2E9C-101B-9397-08002B2CF9AE}" pid="15" name="Order">
    <vt:r8>375100</vt:r8>
  </property>
  <property fmtid="{D5CDD505-2E9C-101B-9397-08002B2CF9AE}" pid="16" name="TNA Lead">
    <vt:lpwstr>26;#Butterworth, Jack</vt:lpwstr>
  </property>
  <property fmtid="{D5CDD505-2E9C-101B-9397-08002B2CF9AE}" pid="17" name="Related folders">
    <vt:bool>false</vt:bool>
  </property>
  <property fmtid="{D5CDD505-2E9C-101B-9397-08002B2CF9AE}" pid="18" name="From1">
    <vt:lpwstr/>
  </property>
  <property fmtid="{D5CDD505-2E9C-101B-9397-08002B2CF9AE}" pid="19" name="DocumentSetDescription">
    <vt:lpwstr/>
  </property>
  <property fmtid="{D5CDD505-2E9C-101B-9397-08002B2CF9AE}" pid="20" name="xd_ProgID">
    <vt:lpwstr/>
  </property>
  <property fmtid="{D5CDD505-2E9C-101B-9397-08002B2CF9AE}" pid="21" name="Grant Applicant">
    <vt:lpwstr/>
  </property>
  <property fmtid="{D5CDD505-2E9C-101B-9397-08002B2CF9AE}" pid="22" name="ComplianceAssetId">
    <vt:lpwstr/>
  </property>
  <property fmtid="{D5CDD505-2E9C-101B-9397-08002B2CF9AE}" pid="23" name="TemplateUrl">
    <vt:lpwstr/>
  </property>
  <property fmtid="{D5CDD505-2E9C-101B-9397-08002B2CF9AE}" pid="24" name="To">
    <vt:lpwstr/>
  </property>
  <property fmtid="{D5CDD505-2E9C-101B-9397-08002B2CF9AE}" pid="25" name="Has Attachments">
    <vt:bool>false</vt:bool>
  </property>
  <property fmtid="{D5CDD505-2E9C-101B-9397-08002B2CF9AE}" pid="26" name="Funder">
    <vt:lpwstr>NLHF</vt:lpwstr>
  </property>
  <property fmtid="{D5CDD505-2E9C-101B-9397-08002B2CF9AE}" pid="27" name="_ExtendedDescription">
    <vt:lpwstr/>
  </property>
  <property fmtid="{D5CDD505-2E9C-101B-9397-08002B2CF9AE}" pid="28" name="Lead Contact Email Address">
    <vt:lpwstr/>
  </property>
  <property fmtid="{D5CDD505-2E9C-101B-9397-08002B2CF9AE}" pid="29" name="_EndDate">
    <vt:filetime>2029-03-30T23:00:00Z</vt:filetime>
  </property>
  <property fmtid="{D5CDD505-2E9C-101B-9397-08002B2CF9AE}" pid="30" name="TriggerFlowInfo">
    <vt:lpwstr/>
  </property>
  <property fmtid="{D5CDD505-2E9C-101B-9397-08002B2CF9AE}" pid="31" name="StartDate">
    <vt:filetime>2024-05-31T23:00:00Z</vt:filetime>
  </property>
  <property fmtid="{D5CDD505-2E9C-101B-9397-08002B2CF9AE}" pid="32" name="Grant Project Status">
    <vt:lpwstr>In progress</vt:lpwstr>
  </property>
  <property fmtid="{D5CDD505-2E9C-101B-9397-08002B2CF9AE}" pid="33" name="Grant Application Status">
    <vt:lpwstr/>
  </property>
  <property fmtid="{D5CDD505-2E9C-101B-9397-08002B2CF9AE}" pid="34" name="Partner Institutions">
    <vt:lpwstr/>
  </property>
  <property fmtid="{D5CDD505-2E9C-101B-9397-08002B2CF9AE}" pid="35" name="ConversationID">
    <vt:lpwstr/>
  </property>
  <property fmtid="{D5CDD505-2E9C-101B-9397-08002B2CF9AE}" pid="36" name="Lead Contact Name">
    <vt:lpwstr/>
  </property>
  <property fmtid="{D5CDD505-2E9C-101B-9397-08002B2CF9AE}" pid="37" name="URL">
    <vt:lpwstr/>
  </property>
  <property fmtid="{D5CDD505-2E9C-101B-9397-08002B2CF9AE}" pid="38" name="xd_Signature">
    <vt:bool>false</vt:bool>
  </property>
  <property fmtid="{D5CDD505-2E9C-101B-9397-08002B2CF9AE}" pid="39" name="BCC">
    <vt:lpwstr/>
  </property>
  <property fmtid="{D5CDD505-2E9C-101B-9397-08002B2CF9AE}" pid="40" name="SharedWithUsers">
    <vt:lpwstr/>
  </property>
  <property fmtid="{D5CDD505-2E9C-101B-9397-08002B2CF9AE}" pid="41" name="CC">
    <vt:lpwstr/>
  </property>
  <property fmtid="{D5CDD505-2E9C-101B-9397-08002B2CF9AE}" pid="42" name="_dlc_DocIdItemGuid">
    <vt:lpwstr>d7d2de26-3287-409a-8215-717498c1173e</vt:lpwstr>
  </property>
  <property fmtid="{D5CDD505-2E9C-101B-9397-08002B2CF9AE}" pid="43" name="docLang">
    <vt:lpwstr>en</vt:lpwstr>
  </property>
</Properties>
</file>