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2242" w14:textId="77777777" w:rsidR="002B54E3" w:rsidRPr="00180DCF" w:rsidRDefault="002B54E3" w:rsidP="002B54E3">
      <w:pPr>
        <w:rPr>
          <w:b/>
          <w:bCs/>
          <w:i/>
          <w:iCs/>
          <w:u w:val="single"/>
        </w:rPr>
      </w:pPr>
      <w:r w:rsidRPr="00180DCF">
        <w:rPr>
          <w:b/>
          <w:bCs/>
          <w:i/>
          <w:iCs/>
          <w:u w:val="single"/>
        </w:rPr>
        <w:t>EKC Group – Tender</w:t>
      </w:r>
      <w:r>
        <w:rPr>
          <w:b/>
          <w:bCs/>
          <w:i/>
          <w:iCs/>
          <w:u w:val="single"/>
        </w:rPr>
        <w:t xml:space="preserve"> for Legal Advice and Services</w:t>
      </w:r>
      <w:r w:rsidRPr="00180DCF">
        <w:rPr>
          <w:b/>
          <w:bCs/>
          <w:i/>
          <w:iCs/>
          <w:u w:val="single"/>
        </w:rPr>
        <w:t xml:space="preserve"> </w:t>
      </w:r>
    </w:p>
    <w:p w14:paraId="01F123CE" w14:textId="77777777" w:rsidR="00A1255D" w:rsidRDefault="002B54E3" w:rsidP="002B54E3">
      <w:pPr>
        <w:jc w:val="center"/>
        <w:rPr>
          <w:b/>
          <w:bCs/>
          <w:i/>
          <w:iCs/>
        </w:rPr>
      </w:pPr>
      <w:r w:rsidRPr="00180DCF">
        <w:rPr>
          <w:b/>
          <w:bCs/>
          <w:i/>
          <w:iCs/>
        </w:rPr>
        <w:t>Clarifications</w:t>
      </w:r>
      <w:r>
        <w:rPr>
          <w:b/>
          <w:bCs/>
          <w:i/>
          <w:iCs/>
        </w:rPr>
        <w:t xml:space="preserve"> and Guidance 3</w:t>
      </w:r>
      <w:r w:rsidRPr="00180DCF">
        <w:rPr>
          <w:b/>
          <w:bCs/>
          <w:i/>
          <w:iCs/>
        </w:rPr>
        <w:t xml:space="preserve"> </w:t>
      </w:r>
    </w:p>
    <w:p w14:paraId="15681EDD" w14:textId="1D092520" w:rsidR="002B54E3" w:rsidRDefault="00A1255D" w:rsidP="002B54E3">
      <w:pPr>
        <w:jc w:val="center"/>
        <w:rPr>
          <w:b/>
          <w:bCs/>
          <w:i/>
          <w:iCs/>
        </w:rPr>
      </w:pPr>
      <w:r>
        <w:rPr>
          <w:b/>
          <w:bCs/>
          <w:i/>
          <w:iCs/>
        </w:rPr>
        <w:t>4</w:t>
      </w:r>
      <w:r w:rsidR="002B54E3" w:rsidRPr="00180DCF">
        <w:rPr>
          <w:b/>
          <w:bCs/>
          <w:i/>
          <w:iCs/>
        </w:rPr>
        <w:t xml:space="preserve"> September 2025</w:t>
      </w:r>
    </w:p>
    <w:p w14:paraId="69888822" w14:textId="77777777" w:rsidR="00A1255D" w:rsidRDefault="00A1255D" w:rsidP="0029798C">
      <w:pPr>
        <w:jc w:val="center"/>
        <w:rPr>
          <w:b/>
          <w:bCs/>
          <w:u w:val="single"/>
        </w:rPr>
      </w:pPr>
    </w:p>
    <w:p w14:paraId="1DB81208" w14:textId="05A36C90" w:rsidR="0029798C" w:rsidRPr="0029798C" w:rsidRDefault="0029798C" w:rsidP="0029798C">
      <w:pPr>
        <w:jc w:val="center"/>
        <w:rPr>
          <w:b/>
          <w:bCs/>
          <w:u w:val="single"/>
        </w:rPr>
      </w:pPr>
      <w:r w:rsidRPr="0029798C">
        <w:rPr>
          <w:b/>
          <w:bCs/>
          <w:u w:val="single"/>
        </w:rPr>
        <w:t>ONE</w:t>
      </w:r>
    </w:p>
    <w:p w14:paraId="41475C88" w14:textId="77777777" w:rsidR="002B54E3" w:rsidRPr="004E1349" w:rsidRDefault="002B54E3" w:rsidP="002B54E3">
      <w:pPr>
        <w:numPr>
          <w:ilvl w:val="0"/>
          <w:numId w:val="1"/>
        </w:numPr>
        <w:rPr>
          <w:b/>
          <w:bCs/>
          <w:i/>
          <w:iCs/>
        </w:rPr>
      </w:pPr>
      <w:r w:rsidRPr="002B54E3">
        <w:t xml:space="preserve">It says </w:t>
      </w:r>
      <w:r w:rsidRPr="002B54E3">
        <w:rPr>
          <w:b/>
          <w:bCs/>
          <w:i/>
          <w:iCs/>
        </w:rPr>
        <w:t xml:space="preserve">“Provide unlimited telephone and email advice on a range of areas as detailed in the ITT Document (including those listed above)”. </w:t>
      </w:r>
      <w:r w:rsidRPr="002B54E3">
        <w:t xml:space="preserve">I assume this means only those areas lists in 1(a) – (i) as there are no other areas detailed within although it does say that list is non -exhaustive. This list doesn’t include employment but wouldn’t normally be an area where support is needed. Is employment standing outside of this process? </w:t>
      </w:r>
    </w:p>
    <w:p w14:paraId="570D09BA" w14:textId="77777777" w:rsidR="006B58BE" w:rsidRDefault="006B58BE" w:rsidP="004E1349"/>
    <w:p w14:paraId="6F7C0DBB" w14:textId="149BB75F" w:rsidR="00DA3682" w:rsidRPr="001B010F" w:rsidRDefault="00DA3682" w:rsidP="00B4401A">
      <w:pPr>
        <w:rPr>
          <w:color w:val="156082" w:themeColor="accent1"/>
        </w:rPr>
      </w:pPr>
      <w:r w:rsidRPr="001B010F">
        <w:rPr>
          <w:color w:val="156082" w:themeColor="accent1"/>
        </w:rPr>
        <w:t xml:space="preserve">As the tender stands, </w:t>
      </w:r>
      <w:r w:rsidR="0052678D" w:rsidRPr="001B010F">
        <w:rPr>
          <w:color w:val="156082" w:themeColor="accent1"/>
        </w:rPr>
        <w:t xml:space="preserve">per ITT </w:t>
      </w:r>
      <w:r w:rsidR="00417E71" w:rsidRPr="001B010F">
        <w:rPr>
          <w:color w:val="156082" w:themeColor="accent1"/>
        </w:rPr>
        <w:t>D</w:t>
      </w:r>
      <w:r w:rsidR="0052678D" w:rsidRPr="001B010F">
        <w:rPr>
          <w:color w:val="156082" w:themeColor="accent1"/>
        </w:rPr>
        <w:t>ocument</w:t>
      </w:r>
      <w:r w:rsidR="00055FD3" w:rsidRPr="001B010F">
        <w:rPr>
          <w:color w:val="156082" w:themeColor="accent1"/>
        </w:rPr>
        <w:t>, Section 3</w:t>
      </w:r>
      <w:r w:rsidR="00692AE2">
        <w:rPr>
          <w:color w:val="156082" w:themeColor="accent1"/>
        </w:rPr>
        <w:t>.</w:t>
      </w:r>
      <w:r w:rsidR="00055FD3" w:rsidRPr="001B010F">
        <w:rPr>
          <w:color w:val="156082" w:themeColor="accent1"/>
        </w:rPr>
        <w:t xml:space="preserve"> Tender Requirements, </w:t>
      </w:r>
      <w:r w:rsidR="00E71393">
        <w:rPr>
          <w:color w:val="156082" w:themeColor="accent1"/>
        </w:rPr>
        <w:t>p</w:t>
      </w:r>
      <w:r w:rsidR="008733B4" w:rsidRPr="001B010F">
        <w:rPr>
          <w:color w:val="156082" w:themeColor="accent1"/>
        </w:rPr>
        <w:t>aragraph 1(a) – (i)</w:t>
      </w:r>
      <w:r w:rsidR="00AF7DF9" w:rsidRPr="001B010F">
        <w:rPr>
          <w:color w:val="156082" w:themeColor="accent1"/>
        </w:rPr>
        <w:t xml:space="preserve"> set</w:t>
      </w:r>
      <w:r w:rsidR="005247DF">
        <w:rPr>
          <w:color w:val="156082" w:themeColor="accent1"/>
        </w:rPr>
        <w:t>s</w:t>
      </w:r>
      <w:r w:rsidR="00AF7DF9" w:rsidRPr="001B010F">
        <w:rPr>
          <w:color w:val="156082" w:themeColor="accent1"/>
        </w:rPr>
        <w:t xml:space="preserve"> out the </w:t>
      </w:r>
      <w:r w:rsidR="00CA2A18" w:rsidRPr="001B010F">
        <w:rPr>
          <w:color w:val="156082" w:themeColor="accent1"/>
        </w:rPr>
        <w:t>priority areas of legal advice</w:t>
      </w:r>
      <w:r w:rsidR="00AF7DF9" w:rsidRPr="001B010F">
        <w:rPr>
          <w:color w:val="156082" w:themeColor="accent1"/>
        </w:rPr>
        <w:t xml:space="preserve"> and services</w:t>
      </w:r>
      <w:r w:rsidR="00CA2A18" w:rsidRPr="001B010F">
        <w:rPr>
          <w:color w:val="156082" w:themeColor="accent1"/>
        </w:rPr>
        <w:t xml:space="preserve"> </w:t>
      </w:r>
      <w:r w:rsidR="00AF7DF9" w:rsidRPr="001B010F">
        <w:rPr>
          <w:color w:val="156082" w:themeColor="accent1"/>
        </w:rPr>
        <w:t xml:space="preserve">being sought </w:t>
      </w:r>
      <w:r w:rsidR="002E6C41" w:rsidRPr="001B010F">
        <w:rPr>
          <w:color w:val="156082" w:themeColor="accent1"/>
        </w:rPr>
        <w:t xml:space="preserve">currently, with the </w:t>
      </w:r>
      <w:r w:rsidR="00B4401A" w:rsidRPr="001B010F">
        <w:rPr>
          <w:color w:val="156082" w:themeColor="accent1"/>
        </w:rPr>
        <w:t xml:space="preserve">scope </w:t>
      </w:r>
      <w:r w:rsidR="00E576C2" w:rsidRPr="001B010F">
        <w:rPr>
          <w:color w:val="156082" w:themeColor="accent1"/>
        </w:rPr>
        <w:t xml:space="preserve">to </w:t>
      </w:r>
      <w:r w:rsidR="00272DA9" w:rsidRPr="001B010F">
        <w:rPr>
          <w:color w:val="156082" w:themeColor="accent1"/>
        </w:rPr>
        <w:t>expand to</w:t>
      </w:r>
      <w:r w:rsidR="00B4401A" w:rsidRPr="001B010F">
        <w:rPr>
          <w:color w:val="156082" w:themeColor="accent1"/>
        </w:rPr>
        <w:t xml:space="preserve"> include</w:t>
      </w:r>
      <w:r w:rsidR="00272DA9" w:rsidRPr="001B010F">
        <w:rPr>
          <w:color w:val="156082" w:themeColor="accent1"/>
        </w:rPr>
        <w:t xml:space="preserve"> </w:t>
      </w:r>
      <w:r w:rsidR="00E576C2" w:rsidRPr="001B010F">
        <w:rPr>
          <w:color w:val="156082" w:themeColor="accent1"/>
        </w:rPr>
        <w:t>others</w:t>
      </w:r>
      <w:r w:rsidR="00A67E5C" w:rsidRPr="001B010F">
        <w:rPr>
          <w:color w:val="156082" w:themeColor="accent1"/>
        </w:rPr>
        <w:t xml:space="preserve"> in future as the need arises</w:t>
      </w:r>
      <w:r w:rsidR="00E576C2" w:rsidRPr="001B010F">
        <w:rPr>
          <w:color w:val="156082" w:themeColor="accent1"/>
        </w:rPr>
        <w:t xml:space="preserve">. </w:t>
      </w:r>
    </w:p>
    <w:p w14:paraId="6A9E3761" w14:textId="05363CF7" w:rsidR="00A67E5C" w:rsidRDefault="00345B15" w:rsidP="00B4401A">
      <w:r w:rsidRPr="001B010F">
        <w:rPr>
          <w:color w:val="156082" w:themeColor="accent1"/>
        </w:rPr>
        <w:t xml:space="preserve">EKC Group can confirm that </w:t>
      </w:r>
      <w:r w:rsidR="001B010F" w:rsidRPr="001B010F">
        <w:rPr>
          <w:color w:val="156082" w:themeColor="accent1"/>
        </w:rPr>
        <w:t xml:space="preserve">HR and </w:t>
      </w:r>
      <w:r w:rsidR="00A67E5C" w:rsidRPr="001B010F">
        <w:rPr>
          <w:color w:val="156082" w:themeColor="accent1"/>
        </w:rPr>
        <w:t xml:space="preserve">employment law is </w:t>
      </w:r>
      <w:r w:rsidR="00A67E5C" w:rsidRPr="001B010F">
        <w:rPr>
          <w:b/>
          <w:bCs/>
          <w:i/>
          <w:iCs/>
          <w:color w:val="156082" w:themeColor="accent1"/>
        </w:rPr>
        <w:t>out</w:t>
      </w:r>
      <w:r w:rsidRPr="001B010F">
        <w:rPr>
          <w:b/>
          <w:bCs/>
          <w:i/>
          <w:iCs/>
          <w:color w:val="156082" w:themeColor="accent1"/>
        </w:rPr>
        <w:t>side</w:t>
      </w:r>
      <w:r w:rsidRPr="001B010F">
        <w:rPr>
          <w:color w:val="156082" w:themeColor="accent1"/>
        </w:rPr>
        <w:t xml:space="preserve"> the purview </w:t>
      </w:r>
      <w:r w:rsidR="0053124B" w:rsidRPr="001B010F">
        <w:rPr>
          <w:color w:val="156082" w:themeColor="accent1"/>
        </w:rPr>
        <w:t>of this tender</w:t>
      </w:r>
      <w:r w:rsidR="001B010F" w:rsidRPr="001B010F">
        <w:rPr>
          <w:color w:val="156082" w:themeColor="accent1"/>
        </w:rPr>
        <w:t>, and not included</w:t>
      </w:r>
      <w:r w:rsidR="0053124B" w:rsidRPr="001B010F">
        <w:rPr>
          <w:color w:val="156082" w:themeColor="accent1"/>
        </w:rPr>
        <w:t>.</w:t>
      </w:r>
      <w:r w:rsidR="0053124B">
        <w:t xml:space="preserve"> </w:t>
      </w:r>
    </w:p>
    <w:p w14:paraId="14CD9CD1" w14:textId="77777777" w:rsidR="00A67E5C" w:rsidRDefault="00A67E5C" w:rsidP="00B4401A"/>
    <w:p w14:paraId="3754E174" w14:textId="26B8061E" w:rsidR="0029798C" w:rsidRPr="0029798C" w:rsidRDefault="0029798C" w:rsidP="0029798C">
      <w:pPr>
        <w:jc w:val="center"/>
        <w:rPr>
          <w:b/>
          <w:bCs/>
          <w:u w:val="single"/>
        </w:rPr>
      </w:pPr>
      <w:r w:rsidRPr="0029798C">
        <w:rPr>
          <w:b/>
          <w:bCs/>
          <w:u w:val="single"/>
        </w:rPr>
        <w:t>TWO</w:t>
      </w:r>
    </w:p>
    <w:p w14:paraId="69B5AF1C" w14:textId="77777777" w:rsidR="002B54E3" w:rsidRPr="002B54E3" w:rsidRDefault="002B54E3" w:rsidP="002B54E3">
      <w:pPr>
        <w:numPr>
          <w:ilvl w:val="0"/>
          <w:numId w:val="1"/>
        </w:numPr>
        <w:rPr>
          <w:b/>
          <w:bCs/>
          <w:i/>
          <w:iCs/>
        </w:rPr>
      </w:pPr>
      <w:r w:rsidRPr="002B54E3">
        <w:t xml:space="preserve">By “unlimited” in para 2, we would propose to set out scope of inclusion within an unlimited/retainer arrangement so as to afford you best value for those day to day matters vs those more project basis issues which do not arise as frequently. Do you anticipate “unlimited” to be broader than day to day issues? </w:t>
      </w:r>
    </w:p>
    <w:p w14:paraId="23C6B133" w14:textId="704A7550" w:rsidR="00164DBD" w:rsidRDefault="001D7B88" w:rsidP="00164DBD">
      <w:pPr>
        <w:rPr>
          <w:color w:val="156082" w:themeColor="accent1"/>
        </w:rPr>
      </w:pPr>
      <w:r>
        <w:rPr>
          <w:color w:val="156082" w:themeColor="accent1"/>
        </w:rPr>
        <w:t>Yes, it is expected that the “unlimited</w:t>
      </w:r>
      <w:r w:rsidR="0064352A">
        <w:rPr>
          <w:color w:val="156082" w:themeColor="accent1"/>
        </w:rPr>
        <w:t xml:space="preserve"> </w:t>
      </w:r>
      <w:r w:rsidR="00F914D6">
        <w:rPr>
          <w:color w:val="156082" w:themeColor="accent1"/>
        </w:rPr>
        <w:t>telephone and email advice</w:t>
      </w:r>
      <w:r>
        <w:rPr>
          <w:color w:val="156082" w:themeColor="accent1"/>
        </w:rPr>
        <w:t>”</w:t>
      </w:r>
      <w:r w:rsidR="00D3209B">
        <w:rPr>
          <w:color w:val="156082" w:themeColor="accent1"/>
        </w:rPr>
        <w:t xml:space="preserve"> </w:t>
      </w:r>
      <w:r w:rsidR="00692AE2">
        <w:rPr>
          <w:color w:val="156082" w:themeColor="accent1"/>
        </w:rPr>
        <w:t xml:space="preserve">as per Section 3. Tender Requirements, </w:t>
      </w:r>
      <w:r w:rsidR="00E71393">
        <w:rPr>
          <w:color w:val="156082" w:themeColor="accent1"/>
        </w:rPr>
        <w:t>paragraph 2</w:t>
      </w:r>
      <w:r w:rsidR="002C7CF6">
        <w:rPr>
          <w:color w:val="156082" w:themeColor="accent1"/>
        </w:rPr>
        <w:t xml:space="preserve"> </w:t>
      </w:r>
      <w:r w:rsidR="00E71393">
        <w:rPr>
          <w:color w:val="156082" w:themeColor="accent1"/>
        </w:rPr>
        <w:t xml:space="preserve"> </w:t>
      </w:r>
      <w:r w:rsidR="00F914D6">
        <w:rPr>
          <w:color w:val="156082" w:themeColor="accent1"/>
        </w:rPr>
        <w:t xml:space="preserve">will generally apply to </w:t>
      </w:r>
      <w:r w:rsidR="00164DBD">
        <w:rPr>
          <w:color w:val="156082" w:themeColor="accent1"/>
        </w:rPr>
        <w:t xml:space="preserve">day-to-day issues; but any unused </w:t>
      </w:r>
      <w:r w:rsidR="009424EF">
        <w:rPr>
          <w:color w:val="156082" w:themeColor="accent1"/>
        </w:rPr>
        <w:t>service shall be credit towards more project basis issue should they arise.</w:t>
      </w:r>
    </w:p>
    <w:p w14:paraId="6416A9D7" w14:textId="12E3B464" w:rsidR="002041D0" w:rsidRPr="00097E0F" w:rsidRDefault="002041D0" w:rsidP="002041D0">
      <w:pPr>
        <w:rPr>
          <w:color w:val="215E99" w:themeColor="text2" w:themeTint="BF"/>
        </w:rPr>
      </w:pPr>
      <w:r w:rsidRPr="00097E0F">
        <w:rPr>
          <w:color w:val="215E99" w:themeColor="text2" w:themeTint="BF"/>
        </w:rPr>
        <w:t>The princip</w:t>
      </w:r>
      <w:r w:rsidR="00841EAE">
        <w:rPr>
          <w:color w:val="215E99" w:themeColor="text2" w:themeTint="BF"/>
        </w:rPr>
        <w:t>a</w:t>
      </w:r>
      <w:r w:rsidRPr="00097E0F">
        <w:rPr>
          <w:color w:val="215E99" w:themeColor="text2" w:themeTint="BF"/>
        </w:rPr>
        <w:t xml:space="preserve">l goal is to procure an on-demand legal retainer which ensures accessible and legally sound advice. </w:t>
      </w:r>
    </w:p>
    <w:p w14:paraId="547E8481" w14:textId="77777777" w:rsidR="002041D0" w:rsidRPr="00097E0F" w:rsidRDefault="002041D0" w:rsidP="002041D0">
      <w:pPr>
        <w:rPr>
          <w:color w:val="215E99" w:themeColor="text2" w:themeTint="BF"/>
        </w:rPr>
      </w:pPr>
      <w:r w:rsidRPr="00097E0F">
        <w:rPr>
          <w:color w:val="215E99" w:themeColor="text2" w:themeTint="BF"/>
        </w:rPr>
        <w:t>It is envisaged that the service will be available:</w:t>
      </w:r>
    </w:p>
    <w:p w14:paraId="14AE3C2E" w14:textId="77777777" w:rsidR="002041D0" w:rsidRDefault="002041D0" w:rsidP="002041D0">
      <w:pPr>
        <w:pStyle w:val="ListParagraph"/>
        <w:numPr>
          <w:ilvl w:val="0"/>
          <w:numId w:val="2"/>
        </w:numPr>
        <w:rPr>
          <w:color w:val="215E99" w:themeColor="text2" w:themeTint="BF"/>
        </w:rPr>
      </w:pPr>
      <w:r>
        <w:rPr>
          <w:color w:val="215E99" w:themeColor="text2" w:themeTint="BF"/>
        </w:rPr>
        <w:t>average of one enquiry per week for a maximum duration of 60 minutes</w:t>
      </w:r>
    </w:p>
    <w:p w14:paraId="7B477917" w14:textId="77777777" w:rsidR="002041D0" w:rsidRDefault="002041D0" w:rsidP="002041D0">
      <w:pPr>
        <w:pStyle w:val="ListParagraph"/>
        <w:numPr>
          <w:ilvl w:val="0"/>
          <w:numId w:val="2"/>
        </w:numPr>
        <w:rPr>
          <w:color w:val="215E99" w:themeColor="text2" w:themeTint="BF"/>
        </w:rPr>
      </w:pPr>
      <w:r>
        <w:rPr>
          <w:color w:val="215E99" w:themeColor="text2" w:themeTint="BF"/>
        </w:rPr>
        <w:t>with the opportunity to roll over unused service time / credit to subsequent months</w:t>
      </w:r>
    </w:p>
    <w:p w14:paraId="7FFD5306" w14:textId="77777777" w:rsidR="002041D0" w:rsidRDefault="002041D0" w:rsidP="002041D0">
      <w:pPr>
        <w:pStyle w:val="ListParagraph"/>
        <w:numPr>
          <w:ilvl w:val="0"/>
          <w:numId w:val="2"/>
        </w:numPr>
        <w:rPr>
          <w:color w:val="215E99" w:themeColor="text2" w:themeTint="BF"/>
        </w:rPr>
      </w:pPr>
      <w:r>
        <w:rPr>
          <w:color w:val="215E99" w:themeColor="text2" w:themeTint="BF"/>
        </w:rPr>
        <w:lastRenderedPageBreak/>
        <w:t>to use the service within the above limits on and between Monday and Friday (the Group’s working week)</w:t>
      </w:r>
      <w:r w:rsidRPr="00097E0F">
        <w:rPr>
          <w:color w:val="215E99" w:themeColor="text2" w:themeTint="BF"/>
        </w:rPr>
        <w:t xml:space="preserve">, </w:t>
      </w:r>
    </w:p>
    <w:p w14:paraId="34670E22" w14:textId="77777777" w:rsidR="002041D0" w:rsidRPr="00097E0F" w:rsidRDefault="002041D0" w:rsidP="002041D0">
      <w:pPr>
        <w:pStyle w:val="ListParagraph"/>
        <w:numPr>
          <w:ilvl w:val="0"/>
          <w:numId w:val="2"/>
        </w:numPr>
        <w:rPr>
          <w:color w:val="215E99" w:themeColor="text2" w:themeTint="BF"/>
        </w:rPr>
      </w:pPr>
      <w:r w:rsidRPr="00097E0F">
        <w:rPr>
          <w:color w:val="215E99" w:themeColor="text2" w:themeTint="BF"/>
        </w:rPr>
        <w:t xml:space="preserve">during EKC </w:t>
      </w:r>
      <w:r>
        <w:rPr>
          <w:color w:val="215E99" w:themeColor="text2" w:themeTint="BF"/>
        </w:rPr>
        <w:t xml:space="preserve">Group’s </w:t>
      </w:r>
      <w:r w:rsidRPr="00097E0F">
        <w:rPr>
          <w:color w:val="215E99" w:themeColor="text2" w:themeTint="BF"/>
        </w:rPr>
        <w:t>core operating hours 8:30 AM to 05:00 PM</w:t>
      </w:r>
    </w:p>
    <w:p w14:paraId="5C5BB809" w14:textId="553B74DE" w:rsidR="005B26F8" w:rsidRDefault="002041D0" w:rsidP="009673B5">
      <w:pPr>
        <w:rPr>
          <w:color w:val="215E99" w:themeColor="text2" w:themeTint="BF"/>
        </w:rPr>
      </w:pPr>
      <w:r w:rsidRPr="0081461B">
        <w:rPr>
          <w:color w:val="215E99" w:themeColor="text2" w:themeTint="BF"/>
        </w:rPr>
        <w:t xml:space="preserve">Fair and reasonable use of the services being set out in a Time Constraint clause or policy is acceptable. </w:t>
      </w:r>
    </w:p>
    <w:p w14:paraId="5E9B9B2C" w14:textId="77777777" w:rsidR="00422BC5" w:rsidRDefault="00422BC5" w:rsidP="00422BC5">
      <w:pPr>
        <w:jc w:val="center"/>
        <w:rPr>
          <w:color w:val="000000" w:themeColor="text1"/>
        </w:rPr>
      </w:pPr>
    </w:p>
    <w:p w14:paraId="0ABE8FF8" w14:textId="62EDF9F8" w:rsidR="00422BC5" w:rsidRPr="00422BC5" w:rsidRDefault="00422BC5" w:rsidP="00422BC5">
      <w:pPr>
        <w:jc w:val="center"/>
        <w:rPr>
          <w:color w:val="000000" w:themeColor="text1"/>
        </w:rPr>
      </w:pPr>
      <w:r w:rsidRPr="00422BC5">
        <w:rPr>
          <w:color w:val="000000" w:themeColor="text1"/>
        </w:rPr>
        <w:t>_END_</w:t>
      </w:r>
    </w:p>
    <w:sectPr w:rsidR="00422BC5" w:rsidRPr="00422BC5">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01FDD" w14:textId="77777777" w:rsidR="0005519F" w:rsidRDefault="0005519F" w:rsidP="002B54E3">
      <w:pPr>
        <w:spacing w:after="0" w:line="240" w:lineRule="auto"/>
      </w:pPr>
      <w:r>
        <w:separator/>
      </w:r>
    </w:p>
  </w:endnote>
  <w:endnote w:type="continuationSeparator" w:id="0">
    <w:p w14:paraId="74585B0A" w14:textId="77777777" w:rsidR="0005519F" w:rsidRDefault="0005519F" w:rsidP="002B5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5529" w14:textId="5443CC48" w:rsidR="002B54E3" w:rsidRDefault="00F85EB7">
    <w:pPr>
      <w:pStyle w:val="Footer"/>
    </w:pPr>
    <w:r>
      <w:rPr>
        <w:noProof/>
      </w:rPr>
      <mc:AlternateContent>
        <mc:Choice Requires="wps">
          <w:drawing>
            <wp:anchor distT="0" distB="0" distL="0" distR="0" simplePos="0" relativeHeight="251658241" behindDoc="0" locked="0" layoutInCell="1" allowOverlap="1" wp14:anchorId="4800C371" wp14:editId="50FBBFDE">
              <wp:simplePos x="635" y="635"/>
              <wp:positionH relativeFrom="page">
                <wp:align>left</wp:align>
              </wp:positionH>
              <wp:positionV relativeFrom="page">
                <wp:align>bottom</wp:align>
              </wp:positionV>
              <wp:extent cx="627380" cy="405765"/>
              <wp:effectExtent l="0" t="0" r="1270" b="0"/>
              <wp:wrapNone/>
              <wp:docPr id="148494703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7712960E" w14:textId="1F139CE9" w:rsidR="00F85EB7" w:rsidRPr="00F85EB7" w:rsidRDefault="00F85EB7" w:rsidP="00F85EB7">
                          <w:pPr>
                            <w:spacing w:after="0"/>
                            <w:rPr>
                              <w:rFonts w:ascii="Calibri" w:eastAsia="Calibri" w:hAnsi="Calibri" w:cs="Calibri"/>
                              <w:noProof/>
                              <w:color w:val="000000"/>
                            </w:rPr>
                          </w:pPr>
                          <w:r w:rsidRPr="00F85EB7">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00C371" id="_x0000_t202" coordsize="21600,21600" o:spt="202" path="m,l,21600r21600,l21600,xe">
              <v:stroke joinstyle="miter"/>
              <v:path gradientshapeok="t" o:connecttype="rect"/>
            </v:shapetype>
            <v:shape id="Text Box 5" o:spid="_x0000_s1026" type="#_x0000_t202" alt="Public" style="position:absolute;margin-left:0;margin-top:0;width:49.4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" filled="f" stroked="f">
              <v:fill o:detectmouseclick="t"/>
              <v:textbox style="mso-fit-shape-to-text:t" inset="20pt,0,0,15pt">
                <w:txbxContent>
                  <w:p w14:paraId="7712960E" w14:textId="1F139CE9" w:rsidR="00F85EB7" w:rsidRPr="00F85EB7" w:rsidRDefault="00F85EB7" w:rsidP="00F85EB7">
                    <w:pPr>
                      <w:spacing w:after="0"/>
                      <w:rPr>
                        <w:rFonts w:ascii="Calibri" w:eastAsia="Calibri" w:hAnsi="Calibri" w:cs="Calibri"/>
                        <w:noProof/>
                        <w:color w:val="000000"/>
                      </w:rPr>
                    </w:pPr>
                    <w:r w:rsidRPr="00F85EB7">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C305" w14:textId="491406A5" w:rsidR="002B54E3" w:rsidRDefault="00F85EB7">
    <w:pPr>
      <w:pStyle w:val="Footer"/>
    </w:pPr>
    <w:r>
      <w:rPr>
        <w:noProof/>
      </w:rPr>
      <mc:AlternateContent>
        <mc:Choice Requires="wps">
          <w:drawing>
            <wp:anchor distT="0" distB="0" distL="0" distR="0" simplePos="0" relativeHeight="251658242" behindDoc="0" locked="0" layoutInCell="1" allowOverlap="1" wp14:anchorId="204FD710" wp14:editId="498D8A59">
              <wp:simplePos x="635" y="635"/>
              <wp:positionH relativeFrom="page">
                <wp:align>left</wp:align>
              </wp:positionH>
              <wp:positionV relativeFrom="page">
                <wp:align>bottom</wp:align>
              </wp:positionV>
              <wp:extent cx="627380" cy="405765"/>
              <wp:effectExtent l="0" t="0" r="1270" b="0"/>
              <wp:wrapNone/>
              <wp:docPr id="1979975936"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68D9D3DA" w14:textId="07A13E19" w:rsidR="00F85EB7" w:rsidRPr="00F85EB7" w:rsidRDefault="00F85EB7" w:rsidP="00F85EB7">
                          <w:pPr>
                            <w:spacing w:after="0"/>
                            <w:rPr>
                              <w:rFonts w:ascii="Calibri" w:eastAsia="Calibri" w:hAnsi="Calibri" w:cs="Calibri"/>
                              <w:noProof/>
                              <w:color w:val="000000"/>
                            </w:rPr>
                          </w:pPr>
                          <w:r w:rsidRPr="00F85EB7">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4FD710" id="_x0000_t202" coordsize="21600,21600" o:spt="202" path="m,l,21600r21600,l21600,xe">
              <v:stroke joinstyle="miter"/>
              <v:path gradientshapeok="t" o:connecttype="rect"/>
            </v:shapetype>
            <v:shape id="Text Box 6" o:spid="_x0000_s1027" type="#_x0000_t202" alt="Public" style="position:absolute;margin-left:0;margin-top:0;width:49.4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" filled="f" stroked="f">
              <v:fill o:detectmouseclick="t"/>
              <v:textbox style="mso-fit-shape-to-text:t" inset="20pt,0,0,15pt">
                <w:txbxContent>
                  <w:p w14:paraId="68D9D3DA" w14:textId="07A13E19" w:rsidR="00F85EB7" w:rsidRPr="00F85EB7" w:rsidRDefault="00F85EB7" w:rsidP="00F85EB7">
                    <w:pPr>
                      <w:spacing w:after="0"/>
                      <w:rPr>
                        <w:rFonts w:ascii="Calibri" w:eastAsia="Calibri" w:hAnsi="Calibri" w:cs="Calibri"/>
                        <w:noProof/>
                        <w:color w:val="000000"/>
                      </w:rPr>
                    </w:pPr>
                    <w:r w:rsidRPr="00F85EB7">
                      <w:rPr>
                        <w:rFonts w:ascii="Calibri" w:eastAsia="Calibri" w:hAnsi="Calibri" w:cs="Calibri"/>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21E9" w14:textId="1A6F6F89" w:rsidR="002B54E3" w:rsidRDefault="00F85EB7">
    <w:pPr>
      <w:pStyle w:val="Footer"/>
    </w:pPr>
    <w:r>
      <w:rPr>
        <w:noProof/>
      </w:rPr>
      <mc:AlternateContent>
        <mc:Choice Requires="wps">
          <w:drawing>
            <wp:anchor distT="0" distB="0" distL="0" distR="0" simplePos="0" relativeHeight="251658240" behindDoc="0" locked="0" layoutInCell="1" allowOverlap="1" wp14:anchorId="40169A75" wp14:editId="3FC2E9FD">
              <wp:simplePos x="635" y="635"/>
              <wp:positionH relativeFrom="page">
                <wp:align>left</wp:align>
              </wp:positionH>
              <wp:positionV relativeFrom="page">
                <wp:align>bottom</wp:align>
              </wp:positionV>
              <wp:extent cx="627380" cy="405765"/>
              <wp:effectExtent l="0" t="0" r="1270" b="0"/>
              <wp:wrapNone/>
              <wp:docPr id="51465098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5765"/>
                      </a:xfrm>
                      <a:prstGeom prst="rect">
                        <a:avLst/>
                      </a:prstGeom>
                      <a:noFill/>
                      <a:ln>
                        <a:noFill/>
                      </a:ln>
                    </wps:spPr>
                    <wps:txbx>
                      <w:txbxContent>
                        <w:p w14:paraId="61652B84" w14:textId="01434BE3" w:rsidR="00F85EB7" w:rsidRPr="00F85EB7" w:rsidRDefault="00F85EB7" w:rsidP="00F85EB7">
                          <w:pPr>
                            <w:spacing w:after="0"/>
                            <w:rPr>
                              <w:rFonts w:ascii="Calibri" w:eastAsia="Calibri" w:hAnsi="Calibri" w:cs="Calibri"/>
                              <w:noProof/>
                              <w:color w:val="000000"/>
                            </w:rPr>
                          </w:pPr>
                          <w:r w:rsidRPr="00F85EB7">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169A75" id="_x0000_t202" coordsize="21600,21600" o:spt="202" path="m,l,21600r21600,l21600,xe">
              <v:stroke joinstyle="miter"/>
              <v:path gradientshapeok="t" o:connecttype="rect"/>
            </v:shapetype>
            <v:shape id="Text Box 4" o:spid="_x0000_s1028" type="#_x0000_t202" alt="Public" style="position:absolute;margin-left:0;margin-top:0;width:49.4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" filled="f" stroked="f">
              <v:fill o:detectmouseclick="t"/>
              <v:textbox style="mso-fit-shape-to-text:t" inset="20pt,0,0,15pt">
                <w:txbxContent>
                  <w:p w14:paraId="61652B84" w14:textId="01434BE3" w:rsidR="00F85EB7" w:rsidRPr="00F85EB7" w:rsidRDefault="00F85EB7" w:rsidP="00F85EB7">
                    <w:pPr>
                      <w:spacing w:after="0"/>
                      <w:rPr>
                        <w:rFonts w:ascii="Calibri" w:eastAsia="Calibri" w:hAnsi="Calibri" w:cs="Calibri"/>
                        <w:noProof/>
                        <w:color w:val="000000"/>
                      </w:rPr>
                    </w:pPr>
                    <w:r w:rsidRPr="00F85EB7">
                      <w:rPr>
                        <w:rFonts w:ascii="Calibri" w:eastAsia="Calibri" w:hAnsi="Calibri" w:cs="Calibri"/>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BB55" w14:textId="77777777" w:rsidR="0005519F" w:rsidRDefault="0005519F" w:rsidP="002B54E3">
      <w:pPr>
        <w:spacing w:after="0" w:line="240" w:lineRule="auto"/>
      </w:pPr>
      <w:r>
        <w:separator/>
      </w:r>
    </w:p>
  </w:footnote>
  <w:footnote w:type="continuationSeparator" w:id="0">
    <w:p w14:paraId="1DCD5D85" w14:textId="77777777" w:rsidR="0005519F" w:rsidRDefault="0005519F" w:rsidP="002B5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57BD7"/>
    <w:multiLevelType w:val="hybridMultilevel"/>
    <w:tmpl w:val="6AE07B1C"/>
    <w:lvl w:ilvl="0" w:tplc="08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220D71"/>
    <w:multiLevelType w:val="hybridMultilevel"/>
    <w:tmpl w:val="86E09FD0"/>
    <w:lvl w:ilvl="0" w:tplc="0809000F">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33212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577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E3"/>
    <w:rsid w:val="00023816"/>
    <w:rsid w:val="0005519F"/>
    <w:rsid w:val="00055FD3"/>
    <w:rsid w:val="00164DBD"/>
    <w:rsid w:val="001B010F"/>
    <w:rsid w:val="001D7B88"/>
    <w:rsid w:val="002041D0"/>
    <w:rsid w:val="00272D85"/>
    <w:rsid w:val="00272DA9"/>
    <w:rsid w:val="0029798C"/>
    <w:rsid w:val="002B54E3"/>
    <w:rsid w:val="002C7CF6"/>
    <w:rsid w:val="002D15E4"/>
    <w:rsid w:val="002E6C41"/>
    <w:rsid w:val="003308BB"/>
    <w:rsid w:val="00345B15"/>
    <w:rsid w:val="00417E71"/>
    <w:rsid w:val="00422BC5"/>
    <w:rsid w:val="00461B7B"/>
    <w:rsid w:val="004E1349"/>
    <w:rsid w:val="004E2B9F"/>
    <w:rsid w:val="005247DF"/>
    <w:rsid w:val="0052678D"/>
    <w:rsid w:val="0053124B"/>
    <w:rsid w:val="005B26F8"/>
    <w:rsid w:val="00642DE7"/>
    <w:rsid w:val="0064352A"/>
    <w:rsid w:val="00692AE2"/>
    <w:rsid w:val="006B58BE"/>
    <w:rsid w:val="00705169"/>
    <w:rsid w:val="00731D6F"/>
    <w:rsid w:val="00841EAE"/>
    <w:rsid w:val="008733B4"/>
    <w:rsid w:val="0088362D"/>
    <w:rsid w:val="009424EF"/>
    <w:rsid w:val="009673B5"/>
    <w:rsid w:val="009B4A84"/>
    <w:rsid w:val="00A1255D"/>
    <w:rsid w:val="00A67E5C"/>
    <w:rsid w:val="00AF7DF9"/>
    <w:rsid w:val="00B15ED8"/>
    <w:rsid w:val="00B4401A"/>
    <w:rsid w:val="00BD1923"/>
    <w:rsid w:val="00CA2A18"/>
    <w:rsid w:val="00D3209B"/>
    <w:rsid w:val="00D96167"/>
    <w:rsid w:val="00DA3682"/>
    <w:rsid w:val="00DC7667"/>
    <w:rsid w:val="00E11355"/>
    <w:rsid w:val="00E466CC"/>
    <w:rsid w:val="00E576C2"/>
    <w:rsid w:val="00E71393"/>
    <w:rsid w:val="00F85EB7"/>
    <w:rsid w:val="00F914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DD63"/>
  <w15:chartTrackingRefBased/>
  <w15:docId w15:val="{6FE7E741-1D9D-4EED-9A98-B210339B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4E3"/>
    <w:rPr>
      <w:rFonts w:eastAsiaTheme="majorEastAsia" w:cstheme="majorBidi"/>
      <w:color w:val="272727" w:themeColor="text1" w:themeTint="D8"/>
    </w:rPr>
  </w:style>
  <w:style w:type="paragraph" w:styleId="Title">
    <w:name w:val="Title"/>
    <w:basedOn w:val="Normal"/>
    <w:next w:val="Normal"/>
    <w:link w:val="TitleChar"/>
    <w:uiPriority w:val="10"/>
    <w:qFormat/>
    <w:rsid w:val="002B5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4E3"/>
    <w:pPr>
      <w:spacing w:before="160"/>
      <w:jc w:val="center"/>
    </w:pPr>
    <w:rPr>
      <w:i/>
      <w:iCs/>
      <w:color w:val="404040" w:themeColor="text1" w:themeTint="BF"/>
    </w:rPr>
  </w:style>
  <w:style w:type="character" w:customStyle="1" w:styleId="QuoteChar">
    <w:name w:val="Quote Char"/>
    <w:basedOn w:val="DefaultParagraphFont"/>
    <w:link w:val="Quote"/>
    <w:uiPriority w:val="29"/>
    <w:rsid w:val="002B54E3"/>
    <w:rPr>
      <w:i/>
      <w:iCs/>
      <w:color w:val="404040" w:themeColor="text1" w:themeTint="BF"/>
    </w:rPr>
  </w:style>
  <w:style w:type="paragraph" w:styleId="ListParagraph">
    <w:name w:val="List Paragraph"/>
    <w:basedOn w:val="Normal"/>
    <w:uiPriority w:val="34"/>
    <w:qFormat/>
    <w:rsid w:val="002B54E3"/>
    <w:pPr>
      <w:ind w:left="720"/>
      <w:contextualSpacing/>
    </w:pPr>
  </w:style>
  <w:style w:type="character" w:styleId="IntenseEmphasis">
    <w:name w:val="Intense Emphasis"/>
    <w:basedOn w:val="DefaultParagraphFont"/>
    <w:uiPriority w:val="21"/>
    <w:qFormat/>
    <w:rsid w:val="002B54E3"/>
    <w:rPr>
      <w:i/>
      <w:iCs/>
      <w:color w:val="0F4761" w:themeColor="accent1" w:themeShade="BF"/>
    </w:rPr>
  </w:style>
  <w:style w:type="paragraph" w:styleId="IntenseQuote">
    <w:name w:val="Intense Quote"/>
    <w:basedOn w:val="Normal"/>
    <w:next w:val="Normal"/>
    <w:link w:val="IntenseQuoteChar"/>
    <w:uiPriority w:val="30"/>
    <w:qFormat/>
    <w:rsid w:val="002B5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4E3"/>
    <w:rPr>
      <w:i/>
      <w:iCs/>
      <w:color w:val="0F4761" w:themeColor="accent1" w:themeShade="BF"/>
    </w:rPr>
  </w:style>
  <w:style w:type="character" w:styleId="IntenseReference">
    <w:name w:val="Intense Reference"/>
    <w:basedOn w:val="DefaultParagraphFont"/>
    <w:uiPriority w:val="32"/>
    <w:qFormat/>
    <w:rsid w:val="002B54E3"/>
    <w:rPr>
      <w:b/>
      <w:bCs/>
      <w:smallCaps/>
      <w:color w:val="0F4761" w:themeColor="accent1" w:themeShade="BF"/>
      <w:spacing w:val="5"/>
    </w:rPr>
  </w:style>
  <w:style w:type="paragraph" w:styleId="Footer">
    <w:name w:val="footer"/>
    <w:basedOn w:val="Normal"/>
    <w:link w:val="FooterChar"/>
    <w:uiPriority w:val="99"/>
    <w:unhideWhenUsed/>
    <w:rsid w:val="002B5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4E3"/>
  </w:style>
  <w:style w:type="paragraph" w:styleId="Header">
    <w:name w:val="header"/>
    <w:basedOn w:val="Normal"/>
    <w:link w:val="HeaderChar"/>
    <w:uiPriority w:val="99"/>
    <w:semiHidden/>
    <w:unhideWhenUsed/>
    <w:rsid w:val="009B4A8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B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c72d603-119f-4647-be05-5a48631aedcf" xsi:nil="true"/>
    <_ip_UnifiedCompliancePolicyUIAction xmlns="http://schemas.microsoft.com/sharepoint/v3" xsi:nil="true"/>
    <_ip_UnifiedCompliancePolicyProperties xmlns="http://schemas.microsoft.com/sharepoint/v3" xsi:nil="true"/>
    <TaxCatchAll xmlns="d7a39844-8198-4db1-939d-ccda4527d267" xsi:nil="true"/>
    <lcf76f155ced4ddcb4097134ff3c332f xmlns="4c72d603-119f-4647-be05-5a48631aed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B7291D1661045A4B37F8350A3555A" ma:contentTypeVersion="21" ma:contentTypeDescription="Create a new document." ma:contentTypeScope="" ma:versionID="f32f76ca535694500b7e2e9bcb244980">
  <xsd:schema xmlns:xsd="http://www.w3.org/2001/XMLSchema" xmlns:xs="http://www.w3.org/2001/XMLSchema" xmlns:p="http://schemas.microsoft.com/office/2006/metadata/properties" xmlns:ns1="http://schemas.microsoft.com/sharepoint/v3" xmlns:ns2="4c72d603-119f-4647-be05-5a48631aedcf" xmlns:ns3="d7a39844-8198-4db1-939d-ccda4527d267" targetNamespace="http://schemas.microsoft.com/office/2006/metadata/properties" ma:root="true" ma:fieldsID="de50a76670b503450262a574931788bc" ns1:_="" ns2:_="" ns3:_="">
    <xsd:import namespace="http://schemas.microsoft.com/sharepoint/v3"/>
    <xsd:import namespace="4c72d603-119f-4647-be05-5a48631aedcf"/>
    <xsd:import namespace="d7a39844-8198-4db1-939d-ccda4527d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2d603-119f-4647-be05-5a48631a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9844-8198-4db1-939d-ccda4527d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2deb56-439a-42f4-a78b-74df2e0af38b}" ma:internalName="TaxCatchAll" ma:showField="CatchAllData" ma:web="d7a39844-8198-4db1-939d-ccda4527d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01A01-BF30-4096-B836-3F5A3C00F523}">
  <ds:schemaRefs>
    <ds:schemaRef ds:uri="http://schemas.microsoft.com/office/2006/metadata/properties"/>
    <ds:schemaRef ds:uri="http://schemas.microsoft.com/office/infopath/2007/PartnerControls"/>
    <ds:schemaRef ds:uri="4c72d603-119f-4647-be05-5a48631aedcf"/>
    <ds:schemaRef ds:uri="http://schemas.microsoft.com/sharepoint/v3"/>
    <ds:schemaRef ds:uri="d7a39844-8198-4db1-939d-ccda4527d267"/>
  </ds:schemaRefs>
</ds:datastoreItem>
</file>

<file path=customXml/itemProps2.xml><?xml version="1.0" encoding="utf-8"?>
<ds:datastoreItem xmlns:ds="http://schemas.openxmlformats.org/officeDocument/2006/customXml" ds:itemID="{0629559C-4FA6-4ADA-A663-8FFDE6EACF5F}">
  <ds:schemaRefs>
    <ds:schemaRef ds:uri="http://schemas.microsoft.com/sharepoint/v3/contenttype/forms"/>
  </ds:schemaRefs>
</ds:datastoreItem>
</file>

<file path=customXml/itemProps3.xml><?xml version="1.0" encoding="utf-8"?>
<ds:datastoreItem xmlns:ds="http://schemas.openxmlformats.org/officeDocument/2006/customXml" ds:itemID="{5DDDDC0D-28C4-4BC3-8875-AEEB073BC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2d603-119f-4647-be05-5a48631aedcf"/>
    <ds:schemaRef ds:uri="d7a39844-8198-4db1-939d-ccda4527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5991da-cd9d-47db-a4d4-5f0fbf5590fa}" enabled="1" method="Privileged" siteId="{020da884-0f7e-4ca2-9c8e-05b0ccbd0d3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3</cp:revision>
  <dcterms:created xsi:type="dcterms:W3CDTF">2025-09-04T15:09:00Z</dcterms:created>
  <dcterms:modified xsi:type="dcterms:W3CDTF">2025-09-04T15:10:00Z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0x0101003C0B7291D1661045A4B37F8350A3555A</vt:lpwstr>
  </property>
  <property fmtid="{D5CDD505-2E9C-101B-9397-08002B2CF9AE}" pid="3" name="MediaServiceImageTags">
    <vt:lpwstr/>
  </property>
  <property fmtid="{D5CDD505-2E9C-101B-9397-08002B2CF9AE}" pid="4" name="ClassificationContentMarkingFooterShapeIds">
    <vt:lpwstr>1eacf364,58827e5c,76040900</vt:lpwstr>
  </property>
  <property fmtid="{D5CDD505-2E9C-101B-9397-08002B2CF9AE}" pid="5" name="ClassificationContentMarkingFooterFontProps">
    <vt:lpwstr>#000000,12,Calibri</vt:lpwstr>
  </property>
  <property fmtid="{D5CDD505-2E9C-101B-9397-08002B2CF9AE}" pid="6" name="ClassificationContentMarkingFooterText">
    <vt:lpwstr>Public</vt:lpwstr>
  </property>
</Properties>
</file>