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56F0" w14:textId="77777777" w:rsidR="00201878" w:rsidRPr="00180DCF" w:rsidRDefault="00201878" w:rsidP="00201878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 Tender</w:t>
      </w:r>
      <w:r>
        <w:rPr>
          <w:b/>
          <w:bCs/>
          <w:i/>
          <w:iCs/>
          <w:u w:val="single"/>
        </w:rPr>
        <w:t xml:space="preserve"> for Legal Advice and Services</w:t>
      </w:r>
      <w:r w:rsidRPr="00180DCF">
        <w:rPr>
          <w:b/>
          <w:bCs/>
          <w:i/>
          <w:iCs/>
          <w:u w:val="single"/>
        </w:rPr>
        <w:t xml:space="preserve"> </w:t>
      </w:r>
    </w:p>
    <w:p w14:paraId="20669D70" w14:textId="4259BED5" w:rsidR="00E709D8" w:rsidRDefault="00201878" w:rsidP="00201878">
      <w:pPr>
        <w:jc w:val="center"/>
        <w:rPr>
          <w:b/>
          <w:bCs/>
          <w:i/>
          <w:iCs/>
        </w:rPr>
      </w:pP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 </w:t>
      </w:r>
      <w:r w:rsidR="00531521">
        <w:rPr>
          <w:b/>
          <w:bCs/>
          <w:i/>
          <w:iCs/>
        </w:rPr>
        <w:t>2</w:t>
      </w:r>
    </w:p>
    <w:p w14:paraId="289D0044" w14:textId="6DE09BA6" w:rsidR="00201878" w:rsidRDefault="00E709D8" w:rsidP="0020187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201878" w:rsidRPr="00180DCF">
        <w:rPr>
          <w:b/>
          <w:bCs/>
          <w:i/>
          <w:iCs/>
        </w:rPr>
        <w:t xml:space="preserve"> September 2025</w:t>
      </w:r>
    </w:p>
    <w:p w14:paraId="44031DFC" w14:textId="77777777" w:rsidR="00D97951" w:rsidRDefault="00D97951" w:rsidP="00D97951">
      <w:pPr>
        <w:rPr>
          <w:b/>
          <w:bCs/>
          <w:i/>
          <w:iCs/>
        </w:rPr>
      </w:pPr>
      <w:r w:rsidRPr="00D97951">
        <w:rPr>
          <w:b/>
          <w:bCs/>
          <w:i/>
          <w:iCs/>
        </w:rPr>
        <w:t xml:space="preserve">Please can we raise the following clarifications regarding the EKC Group Retained Legal Advice and Services 2025: </w:t>
      </w:r>
    </w:p>
    <w:p w14:paraId="0BF839C1" w14:textId="28AF0D87" w:rsidR="00BF300B" w:rsidRPr="00BF300B" w:rsidRDefault="00BF300B" w:rsidP="00BF300B">
      <w:pPr>
        <w:jc w:val="center"/>
        <w:rPr>
          <w:b/>
          <w:bCs/>
          <w:i/>
          <w:iCs/>
          <w:u w:val="single"/>
        </w:rPr>
      </w:pPr>
      <w:r w:rsidRPr="00BF300B">
        <w:rPr>
          <w:b/>
          <w:bCs/>
          <w:i/>
          <w:iCs/>
          <w:u w:val="single"/>
        </w:rPr>
        <w:t>ONE</w:t>
      </w:r>
    </w:p>
    <w:p w14:paraId="574842E2" w14:textId="6D6264CA" w:rsidR="00D97951" w:rsidRDefault="00D97951" w:rsidP="00D97951">
      <w:pPr>
        <w:numPr>
          <w:ilvl w:val="0"/>
          <w:numId w:val="1"/>
        </w:numPr>
        <w:rPr>
          <w:b/>
          <w:bCs/>
          <w:i/>
          <w:iCs/>
        </w:rPr>
      </w:pPr>
      <w:r w:rsidRPr="00D97951">
        <w:rPr>
          <w:b/>
          <w:bCs/>
          <w:i/>
          <w:iCs/>
        </w:rPr>
        <w:t xml:space="preserve">Can you please share your previous years spend and how this was split across the different work area? </w:t>
      </w:r>
    </w:p>
    <w:p w14:paraId="12877254" w14:textId="1D5ABAC2" w:rsidR="00587900" w:rsidRDefault="00BD6924" w:rsidP="00290B62">
      <w:pPr>
        <w:rPr>
          <w:b/>
          <w:bCs/>
          <w:i/>
          <w:iCs/>
        </w:rPr>
      </w:pPr>
      <w:r>
        <w:rPr>
          <w:color w:val="156082" w:themeColor="accent1"/>
        </w:rPr>
        <w:t>The retaine</w:t>
      </w:r>
      <w:r w:rsidR="003A27F4">
        <w:rPr>
          <w:color w:val="156082" w:themeColor="accent1"/>
        </w:rPr>
        <w:t>r</w:t>
      </w:r>
      <w:r>
        <w:rPr>
          <w:color w:val="156082" w:themeColor="accent1"/>
        </w:rPr>
        <w:t xml:space="preserve"> last year was a</w:t>
      </w:r>
      <w:r w:rsidR="000A39CA" w:rsidRPr="00A043B3">
        <w:rPr>
          <w:color w:val="156082" w:themeColor="accent1"/>
        </w:rPr>
        <w:t xml:space="preserve"> general spend </w:t>
      </w:r>
      <w:r w:rsidR="00B67091" w:rsidRPr="00A043B3">
        <w:rPr>
          <w:color w:val="156082" w:themeColor="accent1"/>
        </w:rPr>
        <w:t>covering al</w:t>
      </w:r>
      <w:r w:rsidR="00853D0C">
        <w:rPr>
          <w:color w:val="156082" w:themeColor="accent1"/>
        </w:rPr>
        <w:t xml:space="preserve">l priorities </w:t>
      </w:r>
      <w:r w:rsidR="00B67091" w:rsidRPr="00A043B3">
        <w:rPr>
          <w:color w:val="156082" w:themeColor="accent1"/>
        </w:rPr>
        <w:t xml:space="preserve">areas set out in </w:t>
      </w:r>
      <w:r w:rsidR="0048494C">
        <w:rPr>
          <w:color w:val="156082" w:themeColor="accent1"/>
        </w:rPr>
        <w:t>ITT Section 3, Tender</w:t>
      </w:r>
      <w:r w:rsidR="00B67091" w:rsidRPr="00A043B3">
        <w:rPr>
          <w:color w:val="156082" w:themeColor="accent1"/>
        </w:rPr>
        <w:t xml:space="preserve"> </w:t>
      </w:r>
      <w:r w:rsidR="0048494C">
        <w:rPr>
          <w:color w:val="156082" w:themeColor="accent1"/>
        </w:rPr>
        <w:t>R</w:t>
      </w:r>
      <w:r w:rsidR="00B67091" w:rsidRPr="00A043B3">
        <w:rPr>
          <w:color w:val="156082" w:themeColor="accent1"/>
        </w:rPr>
        <w:t>equirements,</w:t>
      </w:r>
      <w:r w:rsidR="0048494C">
        <w:rPr>
          <w:color w:val="156082" w:themeColor="accent1"/>
        </w:rPr>
        <w:t xml:space="preserve"> </w:t>
      </w:r>
      <w:r w:rsidR="007C00AE">
        <w:rPr>
          <w:color w:val="156082" w:themeColor="accent1"/>
        </w:rPr>
        <w:t>paragraph 1 (a) to (i)</w:t>
      </w:r>
      <w:r w:rsidR="00B67091" w:rsidRPr="00A043B3">
        <w:rPr>
          <w:color w:val="156082" w:themeColor="accent1"/>
        </w:rPr>
        <w:t xml:space="preserve"> and as such</w:t>
      </w:r>
      <w:r w:rsidR="005D3C6D" w:rsidRPr="00A043B3">
        <w:rPr>
          <w:color w:val="156082" w:themeColor="accent1"/>
        </w:rPr>
        <w:t xml:space="preserve"> it is not possible to </w:t>
      </w:r>
      <w:r w:rsidR="00875A76">
        <w:rPr>
          <w:color w:val="156082" w:themeColor="accent1"/>
        </w:rPr>
        <w:t xml:space="preserve">itemise or </w:t>
      </w:r>
      <w:r w:rsidR="005D3C6D" w:rsidRPr="00A043B3">
        <w:rPr>
          <w:color w:val="156082" w:themeColor="accent1"/>
        </w:rPr>
        <w:t>separate each element of advice and services</w:t>
      </w:r>
      <w:r w:rsidR="00C06C7A" w:rsidRPr="00A043B3">
        <w:rPr>
          <w:color w:val="156082" w:themeColor="accent1"/>
        </w:rPr>
        <w:t xml:space="preserve"> individually.</w:t>
      </w:r>
      <w:r w:rsidR="00C06C7A">
        <w:rPr>
          <w:b/>
          <w:bCs/>
          <w:i/>
          <w:iCs/>
        </w:rPr>
        <w:t xml:space="preserve"> </w:t>
      </w:r>
    </w:p>
    <w:p w14:paraId="7DB60480" w14:textId="7EDC5170" w:rsidR="005079FA" w:rsidRDefault="009078A1" w:rsidP="000D36E2">
      <w:pPr>
        <w:rPr>
          <w:color w:val="156082" w:themeColor="accent1"/>
        </w:rPr>
      </w:pPr>
      <w:r>
        <w:rPr>
          <w:color w:val="156082" w:themeColor="accent1"/>
        </w:rPr>
        <w:t xml:space="preserve">Pricing/Cost is </w:t>
      </w:r>
      <w:r w:rsidRPr="00AA06DF">
        <w:rPr>
          <w:color w:val="156082" w:themeColor="accent1"/>
        </w:rPr>
        <w:t>one of the key scoring criteria</w:t>
      </w:r>
      <w:r>
        <w:rPr>
          <w:color w:val="156082" w:themeColor="accent1"/>
        </w:rPr>
        <w:t xml:space="preserve">, </w:t>
      </w:r>
      <w:r w:rsidR="00AE7F92">
        <w:rPr>
          <w:color w:val="156082" w:themeColor="accent1"/>
        </w:rPr>
        <w:t xml:space="preserve">and as such </w:t>
      </w:r>
      <w:r>
        <w:rPr>
          <w:color w:val="156082" w:themeColor="accent1"/>
        </w:rPr>
        <w:t xml:space="preserve">it is expected that bidders calculate </w:t>
      </w:r>
      <w:r w:rsidRPr="00AA06DF">
        <w:rPr>
          <w:color w:val="156082" w:themeColor="accent1"/>
        </w:rPr>
        <w:t>their own cost of providing this service</w:t>
      </w:r>
      <w:r>
        <w:rPr>
          <w:color w:val="156082" w:themeColor="accent1"/>
        </w:rPr>
        <w:t xml:space="preserve"> </w:t>
      </w:r>
      <w:r w:rsidR="00AE7F92">
        <w:rPr>
          <w:color w:val="156082" w:themeColor="accent1"/>
        </w:rPr>
        <w:t xml:space="preserve">to </w:t>
      </w:r>
      <w:r>
        <w:rPr>
          <w:color w:val="156082" w:themeColor="accent1"/>
        </w:rPr>
        <w:t>meet</w:t>
      </w:r>
      <w:r w:rsidR="00AE7F92">
        <w:rPr>
          <w:color w:val="156082" w:themeColor="accent1"/>
        </w:rPr>
        <w:t xml:space="preserve"> EKC Group’s</w:t>
      </w:r>
      <w:r>
        <w:rPr>
          <w:color w:val="156082" w:themeColor="accent1"/>
        </w:rPr>
        <w:t xml:space="preserve"> </w:t>
      </w:r>
      <w:r w:rsidR="00AE7F92">
        <w:rPr>
          <w:color w:val="156082" w:themeColor="accent1"/>
        </w:rPr>
        <w:t xml:space="preserve">requirements and </w:t>
      </w:r>
      <w:r w:rsidR="009413C9">
        <w:rPr>
          <w:color w:val="156082" w:themeColor="accent1"/>
        </w:rPr>
        <w:t xml:space="preserve">tender evaluation </w:t>
      </w:r>
      <w:r>
        <w:rPr>
          <w:color w:val="156082" w:themeColor="accent1"/>
        </w:rPr>
        <w:t>parameters</w:t>
      </w:r>
      <w:r w:rsidR="000D36E2">
        <w:rPr>
          <w:color w:val="156082" w:themeColor="accent1"/>
        </w:rPr>
        <w:t xml:space="preserve">. </w:t>
      </w:r>
    </w:p>
    <w:p w14:paraId="39C33517" w14:textId="4CEA0B13" w:rsidR="00091E59" w:rsidRDefault="009413C9" w:rsidP="00D80914">
      <w:pPr>
        <w:rPr>
          <w:color w:val="156082" w:themeColor="accent1"/>
        </w:rPr>
      </w:pPr>
      <w:r>
        <w:rPr>
          <w:color w:val="156082" w:themeColor="accent1"/>
        </w:rPr>
        <w:t>Therefore</w:t>
      </w:r>
      <w:r w:rsidR="005079FA" w:rsidRPr="007C00AE">
        <w:rPr>
          <w:color w:val="156082" w:themeColor="accent1"/>
        </w:rPr>
        <w:t xml:space="preserve">, </w:t>
      </w:r>
      <w:r w:rsidR="005079FA">
        <w:rPr>
          <w:color w:val="156082" w:themeColor="accent1"/>
        </w:rPr>
        <w:t>i</w:t>
      </w:r>
      <w:r w:rsidR="000D36E2">
        <w:rPr>
          <w:color w:val="156082" w:themeColor="accent1"/>
        </w:rPr>
        <w:t xml:space="preserve">n the interests of </w:t>
      </w:r>
      <w:r w:rsidR="007C32C9">
        <w:rPr>
          <w:color w:val="156082" w:themeColor="accent1"/>
        </w:rPr>
        <w:t>maintaining fairness throughout the tender process,</w:t>
      </w:r>
      <w:r w:rsidR="00D80914">
        <w:rPr>
          <w:color w:val="156082" w:themeColor="accent1"/>
        </w:rPr>
        <w:t xml:space="preserve"> </w:t>
      </w:r>
      <w:r w:rsidR="009078A1">
        <w:rPr>
          <w:color w:val="156082" w:themeColor="accent1"/>
        </w:rPr>
        <w:t>t</w:t>
      </w:r>
      <w:r w:rsidR="00091E59">
        <w:rPr>
          <w:color w:val="156082" w:themeColor="accent1"/>
        </w:rPr>
        <w:t xml:space="preserve">he </w:t>
      </w:r>
      <w:r w:rsidR="00657689">
        <w:rPr>
          <w:color w:val="156082" w:themeColor="accent1"/>
        </w:rPr>
        <w:t xml:space="preserve">previous </w:t>
      </w:r>
      <w:r w:rsidR="009078A1">
        <w:rPr>
          <w:color w:val="156082" w:themeColor="accent1"/>
        </w:rPr>
        <w:t>year</w:t>
      </w:r>
      <w:r w:rsidR="00156A7E">
        <w:rPr>
          <w:color w:val="156082" w:themeColor="accent1"/>
        </w:rPr>
        <w:t>’</w:t>
      </w:r>
      <w:r w:rsidR="009078A1">
        <w:rPr>
          <w:color w:val="156082" w:themeColor="accent1"/>
        </w:rPr>
        <w:t xml:space="preserve">s </w:t>
      </w:r>
      <w:r w:rsidR="00156A7E">
        <w:rPr>
          <w:color w:val="156082" w:themeColor="accent1"/>
        </w:rPr>
        <w:t>spend in this area</w:t>
      </w:r>
      <w:r w:rsidR="009078A1">
        <w:rPr>
          <w:color w:val="156082" w:themeColor="accent1"/>
        </w:rPr>
        <w:t xml:space="preserve"> has been deemed not relevant to this</w:t>
      </w:r>
      <w:r w:rsidR="00AB370D">
        <w:rPr>
          <w:color w:val="156082" w:themeColor="accent1"/>
        </w:rPr>
        <w:t xml:space="preserve"> year’s</w:t>
      </w:r>
      <w:r w:rsidR="009078A1">
        <w:rPr>
          <w:color w:val="156082" w:themeColor="accent1"/>
        </w:rPr>
        <w:t xml:space="preserve"> </w:t>
      </w:r>
      <w:r w:rsidR="00156A7E">
        <w:rPr>
          <w:color w:val="156082" w:themeColor="accent1"/>
        </w:rPr>
        <w:t xml:space="preserve">current </w:t>
      </w:r>
      <w:r w:rsidR="009078A1">
        <w:rPr>
          <w:color w:val="156082" w:themeColor="accent1"/>
        </w:rPr>
        <w:t xml:space="preserve">tender. </w:t>
      </w:r>
    </w:p>
    <w:p w14:paraId="3EF61721" w14:textId="00DAF041" w:rsidR="00BF300B" w:rsidRPr="00BF300B" w:rsidRDefault="00BF300B" w:rsidP="00BF300B">
      <w:pPr>
        <w:jc w:val="center"/>
        <w:rPr>
          <w:b/>
          <w:bCs/>
          <w:i/>
          <w:iCs/>
          <w:u w:val="single"/>
        </w:rPr>
      </w:pPr>
      <w:r w:rsidRPr="00BF300B">
        <w:rPr>
          <w:b/>
          <w:bCs/>
          <w:i/>
          <w:iCs/>
          <w:u w:val="single"/>
        </w:rPr>
        <w:t>TWO</w:t>
      </w:r>
    </w:p>
    <w:p w14:paraId="0A3AC1C1" w14:textId="77777777" w:rsidR="00D97951" w:rsidRDefault="00D97951" w:rsidP="00D97951">
      <w:pPr>
        <w:numPr>
          <w:ilvl w:val="0"/>
          <w:numId w:val="1"/>
        </w:numPr>
        <w:rPr>
          <w:b/>
          <w:bCs/>
          <w:i/>
          <w:iCs/>
        </w:rPr>
      </w:pPr>
      <w:r w:rsidRPr="00D97951">
        <w:rPr>
          <w:b/>
          <w:bCs/>
          <w:i/>
          <w:iCs/>
        </w:rPr>
        <w:t xml:space="preserve">Do we need to cover all points of the specification? </w:t>
      </w:r>
    </w:p>
    <w:p w14:paraId="1A0E8BE8" w14:textId="222B27BC" w:rsidR="002F4D71" w:rsidRPr="00A043B3" w:rsidRDefault="00316769" w:rsidP="002F4D71">
      <w:pPr>
        <w:rPr>
          <w:color w:val="156082" w:themeColor="accent1"/>
        </w:rPr>
      </w:pPr>
      <w:r w:rsidRPr="00A043B3">
        <w:rPr>
          <w:color w:val="156082" w:themeColor="accent1"/>
        </w:rPr>
        <w:t>It is preferable that o</w:t>
      </w:r>
      <w:r w:rsidR="00A3196A" w:rsidRPr="00A043B3">
        <w:rPr>
          <w:color w:val="156082" w:themeColor="accent1"/>
        </w:rPr>
        <w:t xml:space="preserve">rganisations seeking to bid for this tender </w:t>
      </w:r>
      <w:r w:rsidRPr="00A043B3">
        <w:rPr>
          <w:color w:val="156082" w:themeColor="accent1"/>
        </w:rPr>
        <w:t>cover all points of the specification</w:t>
      </w:r>
      <w:r w:rsidR="00BC62A6" w:rsidRPr="00A043B3">
        <w:rPr>
          <w:color w:val="156082" w:themeColor="accent1"/>
        </w:rPr>
        <w:t xml:space="preserve">, and meeting </w:t>
      </w:r>
      <w:r w:rsidR="007E6DD2" w:rsidRPr="00A043B3">
        <w:rPr>
          <w:color w:val="156082" w:themeColor="accent1"/>
        </w:rPr>
        <w:t xml:space="preserve">these will count favourably in relation to scoring. </w:t>
      </w:r>
    </w:p>
    <w:p w14:paraId="56481761" w14:textId="503101E6" w:rsidR="007E6DD2" w:rsidRDefault="007E6DD2" w:rsidP="002F4D71">
      <w:pPr>
        <w:rPr>
          <w:b/>
          <w:bCs/>
          <w:i/>
          <w:iCs/>
        </w:rPr>
      </w:pPr>
      <w:r w:rsidRPr="00A043B3">
        <w:rPr>
          <w:color w:val="156082" w:themeColor="accent1"/>
        </w:rPr>
        <w:t xml:space="preserve">However, </w:t>
      </w:r>
      <w:r w:rsidR="002F0ED3" w:rsidRPr="00A043B3">
        <w:rPr>
          <w:color w:val="156082" w:themeColor="accent1"/>
        </w:rPr>
        <w:t xml:space="preserve">not meeting all the points of the specification does not preclude organisations from bidding, scoring will be carried out fairly and consistently for all </w:t>
      </w:r>
      <w:r w:rsidR="005D00A5" w:rsidRPr="00A043B3">
        <w:rPr>
          <w:color w:val="156082" w:themeColor="accent1"/>
        </w:rPr>
        <w:t>participants.</w:t>
      </w:r>
      <w:r w:rsidR="005D00A5">
        <w:rPr>
          <w:b/>
          <w:bCs/>
          <w:i/>
          <w:iCs/>
        </w:rPr>
        <w:t xml:space="preserve"> </w:t>
      </w:r>
    </w:p>
    <w:p w14:paraId="36C9133A" w14:textId="77777777" w:rsidR="00290B62" w:rsidRDefault="00290B62" w:rsidP="00290B62">
      <w:pPr>
        <w:rPr>
          <w:b/>
          <w:bCs/>
          <w:i/>
          <w:iCs/>
        </w:rPr>
      </w:pPr>
    </w:p>
    <w:p w14:paraId="0A2F4677" w14:textId="4F2E27E4" w:rsidR="00BF300B" w:rsidRPr="00BF300B" w:rsidRDefault="00BF300B" w:rsidP="00BF300B">
      <w:pPr>
        <w:jc w:val="center"/>
        <w:rPr>
          <w:b/>
          <w:bCs/>
          <w:i/>
          <w:iCs/>
          <w:u w:val="single"/>
        </w:rPr>
      </w:pPr>
      <w:r w:rsidRPr="00BF300B">
        <w:rPr>
          <w:b/>
          <w:bCs/>
          <w:i/>
          <w:iCs/>
          <w:u w:val="single"/>
        </w:rPr>
        <w:t>THREE</w:t>
      </w:r>
    </w:p>
    <w:p w14:paraId="0B27C0F0" w14:textId="77777777" w:rsidR="00D97951" w:rsidRDefault="00D97951" w:rsidP="00D97951">
      <w:pPr>
        <w:numPr>
          <w:ilvl w:val="0"/>
          <w:numId w:val="1"/>
        </w:numPr>
        <w:rPr>
          <w:b/>
          <w:bCs/>
          <w:i/>
          <w:iCs/>
        </w:rPr>
      </w:pPr>
      <w:r w:rsidRPr="00D97951">
        <w:rPr>
          <w:b/>
          <w:bCs/>
          <w:i/>
          <w:iCs/>
        </w:rPr>
        <w:t xml:space="preserve">Are you appointing one or multiple suppliers to this framework? </w:t>
      </w:r>
    </w:p>
    <w:p w14:paraId="546898B0" w14:textId="402C5ABA" w:rsidR="00290B62" w:rsidRPr="00D23E6C" w:rsidRDefault="00A0713E" w:rsidP="00290B62">
      <w:r w:rsidRPr="00D23E6C">
        <w:rPr>
          <w:color w:val="156082" w:themeColor="accent1"/>
        </w:rPr>
        <w:t xml:space="preserve">EKC Group are seeking to appoint </w:t>
      </w:r>
      <w:r w:rsidR="005D5415" w:rsidRPr="00D23E6C">
        <w:rPr>
          <w:color w:val="156082" w:themeColor="accent1"/>
        </w:rPr>
        <w:t>just one sole supplier for retained legal advice and services</w:t>
      </w:r>
      <w:r w:rsidR="00D23E6C" w:rsidRPr="00D23E6C">
        <w:rPr>
          <w:color w:val="156082" w:themeColor="accent1"/>
        </w:rPr>
        <w:t>.</w:t>
      </w:r>
      <w:r w:rsidR="005D5415" w:rsidRPr="00D23E6C">
        <w:t xml:space="preserve"> </w:t>
      </w:r>
    </w:p>
    <w:p w14:paraId="44F9D0F7" w14:textId="77777777" w:rsidR="00BF300B" w:rsidRDefault="00BF300B" w:rsidP="00290B62">
      <w:pPr>
        <w:rPr>
          <w:b/>
          <w:bCs/>
          <w:i/>
          <w:iCs/>
          <w:u w:val="single"/>
        </w:rPr>
      </w:pPr>
    </w:p>
    <w:p w14:paraId="36A7FA43" w14:textId="77777777" w:rsidR="00E709D8" w:rsidRDefault="00E709D8" w:rsidP="00BF300B">
      <w:pPr>
        <w:jc w:val="center"/>
        <w:rPr>
          <w:b/>
          <w:bCs/>
          <w:i/>
          <w:iCs/>
          <w:u w:val="single"/>
        </w:rPr>
      </w:pPr>
    </w:p>
    <w:p w14:paraId="4BA37507" w14:textId="77777777" w:rsidR="00E709D8" w:rsidRDefault="00E709D8" w:rsidP="00BF300B">
      <w:pPr>
        <w:jc w:val="center"/>
        <w:rPr>
          <w:b/>
          <w:bCs/>
          <w:i/>
          <w:iCs/>
          <w:u w:val="single"/>
        </w:rPr>
      </w:pPr>
    </w:p>
    <w:p w14:paraId="34F7C5C5" w14:textId="6538B5CD" w:rsidR="00290B62" w:rsidRPr="00BF300B" w:rsidRDefault="00BF300B" w:rsidP="00BF300B">
      <w:pPr>
        <w:jc w:val="center"/>
        <w:rPr>
          <w:b/>
          <w:bCs/>
          <w:i/>
          <w:iCs/>
          <w:u w:val="single"/>
        </w:rPr>
      </w:pPr>
      <w:r w:rsidRPr="00BF300B">
        <w:rPr>
          <w:b/>
          <w:bCs/>
          <w:i/>
          <w:iCs/>
          <w:u w:val="single"/>
        </w:rPr>
        <w:lastRenderedPageBreak/>
        <w:t>FOUR</w:t>
      </w:r>
    </w:p>
    <w:p w14:paraId="0F217708" w14:textId="77777777" w:rsidR="00D97951" w:rsidRPr="00D97951" w:rsidRDefault="00D97951" w:rsidP="00D97951">
      <w:pPr>
        <w:numPr>
          <w:ilvl w:val="0"/>
          <w:numId w:val="1"/>
        </w:numPr>
        <w:rPr>
          <w:b/>
          <w:bCs/>
          <w:i/>
          <w:iCs/>
        </w:rPr>
      </w:pPr>
      <w:r w:rsidRPr="00D97951">
        <w:rPr>
          <w:b/>
          <w:bCs/>
          <w:i/>
          <w:iCs/>
        </w:rPr>
        <w:t xml:space="preserve">Is the unlimited phone/email advice a free service or part of the fixed fee? </w:t>
      </w:r>
    </w:p>
    <w:p w14:paraId="26AA9944" w14:textId="11558B15" w:rsidR="00D42CB0" w:rsidRPr="00D42CB0" w:rsidRDefault="00D42CB0" w:rsidP="00566956">
      <w:pPr>
        <w:rPr>
          <w:color w:val="156082" w:themeColor="accent1"/>
        </w:rPr>
      </w:pPr>
      <w:r w:rsidRPr="00D42CB0">
        <w:rPr>
          <w:color w:val="156082" w:themeColor="accent1"/>
        </w:rPr>
        <w:t xml:space="preserve">The unlimited phone/email advice is to be included within the fixed fee </w:t>
      </w:r>
      <w:r w:rsidR="00566956">
        <w:rPr>
          <w:color w:val="156082" w:themeColor="accent1"/>
        </w:rPr>
        <w:t xml:space="preserve">under the retainer. </w:t>
      </w:r>
    </w:p>
    <w:p w14:paraId="090A30EB" w14:textId="6D603DEF" w:rsidR="008D05C2" w:rsidRPr="00097E0F" w:rsidRDefault="008D05C2" w:rsidP="008D05C2">
      <w:pPr>
        <w:rPr>
          <w:color w:val="215E99" w:themeColor="text2" w:themeTint="BF"/>
        </w:rPr>
      </w:pPr>
      <w:r w:rsidRPr="00097E0F">
        <w:rPr>
          <w:color w:val="215E99" w:themeColor="text2" w:themeTint="BF"/>
        </w:rPr>
        <w:t>The princip</w:t>
      </w:r>
      <w:r w:rsidR="009A260C">
        <w:rPr>
          <w:color w:val="215E99" w:themeColor="text2" w:themeTint="BF"/>
        </w:rPr>
        <w:t>a</w:t>
      </w:r>
      <w:r w:rsidRPr="00097E0F">
        <w:rPr>
          <w:color w:val="215E99" w:themeColor="text2" w:themeTint="BF"/>
        </w:rPr>
        <w:t xml:space="preserve">l goal is to procure an on-demand legal retainer which ensures accessible and legally sound advice. </w:t>
      </w:r>
    </w:p>
    <w:p w14:paraId="67035680" w14:textId="77777777" w:rsidR="008D05C2" w:rsidRPr="00097E0F" w:rsidRDefault="008D05C2" w:rsidP="008D05C2">
      <w:pPr>
        <w:rPr>
          <w:color w:val="215E99" w:themeColor="text2" w:themeTint="BF"/>
        </w:rPr>
      </w:pPr>
      <w:r w:rsidRPr="00097E0F">
        <w:rPr>
          <w:color w:val="215E99" w:themeColor="text2" w:themeTint="BF"/>
        </w:rPr>
        <w:t>It is envisaged that the service will be available:</w:t>
      </w:r>
    </w:p>
    <w:p w14:paraId="061A5002" w14:textId="77777777" w:rsidR="008D05C2" w:rsidRDefault="008D05C2" w:rsidP="008D05C2">
      <w:pPr>
        <w:pStyle w:val="ListParagraph"/>
        <w:numPr>
          <w:ilvl w:val="0"/>
          <w:numId w:val="2"/>
        </w:numPr>
        <w:rPr>
          <w:color w:val="215E99" w:themeColor="text2" w:themeTint="BF"/>
        </w:rPr>
      </w:pPr>
      <w:r>
        <w:rPr>
          <w:color w:val="215E99" w:themeColor="text2" w:themeTint="BF"/>
        </w:rPr>
        <w:t>average of one enquiry per week for a maximum duration of 60 minutes</w:t>
      </w:r>
    </w:p>
    <w:p w14:paraId="3A7C1898" w14:textId="77777777" w:rsidR="008D05C2" w:rsidRDefault="008D05C2" w:rsidP="008D05C2">
      <w:pPr>
        <w:pStyle w:val="ListParagraph"/>
        <w:numPr>
          <w:ilvl w:val="0"/>
          <w:numId w:val="2"/>
        </w:numPr>
        <w:rPr>
          <w:color w:val="215E99" w:themeColor="text2" w:themeTint="BF"/>
        </w:rPr>
      </w:pPr>
      <w:r>
        <w:rPr>
          <w:color w:val="215E99" w:themeColor="text2" w:themeTint="BF"/>
        </w:rPr>
        <w:t>with the opportunity to roll over unused service time / credit to subsequent months</w:t>
      </w:r>
    </w:p>
    <w:p w14:paraId="45C85E14" w14:textId="77777777" w:rsidR="008D05C2" w:rsidRDefault="008D05C2" w:rsidP="008D05C2">
      <w:pPr>
        <w:pStyle w:val="ListParagraph"/>
        <w:numPr>
          <w:ilvl w:val="0"/>
          <w:numId w:val="2"/>
        </w:numPr>
        <w:rPr>
          <w:color w:val="215E99" w:themeColor="text2" w:themeTint="BF"/>
        </w:rPr>
      </w:pPr>
      <w:r>
        <w:rPr>
          <w:color w:val="215E99" w:themeColor="text2" w:themeTint="BF"/>
        </w:rPr>
        <w:t>to use the service within the above limits on and between Monday and Friday (the Group’s working week)</w:t>
      </w:r>
      <w:r w:rsidRPr="00097E0F">
        <w:rPr>
          <w:color w:val="215E99" w:themeColor="text2" w:themeTint="BF"/>
        </w:rPr>
        <w:t xml:space="preserve">, </w:t>
      </w:r>
    </w:p>
    <w:p w14:paraId="32CDFD75" w14:textId="77777777" w:rsidR="008D05C2" w:rsidRPr="00097E0F" w:rsidRDefault="008D05C2" w:rsidP="008D05C2">
      <w:pPr>
        <w:pStyle w:val="ListParagraph"/>
        <w:numPr>
          <w:ilvl w:val="0"/>
          <w:numId w:val="2"/>
        </w:numPr>
        <w:rPr>
          <w:color w:val="215E99" w:themeColor="text2" w:themeTint="BF"/>
        </w:rPr>
      </w:pPr>
      <w:r w:rsidRPr="00097E0F">
        <w:rPr>
          <w:color w:val="215E99" w:themeColor="text2" w:themeTint="BF"/>
        </w:rPr>
        <w:t xml:space="preserve">during EKC </w:t>
      </w:r>
      <w:r>
        <w:rPr>
          <w:color w:val="215E99" w:themeColor="text2" w:themeTint="BF"/>
        </w:rPr>
        <w:t xml:space="preserve">Group’s </w:t>
      </w:r>
      <w:r w:rsidRPr="00097E0F">
        <w:rPr>
          <w:color w:val="215E99" w:themeColor="text2" w:themeTint="BF"/>
        </w:rPr>
        <w:t>core operating hours 8:30 AM to 05:00 PM</w:t>
      </w:r>
    </w:p>
    <w:p w14:paraId="23814354" w14:textId="77777777" w:rsidR="008D05C2" w:rsidRPr="0081461B" w:rsidRDefault="008D05C2" w:rsidP="008D05C2">
      <w:pPr>
        <w:rPr>
          <w:color w:val="215E99" w:themeColor="text2" w:themeTint="BF"/>
        </w:rPr>
      </w:pPr>
      <w:r w:rsidRPr="0081461B">
        <w:rPr>
          <w:color w:val="215E99" w:themeColor="text2" w:themeTint="BF"/>
        </w:rPr>
        <w:t xml:space="preserve">Fair and reasonable use of the services being set out in a Time Constraint clause or policy is acceptable. </w:t>
      </w:r>
    </w:p>
    <w:p w14:paraId="5D8C6B40" w14:textId="77777777" w:rsidR="00E466CC" w:rsidRDefault="00E466CC"/>
    <w:p w14:paraId="3D650828" w14:textId="429A32DC" w:rsidR="00D03917" w:rsidRDefault="00D03917" w:rsidP="00D03917">
      <w:pPr>
        <w:jc w:val="center"/>
      </w:pPr>
      <w:r>
        <w:t>_END_</w:t>
      </w:r>
    </w:p>
    <w:sectPr w:rsidR="00D03917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8DF6" w14:textId="77777777" w:rsidR="0013080D" w:rsidRDefault="0013080D" w:rsidP="00201878">
      <w:pPr>
        <w:spacing w:after="0" w:line="240" w:lineRule="auto"/>
      </w:pPr>
      <w:r>
        <w:separator/>
      </w:r>
    </w:p>
  </w:endnote>
  <w:endnote w:type="continuationSeparator" w:id="0">
    <w:p w14:paraId="038EC02D" w14:textId="77777777" w:rsidR="0013080D" w:rsidRDefault="0013080D" w:rsidP="0020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CA46" w14:textId="3DDA862A" w:rsidR="00201878" w:rsidRDefault="002428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59D4AD" wp14:editId="01B034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7380" cy="405765"/>
              <wp:effectExtent l="0" t="0" r="1270" b="0"/>
              <wp:wrapNone/>
              <wp:docPr id="163175032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27035" w14:textId="02B7775A" w:rsidR="00242876" w:rsidRPr="00242876" w:rsidRDefault="00242876" w:rsidP="002428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428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9D4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49.4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0A27035" w14:textId="02B7775A" w:rsidR="00242876" w:rsidRPr="00242876" w:rsidRDefault="00242876" w:rsidP="002428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428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652B" w14:textId="372688A6" w:rsidR="00201878" w:rsidRDefault="002428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5519D3" wp14:editId="13FF4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7380" cy="405765"/>
              <wp:effectExtent l="0" t="0" r="1270" b="0"/>
              <wp:wrapNone/>
              <wp:docPr id="318148159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4C310" w14:textId="18EC07D2" w:rsidR="00242876" w:rsidRPr="00242876" w:rsidRDefault="00242876" w:rsidP="002428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428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519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49.4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0F4C310" w14:textId="18EC07D2" w:rsidR="00242876" w:rsidRPr="00242876" w:rsidRDefault="00242876" w:rsidP="002428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428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BC18" w14:textId="66E2151A" w:rsidR="00201878" w:rsidRDefault="002428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506DC6" wp14:editId="48984D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27380" cy="405765"/>
              <wp:effectExtent l="0" t="0" r="1270" b="0"/>
              <wp:wrapNone/>
              <wp:docPr id="165307176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F7F83" w14:textId="6ECB8985" w:rsidR="00242876" w:rsidRPr="00242876" w:rsidRDefault="00242876" w:rsidP="002428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428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06D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49.4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2FF7F83" w14:textId="6ECB8985" w:rsidR="00242876" w:rsidRPr="00242876" w:rsidRDefault="00242876" w:rsidP="002428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428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9049" w14:textId="77777777" w:rsidR="0013080D" w:rsidRDefault="0013080D" w:rsidP="00201878">
      <w:pPr>
        <w:spacing w:after="0" w:line="240" w:lineRule="auto"/>
      </w:pPr>
      <w:r>
        <w:separator/>
      </w:r>
    </w:p>
  </w:footnote>
  <w:footnote w:type="continuationSeparator" w:id="0">
    <w:p w14:paraId="204A91F5" w14:textId="77777777" w:rsidR="0013080D" w:rsidRDefault="0013080D" w:rsidP="00201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7BD7"/>
    <w:multiLevelType w:val="hybridMultilevel"/>
    <w:tmpl w:val="6AE07B1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A019A"/>
    <w:multiLevelType w:val="hybridMultilevel"/>
    <w:tmpl w:val="78582484"/>
    <w:lvl w:ilvl="0" w:tplc="A96C451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6641">
    <w:abstractNumId w:val="1"/>
  </w:num>
  <w:num w:numId="2" w16cid:durableId="121577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78"/>
    <w:rsid w:val="00067D5A"/>
    <w:rsid w:val="00082B72"/>
    <w:rsid w:val="00091E59"/>
    <w:rsid w:val="000A39CA"/>
    <w:rsid w:val="000D15A3"/>
    <w:rsid w:val="000D36E2"/>
    <w:rsid w:val="001230D8"/>
    <w:rsid w:val="0013080D"/>
    <w:rsid w:val="00155385"/>
    <w:rsid w:val="00156A7E"/>
    <w:rsid w:val="00201878"/>
    <w:rsid w:val="0021260F"/>
    <w:rsid w:val="00242876"/>
    <w:rsid w:val="00290B62"/>
    <w:rsid w:val="002F0ED3"/>
    <w:rsid w:val="002F4D71"/>
    <w:rsid w:val="00316769"/>
    <w:rsid w:val="003308BB"/>
    <w:rsid w:val="00392B10"/>
    <w:rsid w:val="003A27F4"/>
    <w:rsid w:val="003A39B9"/>
    <w:rsid w:val="003B70DE"/>
    <w:rsid w:val="003D5FDA"/>
    <w:rsid w:val="00406444"/>
    <w:rsid w:val="00437C16"/>
    <w:rsid w:val="00437D16"/>
    <w:rsid w:val="0048494C"/>
    <w:rsid w:val="00492BC3"/>
    <w:rsid w:val="005079FA"/>
    <w:rsid w:val="00511DD4"/>
    <w:rsid w:val="00531521"/>
    <w:rsid w:val="00566956"/>
    <w:rsid w:val="00587900"/>
    <w:rsid w:val="005D00A5"/>
    <w:rsid w:val="005D0A5D"/>
    <w:rsid w:val="005D3C6D"/>
    <w:rsid w:val="005D5415"/>
    <w:rsid w:val="005D7C10"/>
    <w:rsid w:val="005E77F4"/>
    <w:rsid w:val="00657689"/>
    <w:rsid w:val="006A7F0F"/>
    <w:rsid w:val="006D5853"/>
    <w:rsid w:val="006F2C35"/>
    <w:rsid w:val="006F5170"/>
    <w:rsid w:val="006F5333"/>
    <w:rsid w:val="007A03AE"/>
    <w:rsid w:val="007C00AE"/>
    <w:rsid w:val="007C32C9"/>
    <w:rsid w:val="007E6DD2"/>
    <w:rsid w:val="0083679B"/>
    <w:rsid w:val="00853D0C"/>
    <w:rsid w:val="00875A76"/>
    <w:rsid w:val="008D05C2"/>
    <w:rsid w:val="008E79E2"/>
    <w:rsid w:val="009078A1"/>
    <w:rsid w:val="0092342D"/>
    <w:rsid w:val="009413C9"/>
    <w:rsid w:val="00943F61"/>
    <w:rsid w:val="009A260C"/>
    <w:rsid w:val="009B2707"/>
    <w:rsid w:val="009C1188"/>
    <w:rsid w:val="00A043B3"/>
    <w:rsid w:val="00A0713E"/>
    <w:rsid w:val="00A3196A"/>
    <w:rsid w:val="00A57A05"/>
    <w:rsid w:val="00AA06DF"/>
    <w:rsid w:val="00AA0D21"/>
    <w:rsid w:val="00AB1A5F"/>
    <w:rsid w:val="00AB370D"/>
    <w:rsid w:val="00AE7F92"/>
    <w:rsid w:val="00B67091"/>
    <w:rsid w:val="00BC62A6"/>
    <w:rsid w:val="00BD6924"/>
    <w:rsid w:val="00BF300B"/>
    <w:rsid w:val="00C06C7A"/>
    <w:rsid w:val="00CF3C04"/>
    <w:rsid w:val="00D03917"/>
    <w:rsid w:val="00D23E6C"/>
    <w:rsid w:val="00D30679"/>
    <w:rsid w:val="00D42CB0"/>
    <w:rsid w:val="00D80914"/>
    <w:rsid w:val="00D96167"/>
    <w:rsid w:val="00D97951"/>
    <w:rsid w:val="00DB4CA0"/>
    <w:rsid w:val="00E10A09"/>
    <w:rsid w:val="00E11355"/>
    <w:rsid w:val="00E466CC"/>
    <w:rsid w:val="00E709D8"/>
    <w:rsid w:val="00ED41A3"/>
    <w:rsid w:val="00F83CA8"/>
    <w:rsid w:val="00FB1CE8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F320"/>
  <w15:chartTrackingRefBased/>
  <w15:docId w15:val="{A7EBE457-365B-4C06-B5C3-838FE0C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78"/>
  </w:style>
  <w:style w:type="paragraph" w:styleId="Heading1">
    <w:name w:val="heading 1"/>
    <w:basedOn w:val="Normal"/>
    <w:next w:val="Normal"/>
    <w:link w:val="Heading1Char"/>
    <w:uiPriority w:val="9"/>
    <w:qFormat/>
    <w:rsid w:val="0020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87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1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f32f76ca535694500b7e2e9bcb244980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de50a76670b503450262a574931788bc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7F41A-BE04-4332-9DAC-7078D1F89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36853-FCDF-400D-88AC-BCEE7E07F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72d603-119f-4647-be05-5a48631aedcf"/>
    <ds:schemaRef ds:uri="d7a39844-8198-4db1-939d-ccda4527d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D8435-0A72-41DF-8E55-041DA346F45A}">
  <ds:schemaRefs>
    <ds:schemaRef ds:uri="http://schemas.microsoft.com/office/2006/metadata/properties"/>
    <ds:schemaRef ds:uri="http://schemas.microsoft.com/office/infopath/2007/PartnerControls"/>
    <ds:schemaRef ds:uri="4c72d603-119f-4647-be05-5a48631aedcf"/>
    <ds:schemaRef ds:uri="http://schemas.microsoft.com/sharepoint/v3"/>
    <ds:schemaRef ds:uri="d7a39844-8198-4db1-939d-ccda4527d267"/>
  </ds:schemaRefs>
</ds:datastoreItem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David Lutterodt-Coleman</cp:lastModifiedBy>
  <cp:revision>3</cp:revision>
  <dcterms:created xsi:type="dcterms:W3CDTF">2025-09-04T15:08:00Z</dcterms:created>
  <dcterms:modified xsi:type="dcterms:W3CDTF">2025-09-04T15:10:00Z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0x0101003C0B7291D1661045A4B37F8350A3555A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6287df98,614288b2,12f68e3f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Public</vt:lpwstr>
  </property>
</Properties>
</file>