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60515" w14:textId="77777777" w:rsidR="005B1DF0" w:rsidRPr="00180DCF" w:rsidRDefault="005B1DF0" w:rsidP="005B1DF0">
      <w:pPr>
        <w:rPr>
          <w:b/>
          <w:bCs/>
          <w:i/>
          <w:iCs/>
          <w:u w:val="single"/>
        </w:rPr>
      </w:pPr>
      <w:r w:rsidRPr="00180DCF">
        <w:rPr>
          <w:b/>
          <w:bCs/>
          <w:i/>
          <w:iCs/>
          <w:u w:val="single"/>
        </w:rPr>
        <w:t>EKC Group – Tender</w:t>
      </w:r>
      <w:r>
        <w:rPr>
          <w:b/>
          <w:bCs/>
          <w:i/>
          <w:iCs/>
          <w:u w:val="single"/>
        </w:rPr>
        <w:t xml:space="preserve"> for Legal Advice and Services</w:t>
      </w:r>
      <w:r w:rsidRPr="00180DCF">
        <w:rPr>
          <w:b/>
          <w:bCs/>
          <w:i/>
          <w:iCs/>
          <w:u w:val="single"/>
        </w:rPr>
        <w:t xml:space="preserve"> </w:t>
      </w:r>
    </w:p>
    <w:p w14:paraId="76CDE451" w14:textId="77777777" w:rsidR="005B1DF0" w:rsidRDefault="005B1DF0" w:rsidP="005B1DF0">
      <w:pPr>
        <w:jc w:val="center"/>
        <w:rPr>
          <w:b/>
          <w:bCs/>
          <w:i/>
          <w:iCs/>
        </w:rPr>
      </w:pPr>
      <w:r>
        <w:rPr>
          <w:b/>
          <w:bCs/>
          <w:i/>
          <w:iCs/>
        </w:rPr>
        <w:t xml:space="preserve">Tender </w:t>
      </w:r>
      <w:r w:rsidRPr="00180DCF">
        <w:rPr>
          <w:b/>
          <w:bCs/>
          <w:i/>
          <w:iCs/>
        </w:rPr>
        <w:t>Clarifications</w:t>
      </w:r>
      <w:r>
        <w:rPr>
          <w:b/>
          <w:bCs/>
          <w:i/>
          <w:iCs/>
        </w:rPr>
        <w:t xml:space="preserve"> and Guidance 1 </w:t>
      </w:r>
    </w:p>
    <w:p w14:paraId="53BCECFD" w14:textId="77777777" w:rsidR="005B1DF0" w:rsidRPr="00180DCF" w:rsidRDefault="005B1DF0" w:rsidP="005B1DF0">
      <w:pPr>
        <w:jc w:val="center"/>
        <w:rPr>
          <w:b/>
          <w:bCs/>
          <w:i/>
          <w:iCs/>
        </w:rPr>
      </w:pPr>
      <w:r>
        <w:rPr>
          <w:b/>
          <w:bCs/>
          <w:i/>
          <w:iCs/>
        </w:rPr>
        <w:t>4</w:t>
      </w:r>
      <w:r w:rsidRPr="00180DCF">
        <w:rPr>
          <w:b/>
          <w:bCs/>
          <w:i/>
          <w:iCs/>
        </w:rPr>
        <w:t xml:space="preserve"> September 2025</w:t>
      </w:r>
    </w:p>
    <w:p w14:paraId="11DC7F9A" w14:textId="77777777" w:rsidR="005B1DF0" w:rsidRPr="00A0193E" w:rsidRDefault="005B1DF0" w:rsidP="005B1DF0">
      <w:pPr>
        <w:jc w:val="center"/>
        <w:rPr>
          <w:b/>
          <w:bCs/>
          <w:u w:val="single"/>
        </w:rPr>
      </w:pPr>
      <w:r w:rsidRPr="00A0193E">
        <w:rPr>
          <w:b/>
          <w:bCs/>
          <w:u w:val="single"/>
        </w:rPr>
        <w:t>O</w:t>
      </w:r>
      <w:r>
        <w:rPr>
          <w:b/>
          <w:bCs/>
          <w:u w:val="single"/>
        </w:rPr>
        <w:t>NE</w:t>
      </w:r>
    </w:p>
    <w:p w14:paraId="5317FAAE" w14:textId="77777777" w:rsidR="005B1DF0" w:rsidRPr="00FF2788" w:rsidRDefault="005B1DF0" w:rsidP="005B1DF0">
      <w:pPr>
        <w:numPr>
          <w:ilvl w:val="0"/>
          <w:numId w:val="4"/>
        </w:numPr>
      </w:pPr>
      <w:r w:rsidRPr="00FF2788">
        <w:t>Letter of Engagement Template: Is a specific template or format available for the Letter of Engagement (Section 8, p. 11), or should tenderers create their own based on the ITT requirements?</w:t>
      </w:r>
    </w:p>
    <w:p w14:paraId="59F8C6D7" w14:textId="77777777" w:rsidR="005B1DF0" w:rsidRPr="00EC59B8" w:rsidRDefault="005B1DF0" w:rsidP="005B1DF0">
      <w:pPr>
        <w:rPr>
          <w:b/>
          <w:bCs/>
          <w:i/>
          <w:iCs/>
          <w:color w:val="215E99" w:themeColor="text2" w:themeTint="BF"/>
        </w:rPr>
      </w:pPr>
      <w:r w:rsidRPr="00EC59B8">
        <w:rPr>
          <w:b/>
          <w:bCs/>
          <w:i/>
          <w:iCs/>
          <w:color w:val="215E99" w:themeColor="text2" w:themeTint="BF"/>
        </w:rPr>
        <w:t>Letter of Engagement (</w:t>
      </w:r>
      <w:proofErr w:type="spellStart"/>
      <w:r w:rsidRPr="00EC59B8">
        <w:rPr>
          <w:b/>
          <w:bCs/>
          <w:i/>
          <w:iCs/>
          <w:color w:val="215E99" w:themeColor="text2" w:themeTint="BF"/>
        </w:rPr>
        <w:t>LoE</w:t>
      </w:r>
      <w:proofErr w:type="spellEnd"/>
      <w:r w:rsidRPr="00EC59B8">
        <w:rPr>
          <w:b/>
          <w:bCs/>
          <w:i/>
          <w:iCs/>
          <w:color w:val="215E99" w:themeColor="text2" w:themeTint="BF"/>
        </w:rPr>
        <w:t>) – exemplar</w:t>
      </w:r>
    </w:p>
    <w:p w14:paraId="37F119F2" w14:textId="77777777" w:rsidR="005B1DF0" w:rsidRPr="00EC59B8" w:rsidRDefault="005B1DF0" w:rsidP="005B1DF0">
      <w:pPr>
        <w:rPr>
          <w:color w:val="215E99" w:themeColor="text2" w:themeTint="BF"/>
        </w:rPr>
      </w:pPr>
      <w:r w:rsidRPr="00EC59B8">
        <w:rPr>
          <w:color w:val="215E99" w:themeColor="text2" w:themeTint="BF"/>
        </w:rPr>
        <w:t xml:space="preserve">Yes, applicants are advised to create their own </w:t>
      </w:r>
      <w:proofErr w:type="spellStart"/>
      <w:r w:rsidRPr="00EC59B8">
        <w:rPr>
          <w:color w:val="215E99" w:themeColor="text2" w:themeTint="BF"/>
        </w:rPr>
        <w:t>LoE</w:t>
      </w:r>
      <w:proofErr w:type="spellEnd"/>
      <w:r w:rsidRPr="00EC59B8">
        <w:rPr>
          <w:color w:val="215E99" w:themeColor="text2" w:themeTint="BF"/>
        </w:rPr>
        <w:t>. EKC do not have a template for this.</w:t>
      </w:r>
    </w:p>
    <w:p w14:paraId="377D2BB6" w14:textId="77777777" w:rsidR="005B1DF0" w:rsidRPr="00EC59B8" w:rsidRDefault="005B1DF0" w:rsidP="005B1DF0">
      <w:pPr>
        <w:rPr>
          <w:color w:val="215E99" w:themeColor="text2" w:themeTint="BF"/>
        </w:rPr>
      </w:pPr>
      <w:r w:rsidRPr="00EC59B8">
        <w:rPr>
          <w:color w:val="215E99" w:themeColor="text2" w:themeTint="BF"/>
        </w:rPr>
        <w:t>The document can be prepared in your organisation’s usual format, with indicative terms meeting EKC Group requirements.</w:t>
      </w:r>
    </w:p>
    <w:p w14:paraId="5802B3F1" w14:textId="77777777" w:rsidR="005B1DF0" w:rsidRPr="00EC59B8" w:rsidRDefault="005B1DF0" w:rsidP="005B1DF0">
      <w:pPr>
        <w:rPr>
          <w:color w:val="215E99" w:themeColor="text2" w:themeTint="BF"/>
        </w:rPr>
      </w:pPr>
      <w:r w:rsidRPr="00EC59B8">
        <w:rPr>
          <w:color w:val="215E99" w:themeColor="text2" w:themeTint="BF"/>
        </w:rPr>
        <w:t>You may find the following structure helpful:-</w:t>
      </w:r>
    </w:p>
    <w:p w14:paraId="7ABE01AF" w14:textId="77777777" w:rsidR="005B1DF0" w:rsidRPr="00EC59B8" w:rsidRDefault="005B1DF0" w:rsidP="005B1DF0">
      <w:pPr>
        <w:pStyle w:val="ListParagraph"/>
        <w:numPr>
          <w:ilvl w:val="0"/>
          <w:numId w:val="9"/>
        </w:numPr>
        <w:rPr>
          <w:color w:val="215E99" w:themeColor="text2" w:themeTint="BF"/>
        </w:rPr>
      </w:pPr>
      <w:r w:rsidRPr="00EC59B8">
        <w:rPr>
          <w:color w:val="215E99" w:themeColor="text2" w:themeTint="BF"/>
        </w:rPr>
        <w:t>About your Organisation: a brief overview of your organisation’s culture, and sector-relevant expertise applicable to EKC Group.</w:t>
      </w:r>
    </w:p>
    <w:p w14:paraId="66538E4F" w14:textId="77777777" w:rsidR="005B1DF0" w:rsidRPr="00EC59B8" w:rsidRDefault="005B1DF0" w:rsidP="005B1DF0">
      <w:pPr>
        <w:pStyle w:val="ListParagraph"/>
        <w:numPr>
          <w:ilvl w:val="0"/>
          <w:numId w:val="9"/>
        </w:numPr>
        <w:rPr>
          <w:color w:val="215E99" w:themeColor="text2" w:themeTint="BF"/>
        </w:rPr>
      </w:pPr>
      <w:r w:rsidRPr="00EC59B8">
        <w:rPr>
          <w:color w:val="215E99" w:themeColor="text2" w:themeTint="BF"/>
        </w:rPr>
        <w:t>About your Team: How your team is structured, skills, experience and values which underpin service delivery.</w:t>
      </w:r>
    </w:p>
    <w:p w14:paraId="2E8750BB" w14:textId="77777777" w:rsidR="005B1DF0" w:rsidRPr="00EC59B8" w:rsidRDefault="005B1DF0" w:rsidP="005B1DF0">
      <w:pPr>
        <w:pStyle w:val="ListParagraph"/>
        <w:numPr>
          <w:ilvl w:val="0"/>
          <w:numId w:val="9"/>
        </w:numPr>
        <w:rPr>
          <w:color w:val="215E99" w:themeColor="text2" w:themeTint="BF"/>
        </w:rPr>
      </w:pPr>
      <w:r w:rsidRPr="00EC59B8">
        <w:rPr>
          <w:color w:val="215E99" w:themeColor="text2" w:themeTint="BF"/>
        </w:rPr>
        <w:t>Service Delivery: meeting EKC Group requirements as set out in the ITT.</w:t>
      </w:r>
    </w:p>
    <w:p w14:paraId="1830DC38" w14:textId="77777777" w:rsidR="005B1DF0" w:rsidRPr="00EC59B8" w:rsidRDefault="005B1DF0" w:rsidP="005B1DF0">
      <w:pPr>
        <w:pStyle w:val="ListParagraph"/>
        <w:ind w:firstLine="720"/>
        <w:rPr>
          <w:color w:val="215E99" w:themeColor="text2" w:themeTint="BF"/>
        </w:rPr>
      </w:pPr>
      <w:r w:rsidRPr="00EC59B8">
        <w:rPr>
          <w:color w:val="215E99" w:themeColor="text2" w:themeTint="BF"/>
        </w:rPr>
        <w:t xml:space="preserve">-client management and operation/working practices, </w:t>
      </w:r>
    </w:p>
    <w:p w14:paraId="257D125C" w14:textId="77777777" w:rsidR="005B1DF0" w:rsidRPr="00EC59B8" w:rsidRDefault="005B1DF0" w:rsidP="005B1DF0">
      <w:pPr>
        <w:pStyle w:val="ListParagraph"/>
        <w:ind w:firstLine="720"/>
        <w:rPr>
          <w:color w:val="215E99" w:themeColor="text2" w:themeTint="BF"/>
        </w:rPr>
      </w:pPr>
      <w:r w:rsidRPr="00EC59B8">
        <w:rPr>
          <w:color w:val="215E99" w:themeColor="text2" w:themeTint="BF"/>
        </w:rPr>
        <w:t xml:space="preserve">-time constraints, </w:t>
      </w:r>
    </w:p>
    <w:p w14:paraId="4A3607DF" w14:textId="77777777" w:rsidR="005B1DF0" w:rsidRPr="00EC59B8" w:rsidRDefault="005B1DF0" w:rsidP="005B1DF0">
      <w:pPr>
        <w:pStyle w:val="ListParagraph"/>
        <w:ind w:firstLine="720"/>
        <w:rPr>
          <w:color w:val="215E99" w:themeColor="text2" w:themeTint="BF"/>
        </w:rPr>
      </w:pPr>
      <w:r w:rsidRPr="00EC59B8">
        <w:rPr>
          <w:color w:val="215E99" w:themeColor="text2" w:themeTint="BF"/>
        </w:rPr>
        <w:t xml:space="preserve">-scope of coverage, </w:t>
      </w:r>
    </w:p>
    <w:p w14:paraId="15D8D58C" w14:textId="77777777" w:rsidR="005B1DF0" w:rsidRPr="00EC59B8" w:rsidRDefault="005B1DF0" w:rsidP="005B1DF0">
      <w:pPr>
        <w:pStyle w:val="ListParagraph"/>
        <w:ind w:firstLine="720"/>
        <w:rPr>
          <w:color w:val="215E99" w:themeColor="text2" w:themeTint="BF"/>
        </w:rPr>
      </w:pPr>
      <w:r w:rsidRPr="00EC59B8">
        <w:rPr>
          <w:color w:val="215E99" w:themeColor="text2" w:themeTint="BF"/>
        </w:rPr>
        <w:t xml:space="preserve">-and subsequent periods </w:t>
      </w:r>
    </w:p>
    <w:p w14:paraId="3A85260A" w14:textId="77777777" w:rsidR="005B1DF0" w:rsidRPr="00EC59B8" w:rsidRDefault="005B1DF0" w:rsidP="005B1DF0">
      <w:pPr>
        <w:pStyle w:val="ListParagraph"/>
        <w:numPr>
          <w:ilvl w:val="0"/>
          <w:numId w:val="9"/>
        </w:numPr>
        <w:rPr>
          <w:color w:val="215E99" w:themeColor="text2" w:themeTint="BF"/>
        </w:rPr>
      </w:pPr>
      <w:r w:rsidRPr="00EC59B8">
        <w:rPr>
          <w:color w:val="215E99" w:themeColor="text2" w:themeTint="BF"/>
        </w:rPr>
        <w:t>Two professional/client references.</w:t>
      </w:r>
    </w:p>
    <w:p w14:paraId="211120BB" w14:textId="77777777" w:rsidR="005B1DF0" w:rsidRPr="00EC59B8" w:rsidRDefault="005B1DF0" w:rsidP="005B1DF0">
      <w:pPr>
        <w:ind w:left="360"/>
        <w:rPr>
          <w:color w:val="215E99" w:themeColor="text2" w:themeTint="BF"/>
        </w:rPr>
      </w:pPr>
      <w:r w:rsidRPr="00EC59B8">
        <w:rPr>
          <w:color w:val="215E99" w:themeColor="text2" w:themeTint="BF"/>
        </w:rPr>
        <w:t>Please Note: As stated this structure and particulars are optional and merely suggested.</w:t>
      </w:r>
    </w:p>
    <w:p w14:paraId="29216A45" w14:textId="77777777" w:rsidR="005B1DF0" w:rsidRDefault="005B1DF0" w:rsidP="005B1DF0">
      <w:pPr>
        <w:jc w:val="center"/>
        <w:rPr>
          <w:b/>
          <w:bCs/>
          <w:u w:val="single"/>
        </w:rPr>
      </w:pPr>
    </w:p>
    <w:p w14:paraId="01F6A5B9" w14:textId="77777777" w:rsidR="005B1DF0" w:rsidRDefault="005B1DF0" w:rsidP="005B1DF0">
      <w:pPr>
        <w:jc w:val="center"/>
        <w:rPr>
          <w:b/>
          <w:bCs/>
          <w:u w:val="single"/>
        </w:rPr>
      </w:pPr>
    </w:p>
    <w:p w14:paraId="6E4056B6" w14:textId="77777777" w:rsidR="005B1DF0" w:rsidRDefault="005B1DF0" w:rsidP="005B1DF0">
      <w:pPr>
        <w:jc w:val="center"/>
        <w:rPr>
          <w:b/>
          <w:bCs/>
          <w:u w:val="single"/>
        </w:rPr>
      </w:pPr>
    </w:p>
    <w:p w14:paraId="354B8047" w14:textId="77777777" w:rsidR="005B1DF0" w:rsidRDefault="005B1DF0" w:rsidP="005B1DF0">
      <w:pPr>
        <w:jc w:val="center"/>
        <w:rPr>
          <w:b/>
          <w:bCs/>
          <w:u w:val="single"/>
        </w:rPr>
      </w:pPr>
    </w:p>
    <w:p w14:paraId="2C84ED73" w14:textId="77777777" w:rsidR="005B1DF0" w:rsidRDefault="005B1DF0" w:rsidP="005B1DF0">
      <w:pPr>
        <w:jc w:val="center"/>
        <w:rPr>
          <w:b/>
          <w:bCs/>
          <w:u w:val="single"/>
        </w:rPr>
      </w:pPr>
    </w:p>
    <w:p w14:paraId="02961D76" w14:textId="77777777" w:rsidR="005B1DF0" w:rsidRDefault="005B1DF0" w:rsidP="005B1DF0">
      <w:pPr>
        <w:jc w:val="center"/>
        <w:rPr>
          <w:b/>
          <w:bCs/>
          <w:u w:val="single"/>
        </w:rPr>
      </w:pPr>
    </w:p>
    <w:p w14:paraId="53F4F2AF" w14:textId="77777777" w:rsidR="005B1DF0" w:rsidRDefault="005B1DF0" w:rsidP="005B1DF0">
      <w:pPr>
        <w:jc w:val="center"/>
        <w:rPr>
          <w:b/>
          <w:bCs/>
          <w:u w:val="single"/>
        </w:rPr>
      </w:pPr>
    </w:p>
    <w:p w14:paraId="770F13F7" w14:textId="77777777" w:rsidR="005B1DF0" w:rsidRDefault="005B1DF0" w:rsidP="005B1DF0">
      <w:pPr>
        <w:jc w:val="center"/>
        <w:rPr>
          <w:b/>
          <w:bCs/>
          <w:u w:val="single"/>
        </w:rPr>
      </w:pPr>
    </w:p>
    <w:p w14:paraId="187DED42" w14:textId="77777777" w:rsidR="005B1DF0" w:rsidRPr="00647E05" w:rsidRDefault="005B1DF0" w:rsidP="005B1DF0">
      <w:pPr>
        <w:jc w:val="center"/>
        <w:rPr>
          <w:b/>
          <w:bCs/>
          <w:u w:val="single"/>
        </w:rPr>
      </w:pPr>
      <w:r w:rsidRPr="00647E05">
        <w:rPr>
          <w:b/>
          <w:bCs/>
          <w:u w:val="single"/>
        </w:rPr>
        <w:lastRenderedPageBreak/>
        <w:t>TWO</w:t>
      </w:r>
    </w:p>
    <w:p w14:paraId="3203C0A3" w14:textId="77777777" w:rsidR="005B1DF0" w:rsidRPr="006030C1" w:rsidRDefault="005B1DF0" w:rsidP="005B1DF0">
      <w:pPr>
        <w:numPr>
          <w:ilvl w:val="0"/>
          <w:numId w:val="4"/>
        </w:numPr>
      </w:pPr>
      <w:r w:rsidRPr="006030C1">
        <w:t>Unlimited Advice Limits: The ITT specifies 'unlimited telephone and email advice' (Section 3, para 2, p. 3). Are there any fair-use policies or practical limits (e.g., response times, volume caps) that should be included in our proposal?</w:t>
      </w:r>
    </w:p>
    <w:p w14:paraId="550207E1" w14:textId="77777777" w:rsidR="005B1DF0" w:rsidRPr="00097E0F" w:rsidRDefault="005B1DF0" w:rsidP="005B1DF0">
      <w:pPr>
        <w:rPr>
          <w:color w:val="215E99" w:themeColor="text2" w:themeTint="BF"/>
        </w:rPr>
      </w:pPr>
      <w:r w:rsidRPr="00097E0F">
        <w:rPr>
          <w:color w:val="215E99" w:themeColor="text2" w:themeTint="BF"/>
        </w:rPr>
        <w:t>The princip</w:t>
      </w:r>
      <w:r>
        <w:rPr>
          <w:color w:val="215E99" w:themeColor="text2" w:themeTint="BF"/>
        </w:rPr>
        <w:t>a</w:t>
      </w:r>
      <w:r w:rsidRPr="00097E0F">
        <w:rPr>
          <w:color w:val="215E99" w:themeColor="text2" w:themeTint="BF"/>
        </w:rPr>
        <w:t xml:space="preserve">l goal is to procure an on-demand legal retainer which ensures accessible and legally sound advice. </w:t>
      </w:r>
    </w:p>
    <w:p w14:paraId="49F51456" w14:textId="77777777" w:rsidR="005B1DF0" w:rsidRPr="00097E0F" w:rsidRDefault="005B1DF0" w:rsidP="005B1DF0">
      <w:pPr>
        <w:rPr>
          <w:color w:val="215E99" w:themeColor="text2" w:themeTint="BF"/>
        </w:rPr>
      </w:pPr>
      <w:r w:rsidRPr="00097E0F">
        <w:rPr>
          <w:color w:val="215E99" w:themeColor="text2" w:themeTint="BF"/>
        </w:rPr>
        <w:t>It is envisaged that the service will be available:</w:t>
      </w:r>
    </w:p>
    <w:p w14:paraId="5A19F9A9" w14:textId="77777777" w:rsidR="005B1DF0" w:rsidRDefault="005B1DF0" w:rsidP="005B1DF0">
      <w:pPr>
        <w:pStyle w:val="ListParagraph"/>
        <w:numPr>
          <w:ilvl w:val="0"/>
          <w:numId w:val="12"/>
        </w:numPr>
        <w:rPr>
          <w:color w:val="215E99" w:themeColor="text2" w:themeTint="BF"/>
        </w:rPr>
      </w:pPr>
      <w:r>
        <w:rPr>
          <w:color w:val="215E99" w:themeColor="text2" w:themeTint="BF"/>
        </w:rPr>
        <w:t>average of one enquiry per week for a maximum duration of 60 minutes</w:t>
      </w:r>
    </w:p>
    <w:p w14:paraId="318BC11B" w14:textId="77777777" w:rsidR="005B1DF0" w:rsidRDefault="005B1DF0" w:rsidP="005B1DF0">
      <w:pPr>
        <w:pStyle w:val="ListParagraph"/>
        <w:numPr>
          <w:ilvl w:val="0"/>
          <w:numId w:val="12"/>
        </w:numPr>
        <w:rPr>
          <w:color w:val="215E99" w:themeColor="text2" w:themeTint="BF"/>
        </w:rPr>
      </w:pPr>
      <w:r>
        <w:rPr>
          <w:color w:val="215E99" w:themeColor="text2" w:themeTint="BF"/>
        </w:rPr>
        <w:t>with the opportunity to roll over unused service time / credit to subsequent months</w:t>
      </w:r>
    </w:p>
    <w:p w14:paraId="597BF42F" w14:textId="77777777" w:rsidR="005B1DF0" w:rsidRDefault="005B1DF0" w:rsidP="005B1DF0">
      <w:pPr>
        <w:pStyle w:val="ListParagraph"/>
        <w:numPr>
          <w:ilvl w:val="0"/>
          <w:numId w:val="12"/>
        </w:numPr>
        <w:rPr>
          <w:color w:val="215E99" w:themeColor="text2" w:themeTint="BF"/>
        </w:rPr>
      </w:pPr>
      <w:r>
        <w:rPr>
          <w:color w:val="215E99" w:themeColor="text2" w:themeTint="BF"/>
        </w:rPr>
        <w:t>to use the service within the above limits on and between Monday and Friday (the Group’s working week)</w:t>
      </w:r>
      <w:r w:rsidRPr="00097E0F">
        <w:rPr>
          <w:color w:val="215E99" w:themeColor="text2" w:themeTint="BF"/>
        </w:rPr>
        <w:t xml:space="preserve">, </w:t>
      </w:r>
    </w:p>
    <w:p w14:paraId="0353A4F1" w14:textId="77777777" w:rsidR="005B1DF0" w:rsidRPr="00097E0F" w:rsidRDefault="005B1DF0" w:rsidP="005B1DF0">
      <w:pPr>
        <w:pStyle w:val="ListParagraph"/>
        <w:numPr>
          <w:ilvl w:val="0"/>
          <w:numId w:val="12"/>
        </w:numPr>
        <w:rPr>
          <w:color w:val="215E99" w:themeColor="text2" w:themeTint="BF"/>
        </w:rPr>
      </w:pPr>
      <w:r w:rsidRPr="00097E0F">
        <w:rPr>
          <w:color w:val="215E99" w:themeColor="text2" w:themeTint="BF"/>
        </w:rPr>
        <w:t xml:space="preserve">during EKC </w:t>
      </w:r>
      <w:r>
        <w:rPr>
          <w:color w:val="215E99" w:themeColor="text2" w:themeTint="BF"/>
        </w:rPr>
        <w:t xml:space="preserve">Group’s </w:t>
      </w:r>
      <w:r w:rsidRPr="00097E0F">
        <w:rPr>
          <w:color w:val="215E99" w:themeColor="text2" w:themeTint="BF"/>
        </w:rPr>
        <w:t>core operating hours 8:30 AM to 05:00 PM</w:t>
      </w:r>
    </w:p>
    <w:p w14:paraId="3AEB5A50" w14:textId="77777777" w:rsidR="005B1DF0" w:rsidRPr="0081461B" w:rsidRDefault="005B1DF0" w:rsidP="005B1DF0">
      <w:pPr>
        <w:rPr>
          <w:color w:val="215E99" w:themeColor="text2" w:themeTint="BF"/>
        </w:rPr>
      </w:pPr>
      <w:r w:rsidRPr="0081461B">
        <w:rPr>
          <w:color w:val="215E99" w:themeColor="text2" w:themeTint="BF"/>
        </w:rPr>
        <w:t xml:space="preserve">Fair and reasonable use of the services being set out in a Time Constraint clause or policy is acceptable. </w:t>
      </w:r>
    </w:p>
    <w:p w14:paraId="71F481B5" w14:textId="77777777" w:rsidR="005B1DF0" w:rsidRDefault="005B1DF0" w:rsidP="005B1DF0"/>
    <w:p w14:paraId="4C20FB02" w14:textId="77777777" w:rsidR="005B1DF0" w:rsidRPr="00647E05" w:rsidRDefault="005B1DF0" w:rsidP="005B1DF0">
      <w:pPr>
        <w:jc w:val="center"/>
        <w:rPr>
          <w:b/>
          <w:bCs/>
          <w:u w:val="single"/>
        </w:rPr>
      </w:pPr>
      <w:r w:rsidRPr="00647E05">
        <w:rPr>
          <w:b/>
          <w:bCs/>
          <w:u w:val="single"/>
        </w:rPr>
        <w:t>THREE</w:t>
      </w:r>
    </w:p>
    <w:p w14:paraId="284A581D" w14:textId="77777777" w:rsidR="005B1DF0" w:rsidRPr="002B13C4" w:rsidRDefault="005B1DF0" w:rsidP="005B1DF0">
      <w:pPr>
        <w:numPr>
          <w:ilvl w:val="0"/>
          <w:numId w:val="5"/>
        </w:numPr>
      </w:pPr>
      <w:r w:rsidRPr="002B13C4">
        <w:t>CSR Evidence Requirements: For the Corporate Social Responsibility responses (Appendix, Tab 3, row 14), should tenderers attach full policies (e.g., Modern Slavery Statement, Environmental Policy) or provide summaries in the Excel tab?</w:t>
      </w:r>
    </w:p>
    <w:p w14:paraId="472328F3" w14:textId="77777777" w:rsidR="005B1DF0" w:rsidRPr="002B13C4" w:rsidRDefault="005B1DF0" w:rsidP="005B1DF0">
      <w:pPr>
        <w:numPr>
          <w:ilvl w:val="1"/>
          <w:numId w:val="5"/>
        </w:numPr>
      </w:pPr>
      <w:r w:rsidRPr="002B13C4">
        <w:t>Further, do organisations need to attach a Modern Slavery Statement when they are below the relevant threshold?</w:t>
      </w:r>
    </w:p>
    <w:p w14:paraId="2AE6D901" w14:textId="77777777" w:rsidR="005B1DF0" w:rsidRDefault="005B1DF0" w:rsidP="005B1DF0">
      <w:pPr>
        <w:rPr>
          <w:color w:val="215E99" w:themeColor="text2" w:themeTint="BF"/>
        </w:rPr>
      </w:pPr>
      <w:r>
        <w:rPr>
          <w:color w:val="215E99" w:themeColor="text2" w:themeTint="BF"/>
        </w:rPr>
        <w:t xml:space="preserve">With regard to evidencing your organisations Corporate Social Responsibility, Modern Slavery Statement, Environmental Policy, </w:t>
      </w:r>
    </w:p>
    <w:p w14:paraId="751FD653" w14:textId="77777777" w:rsidR="005B1DF0" w:rsidRPr="008E4D7F" w:rsidRDefault="005B1DF0" w:rsidP="005B1DF0">
      <w:pPr>
        <w:pStyle w:val="ListParagraph"/>
        <w:numPr>
          <w:ilvl w:val="0"/>
          <w:numId w:val="14"/>
        </w:numPr>
        <w:rPr>
          <w:color w:val="215E99" w:themeColor="text2" w:themeTint="BF"/>
        </w:rPr>
      </w:pPr>
      <w:r w:rsidRPr="008E4D7F">
        <w:rPr>
          <w:color w:val="215E99" w:themeColor="text2" w:themeTint="BF"/>
        </w:rPr>
        <w:t xml:space="preserve">a file of the statement/policy, or live link to your organisation’s relevant webpage can be attached or entered for review by EKC Tender Panel in the Checklist box in the ITT, </w:t>
      </w:r>
    </w:p>
    <w:p w14:paraId="616E1B9F" w14:textId="77777777" w:rsidR="005B1DF0" w:rsidRPr="008E4D7F" w:rsidRDefault="005B1DF0" w:rsidP="005B1DF0">
      <w:pPr>
        <w:pStyle w:val="ListParagraph"/>
        <w:numPr>
          <w:ilvl w:val="0"/>
          <w:numId w:val="14"/>
        </w:numPr>
        <w:rPr>
          <w:color w:val="215E99" w:themeColor="text2" w:themeTint="BF"/>
        </w:rPr>
      </w:pPr>
      <w:r>
        <w:rPr>
          <w:color w:val="215E99" w:themeColor="text2" w:themeTint="BF"/>
        </w:rPr>
        <w:t>a</w:t>
      </w:r>
      <w:r w:rsidRPr="008E4D7F">
        <w:rPr>
          <w:color w:val="215E99" w:themeColor="text2" w:themeTint="BF"/>
        </w:rPr>
        <w:t xml:space="preserve">lternatively the document/file itself can be added as an attachment  to the emailed tender as part of the submission. </w:t>
      </w:r>
    </w:p>
    <w:p w14:paraId="58268B23" w14:textId="77777777" w:rsidR="005B1DF0" w:rsidRPr="008E4D7F" w:rsidRDefault="005B1DF0" w:rsidP="005B1DF0">
      <w:pPr>
        <w:pStyle w:val="ListParagraph"/>
        <w:numPr>
          <w:ilvl w:val="0"/>
          <w:numId w:val="14"/>
        </w:numPr>
        <w:rPr>
          <w:color w:val="156082" w:themeColor="accent1"/>
        </w:rPr>
      </w:pPr>
      <w:r w:rsidRPr="008E4D7F">
        <w:rPr>
          <w:color w:val="215E99" w:themeColor="text2" w:themeTint="BF"/>
        </w:rPr>
        <w:t>Only a summaries of the key aspects of these statements/policies need be entered/described in Appendix, Tab 3, row 14 and row 15.</w:t>
      </w:r>
    </w:p>
    <w:p w14:paraId="59B49887" w14:textId="77777777" w:rsidR="005B1DF0" w:rsidRDefault="005B1DF0" w:rsidP="005B1DF0">
      <w:pPr>
        <w:rPr>
          <w:color w:val="215E99" w:themeColor="text2" w:themeTint="BF"/>
        </w:rPr>
      </w:pPr>
      <w:r>
        <w:rPr>
          <w:color w:val="215E99" w:themeColor="text2" w:themeTint="BF"/>
        </w:rPr>
        <w:t xml:space="preserve">Provided the relevant policies can be evidenced, and are visible and accessible  for review by the EKC Tender Panel the information will be deemed as contributing towards your organisation’s eligibility in the bid for the tender.  </w:t>
      </w:r>
    </w:p>
    <w:p w14:paraId="004C5295" w14:textId="77777777" w:rsidR="005B1DF0" w:rsidRDefault="005B1DF0" w:rsidP="005B1DF0">
      <w:pPr>
        <w:rPr>
          <w:color w:val="215E99" w:themeColor="text2" w:themeTint="BF"/>
        </w:rPr>
      </w:pPr>
    </w:p>
    <w:p w14:paraId="0B08C1F3" w14:textId="77777777" w:rsidR="005B1DF0" w:rsidRPr="00EC59B8" w:rsidRDefault="005B1DF0" w:rsidP="005B1DF0">
      <w:pPr>
        <w:rPr>
          <w:color w:val="215E99" w:themeColor="text2" w:themeTint="BF"/>
        </w:rPr>
      </w:pPr>
      <w:r w:rsidRPr="00EC59B8">
        <w:rPr>
          <w:color w:val="215E99" w:themeColor="text2" w:themeTint="BF"/>
        </w:rPr>
        <w:t>Extrapolating from Section 5 Tender Submissions, final line:</w:t>
      </w:r>
    </w:p>
    <w:p w14:paraId="6A053402" w14:textId="77777777" w:rsidR="005B1DF0" w:rsidRPr="00EC59B8" w:rsidRDefault="005B1DF0" w:rsidP="005B1DF0">
      <w:pPr>
        <w:jc w:val="center"/>
        <w:rPr>
          <w:color w:val="215E99" w:themeColor="text2" w:themeTint="BF"/>
        </w:rPr>
      </w:pPr>
      <w:r w:rsidRPr="00EC59B8">
        <w:rPr>
          <w:color w:val="215E99" w:themeColor="text2" w:themeTint="BF"/>
        </w:rPr>
        <w:t>‘</w:t>
      </w:r>
      <w:r w:rsidRPr="00EC59B8">
        <w:rPr>
          <w:i/>
          <w:iCs/>
          <w:color w:val="215E99" w:themeColor="text2" w:themeTint="BF"/>
        </w:rPr>
        <w:t>If the question does not apply to you, please state clearly “N/A.”</w:t>
      </w:r>
      <w:r w:rsidRPr="00EC59B8">
        <w:rPr>
          <w:color w:val="215E99" w:themeColor="text2" w:themeTint="BF"/>
        </w:rPr>
        <w:t>’</w:t>
      </w:r>
    </w:p>
    <w:p w14:paraId="64A929CD" w14:textId="77777777" w:rsidR="005B1DF0" w:rsidRDefault="005B1DF0" w:rsidP="005B1DF0">
      <w:pPr>
        <w:rPr>
          <w:color w:val="215E99" w:themeColor="text2" w:themeTint="BF"/>
        </w:rPr>
      </w:pPr>
      <w:r w:rsidRPr="00443761">
        <w:rPr>
          <w:color w:val="215E99" w:themeColor="text2" w:themeTint="BF"/>
        </w:rPr>
        <w:t xml:space="preserve">Please apply the same approach on any document, appendix or spreadsheet table which does not apply to your organisation setting out any exemption or justification </w:t>
      </w:r>
      <w:r>
        <w:rPr>
          <w:color w:val="215E99" w:themeColor="text2" w:themeTint="BF"/>
        </w:rPr>
        <w:t>that in your opinion</w:t>
      </w:r>
      <w:r w:rsidRPr="00443761">
        <w:rPr>
          <w:color w:val="215E99" w:themeColor="text2" w:themeTint="BF"/>
        </w:rPr>
        <w:t xml:space="preserve"> </w:t>
      </w:r>
      <w:r>
        <w:rPr>
          <w:color w:val="215E99" w:themeColor="text2" w:themeTint="BF"/>
        </w:rPr>
        <w:t xml:space="preserve">are </w:t>
      </w:r>
      <w:r w:rsidRPr="00443761">
        <w:rPr>
          <w:color w:val="215E99" w:themeColor="text2" w:themeTint="BF"/>
        </w:rPr>
        <w:t xml:space="preserve">relevant to your circumstances and </w:t>
      </w:r>
      <w:r>
        <w:rPr>
          <w:color w:val="215E99" w:themeColor="text2" w:themeTint="BF"/>
        </w:rPr>
        <w:t>seek to</w:t>
      </w:r>
      <w:r w:rsidRPr="00443761">
        <w:rPr>
          <w:color w:val="215E99" w:themeColor="text2" w:themeTint="BF"/>
        </w:rPr>
        <w:t xml:space="preserve"> be taken into consideration by the EKC </w:t>
      </w:r>
      <w:r>
        <w:rPr>
          <w:color w:val="215E99" w:themeColor="text2" w:themeTint="BF"/>
        </w:rPr>
        <w:t xml:space="preserve">Group </w:t>
      </w:r>
      <w:r w:rsidRPr="00443761">
        <w:rPr>
          <w:color w:val="215E99" w:themeColor="text2" w:themeTint="BF"/>
        </w:rPr>
        <w:t xml:space="preserve">Tender Panel. </w:t>
      </w:r>
    </w:p>
    <w:p w14:paraId="48B57C68" w14:textId="77777777" w:rsidR="005B1DF0" w:rsidRPr="008E4D7F" w:rsidRDefault="005B1DF0" w:rsidP="005B1DF0">
      <w:pPr>
        <w:rPr>
          <w:color w:val="215E99" w:themeColor="text2" w:themeTint="BF"/>
        </w:rPr>
      </w:pPr>
      <w:r w:rsidRPr="008E4D7F">
        <w:rPr>
          <w:color w:val="215E99" w:themeColor="text2" w:themeTint="BF"/>
        </w:rPr>
        <w:t xml:space="preserve">EKC Group is proud to comply with the Modern Slavery Act 2015, as set out in our Anti-Slavery and Human Trafficking Statement, and we seek to uphold and maintain our commitment to combatting any Modern Slavery in its supply chain, as well as satisfying our obligations under the Group’s Real Living Wage Accreditation. Therefore, the Group requests written confirmation from all third-party organisations with which it contracts, that they agree to pay their staff National Living Wage. </w:t>
      </w:r>
    </w:p>
    <w:p w14:paraId="757280F0" w14:textId="77777777" w:rsidR="005B1DF0" w:rsidRPr="008E4D7F" w:rsidRDefault="005B1DF0" w:rsidP="005B1DF0">
      <w:pPr>
        <w:rPr>
          <w:color w:val="215E99" w:themeColor="text2" w:themeTint="BF"/>
        </w:rPr>
      </w:pPr>
      <w:r w:rsidRPr="008E4D7F">
        <w:rPr>
          <w:color w:val="215E99" w:themeColor="text2" w:themeTint="BF"/>
        </w:rPr>
        <w:t xml:space="preserve">The Group accordingly reserves the right to terminate any contract for supply of goods and services where such written confirmation is not provided by the relevant contracting third-party within a reasonable period of the Group’s request, and maintains the discretion not to consider said third-parties from future contracts of any kind. </w:t>
      </w:r>
    </w:p>
    <w:p w14:paraId="44C96B40" w14:textId="77777777" w:rsidR="005B1DF0" w:rsidRDefault="005B1DF0" w:rsidP="005B1DF0">
      <w:pPr>
        <w:rPr>
          <w:color w:val="215E99" w:themeColor="text2" w:themeTint="BF"/>
        </w:rPr>
      </w:pPr>
    </w:p>
    <w:p w14:paraId="7E245E06" w14:textId="77777777" w:rsidR="005B1DF0" w:rsidRPr="00647E05" w:rsidRDefault="005B1DF0" w:rsidP="005B1DF0">
      <w:pPr>
        <w:jc w:val="center"/>
        <w:rPr>
          <w:b/>
          <w:bCs/>
          <w:u w:val="single"/>
        </w:rPr>
      </w:pPr>
      <w:r w:rsidRPr="00647E05">
        <w:rPr>
          <w:b/>
          <w:bCs/>
          <w:u w:val="single"/>
        </w:rPr>
        <w:t>FOUR</w:t>
      </w:r>
    </w:p>
    <w:p w14:paraId="5437FBF9" w14:textId="77777777" w:rsidR="005B1DF0" w:rsidRPr="00370A29" w:rsidRDefault="005B1DF0" w:rsidP="005B1DF0">
      <w:pPr>
        <w:numPr>
          <w:ilvl w:val="0"/>
          <w:numId w:val="6"/>
        </w:numPr>
      </w:pPr>
      <w:r w:rsidRPr="00370A29">
        <w:t>Interview Format Details: For the Round 2 interviews on 30 October 2025 (Section 6, p. 7), please confirm the expected presentation length and any specific topics or structure for the panel questions.</w:t>
      </w:r>
    </w:p>
    <w:p w14:paraId="02CA599A" w14:textId="77777777" w:rsidR="005B1DF0" w:rsidRPr="00EA132A" w:rsidRDefault="005B1DF0" w:rsidP="005B1DF0">
      <w:pPr>
        <w:rPr>
          <w:color w:val="215E99" w:themeColor="text2" w:themeTint="BF"/>
        </w:rPr>
      </w:pPr>
      <w:r w:rsidRPr="00EA132A">
        <w:rPr>
          <w:color w:val="215E99" w:themeColor="text2" w:themeTint="BF"/>
        </w:rPr>
        <w:t xml:space="preserve">Presentation </w:t>
      </w:r>
      <w:r>
        <w:rPr>
          <w:color w:val="215E99" w:themeColor="text2" w:themeTint="BF"/>
        </w:rPr>
        <w:t>l</w:t>
      </w:r>
      <w:r w:rsidRPr="00EA132A">
        <w:rPr>
          <w:color w:val="215E99" w:themeColor="text2" w:themeTint="BF"/>
        </w:rPr>
        <w:t xml:space="preserve">ength </w:t>
      </w:r>
      <w:r>
        <w:rPr>
          <w:color w:val="215E99" w:themeColor="text2" w:themeTint="BF"/>
        </w:rPr>
        <w:t xml:space="preserve">can be designed and delivered </w:t>
      </w:r>
      <w:r w:rsidRPr="00EA132A">
        <w:rPr>
          <w:color w:val="215E99" w:themeColor="text2" w:themeTint="BF"/>
        </w:rPr>
        <w:t>at your own discretion but should not exceed 20 minutes.</w:t>
      </w:r>
    </w:p>
    <w:p w14:paraId="27DC09C4" w14:textId="77777777" w:rsidR="005B1DF0" w:rsidRDefault="005B1DF0" w:rsidP="005B1DF0">
      <w:pPr>
        <w:rPr>
          <w:color w:val="215E99" w:themeColor="text2" w:themeTint="BF"/>
        </w:rPr>
      </w:pPr>
      <w:r w:rsidRPr="00EA132A">
        <w:rPr>
          <w:color w:val="215E99" w:themeColor="text2" w:themeTint="BF"/>
        </w:rPr>
        <w:t>The subjects covered in the presentation should focus</w:t>
      </w:r>
      <w:r>
        <w:rPr>
          <w:color w:val="215E99" w:themeColor="text2" w:themeTint="BF"/>
        </w:rPr>
        <w:t xml:space="preserve"> on:</w:t>
      </w:r>
    </w:p>
    <w:p w14:paraId="3F6F6D1C" w14:textId="77777777" w:rsidR="005B1DF0" w:rsidRPr="00875B9F" w:rsidRDefault="005B1DF0" w:rsidP="005B1DF0">
      <w:pPr>
        <w:pStyle w:val="ListParagraph"/>
        <w:numPr>
          <w:ilvl w:val="0"/>
          <w:numId w:val="13"/>
        </w:numPr>
        <w:rPr>
          <w:color w:val="215E99" w:themeColor="text2" w:themeTint="BF"/>
        </w:rPr>
      </w:pPr>
      <w:r>
        <w:rPr>
          <w:color w:val="215E99" w:themeColor="text2" w:themeTint="BF"/>
        </w:rPr>
        <w:t>Y</w:t>
      </w:r>
      <w:r w:rsidRPr="00875B9F">
        <w:rPr>
          <w:color w:val="215E99" w:themeColor="text2" w:themeTint="BF"/>
        </w:rPr>
        <w:t>our organisation’s knowledge and experience which meets areas set out in Section 3 Tender Requirements, paragraphs 1 to 4</w:t>
      </w:r>
      <w:r>
        <w:rPr>
          <w:color w:val="215E99" w:themeColor="text2" w:themeTint="BF"/>
        </w:rPr>
        <w:t xml:space="preserve"> and,</w:t>
      </w:r>
    </w:p>
    <w:p w14:paraId="30B9B1E6" w14:textId="77777777" w:rsidR="005B1DF0" w:rsidRPr="00875B9F" w:rsidRDefault="005B1DF0" w:rsidP="005B1DF0">
      <w:pPr>
        <w:pStyle w:val="ListParagraph"/>
        <w:numPr>
          <w:ilvl w:val="0"/>
          <w:numId w:val="13"/>
        </w:numPr>
        <w:rPr>
          <w:color w:val="215E99" w:themeColor="text2" w:themeTint="BF"/>
        </w:rPr>
      </w:pPr>
      <w:r>
        <w:rPr>
          <w:color w:val="215E99" w:themeColor="text2" w:themeTint="BF"/>
        </w:rPr>
        <w:t>A</w:t>
      </w:r>
      <w:r w:rsidRPr="00875B9F">
        <w:rPr>
          <w:color w:val="215E99" w:themeColor="text2" w:themeTint="BF"/>
        </w:rPr>
        <w:t>n overview of your organisation, or team’s impact in the legal sector relevant to EKC Group.</w:t>
      </w:r>
    </w:p>
    <w:p w14:paraId="5EEA9F84" w14:textId="77777777" w:rsidR="005B1DF0" w:rsidRDefault="005B1DF0" w:rsidP="005B1DF0">
      <w:pPr>
        <w:jc w:val="center"/>
        <w:rPr>
          <w:b/>
          <w:bCs/>
          <w:u w:val="single"/>
        </w:rPr>
      </w:pPr>
    </w:p>
    <w:p w14:paraId="69F6786C" w14:textId="77777777" w:rsidR="005B1DF0" w:rsidRDefault="005B1DF0" w:rsidP="005B1DF0">
      <w:pPr>
        <w:jc w:val="center"/>
        <w:rPr>
          <w:b/>
          <w:bCs/>
          <w:u w:val="single"/>
        </w:rPr>
      </w:pPr>
    </w:p>
    <w:p w14:paraId="2F76AF89" w14:textId="77777777" w:rsidR="005B1DF0" w:rsidRDefault="005B1DF0" w:rsidP="005B1DF0">
      <w:pPr>
        <w:jc w:val="center"/>
        <w:rPr>
          <w:b/>
          <w:bCs/>
          <w:u w:val="single"/>
        </w:rPr>
      </w:pPr>
    </w:p>
    <w:p w14:paraId="7738EE9C" w14:textId="77777777" w:rsidR="005B1DF0" w:rsidRDefault="005B1DF0" w:rsidP="005B1DF0">
      <w:pPr>
        <w:jc w:val="center"/>
        <w:rPr>
          <w:b/>
          <w:bCs/>
          <w:u w:val="single"/>
        </w:rPr>
      </w:pPr>
    </w:p>
    <w:p w14:paraId="5E26E0B0" w14:textId="77777777" w:rsidR="005B1DF0" w:rsidRPr="00647E05" w:rsidRDefault="005B1DF0" w:rsidP="005B1DF0">
      <w:pPr>
        <w:jc w:val="center"/>
        <w:rPr>
          <w:b/>
          <w:bCs/>
          <w:u w:val="single"/>
        </w:rPr>
      </w:pPr>
      <w:r w:rsidRPr="00647E05">
        <w:rPr>
          <w:b/>
          <w:bCs/>
          <w:u w:val="single"/>
        </w:rPr>
        <w:t>FIVE</w:t>
      </w:r>
    </w:p>
    <w:p w14:paraId="1486B042" w14:textId="77777777" w:rsidR="005B1DF0" w:rsidRPr="00370A29" w:rsidRDefault="005B1DF0" w:rsidP="005B1DF0">
      <w:pPr>
        <w:numPr>
          <w:ilvl w:val="0"/>
          <w:numId w:val="7"/>
        </w:numPr>
      </w:pPr>
      <w:r w:rsidRPr="00370A29">
        <w:t>External Partners and Subcontracting (Section 5.2): Is there scope for working with external partners under the tender? Specifically, do white-labelling or subcontracting arrangements fall within the scope of Section 5.2(d) regarding inducements or considerations to other parties?</w:t>
      </w:r>
    </w:p>
    <w:p w14:paraId="0E24922C" w14:textId="77777777" w:rsidR="005B1DF0" w:rsidRDefault="005B1DF0" w:rsidP="005B1DF0">
      <w:pPr>
        <w:rPr>
          <w:color w:val="215E99" w:themeColor="text2" w:themeTint="BF"/>
        </w:rPr>
      </w:pPr>
      <w:r>
        <w:rPr>
          <w:color w:val="215E99" w:themeColor="text2" w:themeTint="BF"/>
        </w:rPr>
        <w:t>EKC Group’s preference is for the selected legal advice and services provider to carry out the obligations using in-house staff and resources and not to utilise external partners and subcontracting. This is to optimising service and operational efficiencies, accountability, as well as, significantly reducing risk regarding due diligence and other associated EKC policy requirements.</w:t>
      </w:r>
    </w:p>
    <w:p w14:paraId="2C084C52" w14:textId="77777777" w:rsidR="005B1DF0" w:rsidRDefault="005B1DF0" w:rsidP="005B1DF0">
      <w:pPr>
        <w:rPr>
          <w:color w:val="215E99" w:themeColor="text2" w:themeTint="BF"/>
        </w:rPr>
      </w:pPr>
      <w:r>
        <w:rPr>
          <w:color w:val="215E99" w:themeColor="text2" w:themeTint="BF"/>
        </w:rPr>
        <w:t>In this context, the use of white-labelling or subcontracting in the performance of the anticipated obligations under the purview of this tender thus falls within the scope of Section 5.2(d) and is precluded.</w:t>
      </w:r>
    </w:p>
    <w:p w14:paraId="5564B151" w14:textId="77777777" w:rsidR="005B1DF0" w:rsidRDefault="005B1DF0" w:rsidP="005B1DF0">
      <w:pPr>
        <w:rPr>
          <w:color w:val="215E99" w:themeColor="text2" w:themeTint="BF"/>
        </w:rPr>
      </w:pPr>
    </w:p>
    <w:p w14:paraId="12F34DDD" w14:textId="77777777" w:rsidR="005B1DF0" w:rsidRDefault="005B1DF0" w:rsidP="005B1DF0">
      <w:pPr>
        <w:jc w:val="center"/>
        <w:rPr>
          <w:b/>
          <w:bCs/>
          <w:u w:val="single"/>
        </w:rPr>
      </w:pPr>
      <w:r w:rsidRPr="00647E05">
        <w:rPr>
          <w:b/>
          <w:bCs/>
          <w:u w:val="single"/>
        </w:rPr>
        <w:t>SIX</w:t>
      </w:r>
    </w:p>
    <w:p w14:paraId="1AFEDE2B" w14:textId="77777777" w:rsidR="005B1DF0" w:rsidRPr="00A35361" w:rsidRDefault="005B1DF0" w:rsidP="005B1DF0">
      <w:pPr>
        <w:numPr>
          <w:ilvl w:val="0"/>
          <w:numId w:val="8"/>
        </w:numPr>
        <w:spacing w:before="100" w:beforeAutospacing="1" w:after="100" w:afterAutospacing="1" w:line="240" w:lineRule="auto"/>
        <w:rPr>
          <w:rFonts w:eastAsia="Times New Roman"/>
          <w:color w:val="000000"/>
        </w:rPr>
      </w:pPr>
      <w:r w:rsidRPr="00A35361">
        <w:rPr>
          <w:rFonts w:eastAsia="Times New Roman"/>
          <w:color w:val="000000"/>
        </w:rPr>
        <w:t>Are costs to be covered or paid after a successful bid? We have noted that they are not covered before this point (Section 5, p. 5), but the ITT is silent on any change beyond bid success and/or tendering for the Contract.</w:t>
      </w:r>
    </w:p>
    <w:p w14:paraId="3E9DEB04" w14:textId="77777777" w:rsidR="005B1DF0" w:rsidRDefault="005B1DF0" w:rsidP="005B1DF0">
      <w:r w:rsidRPr="00EA7188">
        <w:rPr>
          <w:color w:val="215E99" w:themeColor="text2" w:themeTint="BF"/>
        </w:rPr>
        <w:t>No costs directly or indirectly incurred in preparation, completion, or submission of this tender and</w:t>
      </w:r>
      <w:r>
        <w:rPr>
          <w:color w:val="215E99" w:themeColor="text2" w:themeTint="BF"/>
        </w:rPr>
        <w:t>/or</w:t>
      </w:r>
      <w:r w:rsidRPr="00EA7188">
        <w:rPr>
          <w:color w:val="215E99" w:themeColor="text2" w:themeTint="BF"/>
        </w:rPr>
        <w:t xml:space="preserve"> any Contract arising as a consequence therefrom</w:t>
      </w:r>
      <w:r>
        <w:rPr>
          <w:color w:val="215E99" w:themeColor="text2" w:themeTint="BF"/>
        </w:rPr>
        <w:t xml:space="preserve"> shall be </w:t>
      </w:r>
      <w:r w:rsidRPr="00EA7188">
        <w:rPr>
          <w:color w:val="215E99" w:themeColor="text2" w:themeTint="BF"/>
        </w:rPr>
        <w:t>attribut</w:t>
      </w:r>
      <w:r>
        <w:rPr>
          <w:color w:val="215E99" w:themeColor="text2" w:themeTint="BF"/>
        </w:rPr>
        <w:t xml:space="preserve">able to nor recovered from </w:t>
      </w:r>
      <w:r w:rsidRPr="00EA7188">
        <w:rPr>
          <w:color w:val="215E99" w:themeColor="text2" w:themeTint="BF"/>
        </w:rPr>
        <w:t>EKC Group</w:t>
      </w:r>
      <w:r>
        <w:rPr>
          <w:color w:val="215E99" w:themeColor="text2" w:themeTint="BF"/>
        </w:rPr>
        <w:t xml:space="preserve"> by any prospective, intended, actual or successful bid/tender participant their agents, affiliates or assigns </w:t>
      </w:r>
      <w:r w:rsidRPr="00EA7188">
        <w:rPr>
          <w:color w:val="215E99" w:themeColor="text2" w:themeTint="BF"/>
        </w:rPr>
        <w:t>pursuant to Section 5, paragraph 5</w:t>
      </w:r>
      <w:r>
        <w:rPr>
          <w:color w:val="215E99" w:themeColor="text2" w:themeTint="BF"/>
        </w:rPr>
        <w:t>.</w:t>
      </w:r>
    </w:p>
    <w:p w14:paraId="4B4DD8A9" w14:textId="77777777" w:rsidR="005B1DF0" w:rsidRDefault="005B1DF0" w:rsidP="005B1DF0"/>
    <w:p w14:paraId="047DADEE" w14:textId="77777777" w:rsidR="005B1DF0" w:rsidRPr="00180DCF" w:rsidRDefault="005B1DF0" w:rsidP="005B1DF0">
      <w:pPr>
        <w:jc w:val="center"/>
      </w:pPr>
      <w:r>
        <w:t>_END_</w:t>
      </w:r>
    </w:p>
    <w:p w14:paraId="2A4E1DBA" w14:textId="77777777" w:rsidR="00180DCF" w:rsidRPr="005B1DF0" w:rsidRDefault="00180DCF" w:rsidP="005B1DF0"/>
    <w:sectPr w:rsidR="00180DCF" w:rsidRPr="005B1DF0">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67F3F" w14:textId="77777777" w:rsidR="00180DCF" w:rsidRDefault="00180DCF" w:rsidP="00180DCF">
      <w:pPr>
        <w:spacing w:after="0" w:line="240" w:lineRule="auto"/>
      </w:pPr>
      <w:r>
        <w:separator/>
      </w:r>
    </w:p>
  </w:endnote>
  <w:endnote w:type="continuationSeparator" w:id="0">
    <w:p w14:paraId="78F00E4F" w14:textId="77777777" w:rsidR="00180DCF" w:rsidRDefault="00180DCF" w:rsidP="00180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A07A9" w14:textId="5EAEEBE1" w:rsidR="00180DCF" w:rsidRDefault="00187485">
    <w:pPr>
      <w:pStyle w:val="Footer"/>
    </w:pPr>
    <w:r>
      <w:rPr>
        <w:noProof/>
      </w:rPr>
      <mc:AlternateContent>
        <mc:Choice Requires="wps">
          <w:drawing>
            <wp:anchor distT="0" distB="0" distL="0" distR="0" simplePos="0" relativeHeight="251658241" behindDoc="0" locked="0" layoutInCell="1" allowOverlap="1" wp14:anchorId="779BF405" wp14:editId="56F56ACF">
              <wp:simplePos x="635" y="635"/>
              <wp:positionH relativeFrom="page">
                <wp:align>left</wp:align>
              </wp:positionH>
              <wp:positionV relativeFrom="page">
                <wp:align>bottom</wp:align>
              </wp:positionV>
              <wp:extent cx="627380" cy="405765"/>
              <wp:effectExtent l="0" t="0" r="1270" b="0"/>
              <wp:wrapNone/>
              <wp:docPr id="1102957991"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7380" cy="405765"/>
                      </a:xfrm>
                      <a:prstGeom prst="rect">
                        <a:avLst/>
                      </a:prstGeom>
                      <a:noFill/>
                      <a:ln>
                        <a:noFill/>
                      </a:ln>
                    </wps:spPr>
                    <wps:txbx>
                      <w:txbxContent>
                        <w:p w14:paraId="12F4BC0D" w14:textId="51DEF7D1" w:rsidR="00187485" w:rsidRPr="00187485" w:rsidRDefault="00187485" w:rsidP="00187485">
                          <w:pPr>
                            <w:spacing w:after="0"/>
                            <w:rPr>
                              <w:rFonts w:ascii="Calibri" w:eastAsia="Calibri" w:hAnsi="Calibri" w:cs="Calibri"/>
                              <w:noProof/>
                              <w:color w:val="000000"/>
                            </w:rPr>
                          </w:pPr>
                          <w:r w:rsidRPr="00187485">
                            <w:rPr>
                              <w:rFonts w:ascii="Calibri" w:eastAsia="Calibri" w:hAnsi="Calibri" w:cs="Calibri"/>
                              <w:noProof/>
                              <w:color w:val="00000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9BF405" id="_x0000_t202" coordsize="21600,21600" o:spt="202" path="m,l,21600r21600,l21600,xe">
              <v:stroke joinstyle="miter"/>
              <v:path gradientshapeok="t" o:connecttype="rect"/>
            </v:shapetype>
            <v:shape id="Text Box 5" o:spid="_x0000_s1026" type="#_x0000_t202" alt="Public" style="position:absolute;margin-left:0;margin-top:0;width:49.4pt;height:31.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" filled="f" stroked="f">
              <v:fill o:detectmouseclick="t"/>
              <v:textbox style="mso-fit-shape-to-text:t" inset="20pt,0,0,15pt">
                <w:txbxContent>
                  <w:p w14:paraId="12F4BC0D" w14:textId="51DEF7D1" w:rsidR="00187485" w:rsidRPr="00187485" w:rsidRDefault="00187485" w:rsidP="00187485">
                    <w:pPr>
                      <w:spacing w:after="0"/>
                      <w:rPr>
                        <w:rFonts w:ascii="Calibri" w:eastAsia="Calibri" w:hAnsi="Calibri" w:cs="Calibri"/>
                        <w:noProof/>
                        <w:color w:val="000000"/>
                      </w:rPr>
                    </w:pPr>
                    <w:r w:rsidRPr="00187485">
                      <w:rPr>
                        <w:rFonts w:ascii="Calibri" w:eastAsia="Calibri" w:hAnsi="Calibri" w:cs="Calibri"/>
                        <w:noProof/>
                        <w:color w:val="00000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C718E" w14:textId="0B8E7157" w:rsidR="00180DCF" w:rsidRDefault="00187485">
    <w:pPr>
      <w:pStyle w:val="Footer"/>
    </w:pPr>
    <w:r>
      <w:rPr>
        <w:noProof/>
      </w:rPr>
      <mc:AlternateContent>
        <mc:Choice Requires="wps">
          <w:drawing>
            <wp:anchor distT="0" distB="0" distL="0" distR="0" simplePos="0" relativeHeight="251658242" behindDoc="0" locked="0" layoutInCell="1" allowOverlap="1" wp14:anchorId="729EC73B" wp14:editId="06AA1EDE">
              <wp:simplePos x="635" y="635"/>
              <wp:positionH relativeFrom="page">
                <wp:align>left</wp:align>
              </wp:positionH>
              <wp:positionV relativeFrom="page">
                <wp:align>bottom</wp:align>
              </wp:positionV>
              <wp:extent cx="627380" cy="405765"/>
              <wp:effectExtent l="0" t="0" r="1270" b="0"/>
              <wp:wrapNone/>
              <wp:docPr id="523128541"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7380" cy="405765"/>
                      </a:xfrm>
                      <a:prstGeom prst="rect">
                        <a:avLst/>
                      </a:prstGeom>
                      <a:noFill/>
                      <a:ln>
                        <a:noFill/>
                      </a:ln>
                    </wps:spPr>
                    <wps:txbx>
                      <w:txbxContent>
                        <w:p w14:paraId="5FEA0084" w14:textId="2F22AE4E" w:rsidR="00187485" w:rsidRPr="00187485" w:rsidRDefault="00187485" w:rsidP="00187485">
                          <w:pPr>
                            <w:spacing w:after="0"/>
                            <w:rPr>
                              <w:rFonts w:ascii="Calibri" w:eastAsia="Calibri" w:hAnsi="Calibri" w:cs="Calibri"/>
                              <w:noProof/>
                              <w:color w:val="000000"/>
                            </w:rPr>
                          </w:pPr>
                          <w:r w:rsidRPr="00187485">
                            <w:rPr>
                              <w:rFonts w:ascii="Calibri" w:eastAsia="Calibri" w:hAnsi="Calibri" w:cs="Calibri"/>
                              <w:noProof/>
                              <w:color w:val="00000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9EC73B" id="_x0000_t202" coordsize="21600,21600" o:spt="202" path="m,l,21600r21600,l21600,xe">
              <v:stroke joinstyle="miter"/>
              <v:path gradientshapeok="t" o:connecttype="rect"/>
            </v:shapetype>
            <v:shape id="Text Box 6" o:spid="_x0000_s1027" type="#_x0000_t202" alt="Public" style="position:absolute;margin-left:0;margin-top:0;width:49.4pt;height:31.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" filled="f" stroked="f">
              <v:fill o:detectmouseclick="t"/>
              <v:textbox style="mso-fit-shape-to-text:t" inset="20pt,0,0,15pt">
                <w:txbxContent>
                  <w:p w14:paraId="5FEA0084" w14:textId="2F22AE4E" w:rsidR="00187485" w:rsidRPr="00187485" w:rsidRDefault="00187485" w:rsidP="00187485">
                    <w:pPr>
                      <w:spacing w:after="0"/>
                      <w:rPr>
                        <w:rFonts w:ascii="Calibri" w:eastAsia="Calibri" w:hAnsi="Calibri" w:cs="Calibri"/>
                        <w:noProof/>
                        <w:color w:val="000000"/>
                      </w:rPr>
                    </w:pPr>
                    <w:r w:rsidRPr="00187485">
                      <w:rPr>
                        <w:rFonts w:ascii="Calibri" w:eastAsia="Calibri" w:hAnsi="Calibri" w:cs="Calibri"/>
                        <w:noProof/>
                        <w:color w:val="00000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E191" w14:textId="4BABFB17" w:rsidR="00180DCF" w:rsidRDefault="00187485">
    <w:pPr>
      <w:pStyle w:val="Footer"/>
    </w:pPr>
    <w:r>
      <w:rPr>
        <w:noProof/>
      </w:rPr>
      <mc:AlternateContent>
        <mc:Choice Requires="wps">
          <w:drawing>
            <wp:anchor distT="0" distB="0" distL="0" distR="0" simplePos="0" relativeHeight="251658240" behindDoc="0" locked="0" layoutInCell="1" allowOverlap="1" wp14:anchorId="1FCC6E02" wp14:editId="120FE54F">
              <wp:simplePos x="635" y="635"/>
              <wp:positionH relativeFrom="page">
                <wp:align>left</wp:align>
              </wp:positionH>
              <wp:positionV relativeFrom="page">
                <wp:align>bottom</wp:align>
              </wp:positionV>
              <wp:extent cx="627380" cy="405765"/>
              <wp:effectExtent l="0" t="0" r="1270" b="0"/>
              <wp:wrapNone/>
              <wp:docPr id="408753176"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7380" cy="405765"/>
                      </a:xfrm>
                      <a:prstGeom prst="rect">
                        <a:avLst/>
                      </a:prstGeom>
                      <a:noFill/>
                      <a:ln>
                        <a:noFill/>
                      </a:ln>
                    </wps:spPr>
                    <wps:txbx>
                      <w:txbxContent>
                        <w:p w14:paraId="583A6460" w14:textId="53298FE4" w:rsidR="00187485" w:rsidRPr="00187485" w:rsidRDefault="00187485" w:rsidP="00187485">
                          <w:pPr>
                            <w:spacing w:after="0"/>
                            <w:rPr>
                              <w:rFonts w:ascii="Calibri" w:eastAsia="Calibri" w:hAnsi="Calibri" w:cs="Calibri"/>
                              <w:noProof/>
                              <w:color w:val="000000"/>
                            </w:rPr>
                          </w:pPr>
                          <w:r w:rsidRPr="00187485">
                            <w:rPr>
                              <w:rFonts w:ascii="Calibri" w:eastAsia="Calibri" w:hAnsi="Calibri" w:cs="Calibri"/>
                              <w:noProof/>
                              <w:color w:val="00000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CC6E02" id="_x0000_t202" coordsize="21600,21600" o:spt="202" path="m,l,21600r21600,l21600,xe">
              <v:stroke joinstyle="miter"/>
              <v:path gradientshapeok="t" o:connecttype="rect"/>
            </v:shapetype>
            <v:shape id="Text Box 4" o:spid="_x0000_s1028" type="#_x0000_t202" alt="Public" style="position:absolute;margin-left:0;margin-top:0;width:49.4pt;height:31.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" filled="f" stroked="f">
              <v:fill o:detectmouseclick="t"/>
              <v:textbox style="mso-fit-shape-to-text:t" inset="20pt,0,0,15pt">
                <w:txbxContent>
                  <w:p w14:paraId="583A6460" w14:textId="53298FE4" w:rsidR="00187485" w:rsidRPr="00187485" w:rsidRDefault="00187485" w:rsidP="00187485">
                    <w:pPr>
                      <w:spacing w:after="0"/>
                      <w:rPr>
                        <w:rFonts w:ascii="Calibri" w:eastAsia="Calibri" w:hAnsi="Calibri" w:cs="Calibri"/>
                        <w:noProof/>
                        <w:color w:val="000000"/>
                      </w:rPr>
                    </w:pPr>
                    <w:r w:rsidRPr="00187485">
                      <w:rPr>
                        <w:rFonts w:ascii="Calibri" w:eastAsia="Calibri" w:hAnsi="Calibri" w:cs="Calibri"/>
                        <w:noProof/>
                        <w:color w:val="00000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3A5EA" w14:textId="77777777" w:rsidR="00180DCF" w:rsidRDefault="00180DCF" w:rsidP="00180DCF">
      <w:pPr>
        <w:spacing w:after="0" w:line="240" w:lineRule="auto"/>
      </w:pPr>
      <w:r>
        <w:separator/>
      </w:r>
    </w:p>
  </w:footnote>
  <w:footnote w:type="continuationSeparator" w:id="0">
    <w:p w14:paraId="6C50C076" w14:textId="77777777" w:rsidR="00180DCF" w:rsidRDefault="00180DCF" w:rsidP="00180D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351"/>
    <w:multiLevelType w:val="multilevel"/>
    <w:tmpl w:val="F57A05C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F04C1E"/>
    <w:multiLevelType w:val="multilevel"/>
    <w:tmpl w:val="24D2E18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24F32D7F"/>
    <w:multiLevelType w:val="hybridMultilevel"/>
    <w:tmpl w:val="011CFD94"/>
    <w:lvl w:ilvl="0" w:tplc="02A6D496">
      <w:numFmt w:val="bullet"/>
      <w:lvlText w:val="-"/>
      <w:lvlJc w:val="left"/>
      <w:pPr>
        <w:ind w:left="1800" w:hanging="360"/>
      </w:pPr>
      <w:rPr>
        <w:rFonts w:ascii="Aptos" w:eastAsiaTheme="minorHAnsi" w:hAnsi="Aptos"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61B0F0A"/>
    <w:multiLevelType w:val="multilevel"/>
    <w:tmpl w:val="6EBE0DF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216444E"/>
    <w:multiLevelType w:val="hybridMultilevel"/>
    <w:tmpl w:val="2DEAC1E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603EB2"/>
    <w:multiLevelType w:val="multilevel"/>
    <w:tmpl w:val="F386F5D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3812571"/>
    <w:multiLevelType w:val="hybridMultilevel"/>
    <w:tmpl w:val="4CF83BE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D57BD7"/>
    <w:multiLevelType w:val="hybridMultilevel"/>
    <w:tmpl w:val="6AE07B1C"/>
    <w:lvl w:ilvl="0" w:tplc="08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0C6100"/>
    <w:multiLevelType w:val="multilevel"/>
    <w:tmpl w:val="1AAED7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7007E3"/>
    <w:multiLevelType w:val="multilevel"/>
    <w:tmpl w:val="76367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B2E2D5C"/>
    <w:multiLevelType w:val="multilevel"/>
    <w:tmpl w:val="9C6C72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AA6205"/>
    <w:multiLevelType w:val="hybridMultilevel"/>
    <w:tmpl w:val="578E7850"/>
    <w:lvl w:ilvl="0" w:tplc="02A6D496">
      <w:numFmt w:val="bullet"/>
      <w:lvlText w:val="-"/>
      <w:lvlJc w:val="left"/>
      <w:pPr>
        <w:ind w:left="180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6C2093"/>
    <w:multiLevelType w:val="multilevel"/>
    <w:tmpl w:val="F386F5D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E9A4839"/>
    <w:multiLevelType w:val="hybridMultilevel"/>
    <w:tmpl w:val="EC6446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6023741">
    <w:abstractNumId w:val="10"/>
  </w:num>
  <w:num w:numId="2" w16cid:durableId="170797306">
    <w:abstractNumId w:val="8"/>
  </w:num>
  <w:num w:numId="3" w16cid:durableId="597714106">
    <w:abstractNumId w:val="13"/>
  </w:num>
  <w:num w:numId="4" w16cid:durableId="17004755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482513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515075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853058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3059382">
    <w:abstractNumId w:val="12"/>
  </w:num>
  <w:num w:numId="9" w16cid:durableId="915669228">
    <w:abstractNumId w:val="1"/>
  </w:num>
  <w:num w:numId="10" w16cid:durableId="521088052">
    <w:abstractNumId w:val="2"/>
  </w:num>
  <w:num w:numId="11" w16cid:durableId="434054372">
    <w:abstractNumId w:val="11"/>
  </w:num>
  <w:num w:numId="12" w16cid:durableId="1215772539">
    <w:abstractNumId w:val="7"/>
  </w:num>
  <w:num w:numId="13" w16cid:durableId="746879158">
    <w:abstractNumId w:val="6"/>
  </w:num>
  <w:num w:numId="14" w16cid:durableId="1830096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A66"/>
    <w:rsid w:val="0000046C"/>
    <w:rsid w:val="00006CF8"/>
    <w:rsid w:val="00025317"/>
    <w:rsid w:val="00043063"/>
    <w:rsid w:val="00051C39"/>
    <w:rsid w:val="00063EE0"/>
    <w:rsid w:val="00063FD2"/>
    <w:rsid w:val="00067991"/>
    <w:rsid w:val="000743C7"/>
    <w:rsid w:val="000832CC"/>
    <w:rsid w:val="000906F9"/>
    <w:rsid w:val="00097E0F"/>
    <w:rsid w:val="000B0A7F"/>
    <w:rsid w:val="000C1B87"/>
    <w:rsid w:val="000C356E"/>
    <w:rsid w:val="000C38CB"/>
    <w:rsid w:val="000C4AC6"/>
    <w:rsid w:val="000E3250"/>
    <w:rsid w:val="000F0F63"/>
    <w:rsid w:val="001012C9"/>
    <w:rsid w:val="00134E7A"/>
    <w:rsid w:val="001752A2"/>
    <w:rsid w:val="00180DCF"/>
    <w:rsid w:val="001842C6"/>
    <w:rsid w:val="00187485"/>
    <w:rsid w:val="00187853"/>
    <w:rsid w:val="00191FEA"/>
    <w:rsid w:val="001A4F3E"/>
    <w:rsid w:val="001B1A6D"/>
    <w:rsid w:val="001D5564"/>
    <w:rsid w:val="001D61B8"/>
    <w:rsid w:val="001E4F38"/>
    <w:rsid w:val="002010B3"/>
    <w:rsid w:val="0021720E"/>
    <w:rsid w:val="002201DA"/>
    <w:rsid w:val="00221EB5"/>
    <w:rsid w:val="00236F49"/>
    <w:rsid w:val="0025165A"/>
    <w:rsid w:val="00252799"/>
    <w:rsid w:val="0025615F"/>
    <w:rsid w:val="0027426B"/>
    <w:rsid w:val="00287088"/>
    <w:rsid w:val="00295A43"/>
    <w:rsid w:val="00297652"/>
    <w:rsid w:val="002A4C42"/>
    <w:rsid w:val="002B13C4"/>
    <w:rsid w:val="002B3C7F"/>
    <w:rsid w:val="002D14EB"/>
    <w:rsid w:val="002F5E84"/>
    <w:rsid w:val="0030451A"/>
    <w:rsid w:val="00313EAE"/>
    <w:rsid w:val="0032443B"/>
    <w:rsid w:val="003308BB"/>
    <w:rsid w:val="003311F8"/>
    <w:rsid w:val="003404D5"/>
    <w:rsid w:val="00363E48"/>
    <w:rsid w:val="00370A29"/>
    <w:rsid w:val="0037346C"/>
    <w:rsid w:val="00375763"/>
    <w:rsid w:val="003A599B"/>
    <w:rsid w:val="003A7ED7"/>
    <w:rsid w:val="003C0855"/>
    <w:rsid w:val="003E59AC"/>
    <w:rsid w:val="003F25B0"/>
    <w:rsid w:val="0040330F"/>
    <w:rsid w:val="00403E70"/>
    <w:rsid w:val="004064CA"/>
    <w:rsid w:val="0041134C"/>
    <w:rsid w:val="00420FAF"/>
    <w:rsid w:val="004234A1"/>
    <w:rsid w:val="00435104"/>
    <w:rsid w:val="00443761"/>
    <w:rsid w:val="00452426"/>
    <w:rsid w:val="00471C1D"/>
    <w:rsid w:val="00475F38"/>
    <w:rsid w:val="00481A4E"/>
    <w:rsid w:val="00496D0C"/>
    <w:rsid w:val="004A6CB7"/>
    <w:rsid w:val="004B5D4B"/>
    <w:rsid w:val="004C02F1"/>
    <w:rsid w:val="004D457A"/>
    <w:rsid w:val="004E2A31"/>
    <w:rsid w:val="004F1F93"/>
    <w:rsid w:val="005063D2"/>
    <w:rsid w:val="0053369F"/>
    <w:rsid w:val="005436F7"/>
    <w:rsid w:val="005502CF"/>
    <w:rsid w:val="00550F9F"/>
    <w:rsid w:val="005614C1"/>
    <w:rsid w:val="00593EC0"/>
    <w:rsid w:val="00594772"/>
    <w:rsid w:val="005B1DF0"/>
    <w:rsid w:val="005C1E5E"/>
    <w:rsid w:val="005C499B"/>
    <w:rsid w:val="005D17C3"/>
    <w:rsid w:val="005E3EC9"/>
    <w:rsid w:val="006030C1"/>
    <w:rsid w:val="006068C0"/>
    <w:rsid w:val="00647E05"/>
    <w:rsid w:val="00657195"/>
    <w:rsid w:val="00661968"/>
    <w:rsid w:val="0066326E"/>
    <w:rsid w:val="006645BF"/>
    <w:rsid w:val="0068543E"/>
    <w:rsid w:val="00687355"/>
    <w:rsid w:val="0069549E"/>
    <w:rsid w:val="006A3611"/>
    <w:rsid w:val="006A548F"/>
    <w:rsid w:val="006A69C9"/>
    <w:rsid w:val="006A6FD4"/>
    <w:rsid w:val="006B114E"/>
    <w:rsid w:val="006B3489"/>
    <w:rsid w:val="006C4C1A"/>
    <w:rsid w:val="006C5EE4"/>
    <w:rsid w:val="006C71D8"/>
    <w:rsid w:val="006D1935"/>
    <w:rsid w:val="00701B3F"/>
    <w:rsid w:val="0073125C"/>
    <w:rsid w:val="007343A1"/>
    <w:rsid w:val="007701B7"/>
    <w:rsid w:val="00773697"/>
    <w:rsid w:val="00794C0F"/>
    <w:rsid w:val="007A15E4"/>
    <w:rsid w:val="007E4DA9"/>
    <w:rsid w:val="007E7598"/>
    <w:rsid w:val="007F4C97"/>
    <w:rsid w:val="007F577C"/>
    <w:rsid w:val="008005BD"/>
    <w:rsid w:val="008200B5"/>
    <w:rsid w:val="00820D28"/>
    <w:rsid w:val="00822EDA"/>
    <w:rsid w:val="0082778C"/>
    <w:rsid w:val="00831421"/>
    <w:rsid w:val="0085686F"/>
    <w:rsid w:val="00856E0B"/>
    <w:rsid w:val="008621E6"/>
    <w:rsid w:val="00862933"/>
    <w:rsid w:val="00875B9F"/>
    <w:rsid w:val="00880C27"/>
    <w:rsid w:val="008A5414"/>
    <w:rsid w:val="008B3FB4"/>
    <w:rsid w:val="008C643C"/>
    <w:rsid w:val="008E4D7F"/>
    <w:rsid w:val="008F2EB9"/>
    <w:rsid w:val="00901F9A"/>
    <w:rsid w:val="00903152"/>
    <w:rsid w:val="00904869"/>
    <w:rsid w:val="009349FE"/>
    <w:rsid w:val="00953341"/>
    <w:rsid w:val="00974FD3"/>
    <w:rsid w:val="00975C36"/>
    <w:rsid w:val="009875AA"/>
    <w:rsid w:val="009A3D58"/>
    <w:rsid w:val="009D023B"/>
    <w:rsid w:val="009D143F"/>
    <w:rsid w:val="009E44CB"/>
    <w:rsid w:val="009E7A24"/>
    <w:rsid w:val="009F06A5"/>
    <w:rsid w:val="009F12CB"/>
    <w:rsid w:val="00A0193E"/>
    <w:rsid w:val="00A27892"/>
    <w:rsid w:val="00A361C4"/>
    <w:rsid w:val="00A45470"/>
    <w:rsid w:val="00A64FBF"/>
    <w:rsid w:val="00A728E6"/>
    <w:rsid w:val="00AA1088"/>
    <w:rsid w:val="00AA219D"/>
    <w:rsid w:val="00AA4C0B"/>
    <w:rsid w:val="00AB6F5E"/>
    <w:rsid w:val="00AC0ACA"/>
    <w:rsid w:val="00AC1AD6"/>
    <w:rsid w:val="00AC5E32"/>
    <w:rsid w:val="00AE1A86"/>
    <w:rsid w:val="00AE592D"/>
    <w:rsid w:val="00AF7210"/>
    <w:rsid w:val="00B05D35"/>
    <w:rsid w:val="00B11713"/>
    <w:rsid w:val="00B1669B"/>
    <w:rsid w:val="00B271C2"/>
    <w:rsid w:val="00B27507"/>
    <w:rsid w:val="00B63A66"/>
    <w:rsid w:val="00B719FA"/>
    <w:rsid w:val="00B837AE"/>
    <w:rsid w:val="00BC7950"/>
    <w:rsid w:val="00BE2AF3"/>
    <w:rsid w:val="00BE3FC2"/>
    <w:rsid w:val="00C15C39"/>
    <w:rsid w:val="00C233DE"/>
    <w:rsid w:val="00C2433A"/>
    <w:rsid w:val="00C328E0"/>
    <w:rsid w:val="00C34B02"/>
    <w:rsid w:val="00C61624"/>
    <w:rsid w:val="00C67CBE"/>
    <w:rsid w:val="00C70512"/>
    <w:rsid w:val="00C73BA6"/>
    <w:rsid w:val="00C74962"/>
    <w:rsid w:val="00C9376A"/>
    <w:rsid w:val="00CA158E"/>
    <w:rsid w:val="00CC0955"/>
    <w:rsid w:val="00CC2637"/>
    <w:rsid w:val="00CF2331"/>
    <w:rsid w:val="00CF70C6"/>
    <w:rsid w:val="00D009D1"/>
    <w:rsid w:val="00D0125C"/>
    <w:rsid w:val="00D13ED8"/>
    <w:rsid w:val="00D25C0A"/>
    <w:rsid w:val="00D36669"/>
    <w:rsid w:val="00D45CA2"/>
    <w:rsid w:val="00D52D41"/>
    <w:rsid w:val="00D65B2D"/>
    <w:rsid w:val="00D7534A"/>
    <w:rsid w:val="00D775A8"/>
    <w:rsid w:val="00D8745E"/>
    <w:rsid w:val="00D9348B"/>
    <w:rsid w:val="00D96167"/>
    <w:rsid w:val="00DC03AB"/>
    <w:rsid w:val="00DC6008"/>
    <w:rsid w:val="00DE16BD"/>
    <w:rsid w:val="00DE1CDE"/>
    <w:rsid w:val="00DE31DE"/>
    <w:rsid w:val="00DF27E5"/>
    <w:rsid w:val="00DF4F4B"/>
    <w:rsid w:val="00E11355"/>
    <w:rsid w:val="00E15E43"/>
    <w:rsid w:val="00E31A93"/>
    <w:rsid w:val="00E466CC"/>
    <w:rsid w:val="00E472E0"/>
    <w:rsid w:val="00E541CE"/>
    <w:rsid w:val="00E718A9"/>
    <w:rsid w:val="00E75CA0"/>
    <w:rsid w:val="00E7641A"/>
    <w:rsid w:val="00E8364F"/>
    <w:rsid w:val="00E85C20"/>
    <w:rsid w:val="00E92292"/>
    <w:rsid w:val="00E9624D"/>
    <w:rsid w:val="00EA132A"/>
    <w:rsid w:val="00EA2D2A"/>
    <w:rsid w:val="00EA7188"/>
    <w:rsid w:val="00EB5555"/>
    <w:rsid w:val="00EC3FB0"/>
    <w:rsid w:val="00EC59B8"/>
    <w:rsid w:val="00EE06E0"/>
    <w:rsid w:val="00EF356E"/>
    <w:rsid w:val="00EF6906"/>
    <w:rsid w:val="00F1575F"/>
    <w:rsid w:val="00F254F1"/>
    <w:rsid w:val="00F25F15"/>
    <w:rsid w:val="00F54D3A"/>
    <w:rsid w:val="00FA3A1E"/>
    <w:rsid w:val="00FA5FB0"/>
    <w:rsid w:val="00FD3C1C"/>
    <w:rsid w:val="00FE3D48"/>
    <w:rsid w:val="00FF5A1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FD377"/>
  <w15:chartTrackingRefBased/>
  <w15:docId w15:val="{6763E637-5A37-4FE5-9886-7B30D394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DF0"/>
  </w:style>
  <w:style w:type="paragraph" w:styleId="Heading1">
    <w:name w:val="heading 1"/>
    <w:basedOn w:val="Normal"/>
    <w:next w:val="Normal"/>
    <w:link w:val="Heading1Char"/>
    <w:uiPriority w:val="9"/>
    <w:qFormat/>
    <w:rsid w:val="00B63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3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3A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3A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3A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3A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3A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3A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3A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A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3A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3A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3A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3A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3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3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3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3A66"/>
    <w:rPr>
      <w:rFonts w:eastAsiaTheme="majorEastAsia" w:cstheme="majorBidi"/>
      <w:color w:val="272727" w:themeColor="text1" w:themeTint="D8"/>
    </w:rPr>
  </w:style>
  <w:style w:type="paragraph" w:styleId="Title">
    <w:name w:val="Title"/>
    <w:basedOn w:val="Normal"/>
    <w:next w:val="Normal"/>
    <w:link w:val="TitleChar"/>
    <w:uiPriority w:val="10"/>
    <w:qFormat/>
    <w:rsid w:val="00B63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3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3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3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A66"/>
    <w:pPr>
      <w:spacing w:before="160"/>
      <w:jc w:val="center"/>
    </w:pPr>
    <w:rPr>
      <w:i/>
      <w:iCs/>
      <w:color w:val="404040" w:themeColor="text1" w:themeTint="BF"/>
    </w:rPr>
  </w:style>
  <w:style w:type="character" w:customStyle="1" w:styleId="QuoteChar">
    <w:name w:val="Quote Char"/>
    <w:basedOn w:val="DefaultParagraphFont"/>
    <w:link w:val="Quote"/>
    <w:uiPriority w:val="29"/>
    <w:rsid w:val="00B63A66"/>
    <w:rPr>
      <w:i/>
      <w:iCs/>
      <w:color w:val="404040" w:themeColor="text1" w:themeTint="BF"/>
    </w:rPr>
  </w:style>
  <w:style w:type="paragraph" w:styleId="ListParagraph">
    <w:name w:val="List Paragraph"/>
    <w:basedOn w:val="Normal"/>
    <w:uiPriority w:val="34"/>
    <w:qFormat/>
    <w:rsid w:val="00B63A66"/>
    <w:pPr>
      <w:ind w:left="720"/>
      <w:contextualSpacing/>
    </w:pPr>
  </w:style>
  <w:style w:type="character" w:styleId="IntenseEmphasis">
    <w:name w:val="Intense Emphasis"/>
    <w:basedOn w:val="DefaultParagraphFont"/>
    <w:uiPriority w:val="21"/>
    <w:qFormat/>
    <w:rsid w:val="00B63A66"/>
    <w:rPr>
      <w:i/>
      <w:iCs/>
      <w:color w:val="0F4761" w:themeColor="accent1" w:themeShade="BF"/>
    </w:rPr>
  </w:style>
  <w:style w:type="paragraph" w:styleId="IntenseQuote">
    <w:name w:val="Intense Quote"/>
    <w:basedOn w:val="Normal"/>
    <w:next w:val="Normal"/>
    <w:link w:val="IntenseQuoteChar"/>
    <w:uiPriority w:val="30"/>
    <w:qFormat/>
    <w:rsid w:val="00B63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3A66"/>
    <w:rPr>
      <w:i/>
      <w:iCs/>
      <w:color w:val="0F4761" w:themeColor="accent1" w:themeShade="BF"/>
    </w:rPr>
  </w:style>
  <w:style w:type="character" w:styleId="IntenseReference">
    <w:name w:val="Intense Reference"/>
    <w:basedOn w:val="DefaultParagraphFont"/>
    <w:uiPriority w:val="32"/>
    <w:qFormat/>
    <w:rsid w:val="00B63A66"/>
    <w:rPr>
      <w:b/>
      <w:bCs/>
      <w:smallCaps/>
      <w:color w:val="0F4761" w:themeColor="accent1" w:themeShade="BF"/>
      <w:spacing w:val="5"/>
    </w:rPr>
  </w:style>
  <w:style w:type="paragraph" w:styleId="Footer">
    <w:name w:val="footer"/>
    <w:basedOn w:val="Normal"/>
    <w:link w:val="FooterChar"/>
    <w:uiPriority w:val="99"/>
    <w:unhideWhenUsed/>
    <w:rsid w:val="00180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0DCF"/>
  </w:style>
  <w:style w:type="character" w:styleId="Hyperlink">
    <w:name w:val="Hyperlink"/>
    <w:basedOn w:val="DefaultParagraphFont"/>
    <w:uiPriority w:val="99"/>
    <w:unhideWhenUsed/>
    <w:rsid w:val="00180DCF"/>
    <w:rPr>
      <w:color w:val="467886" w:themeColor="hyperlink"/>
      <w:u w:val="single"/>
    </w:rPr>
  </w:style>
  <w:style w:type="character" w:styleId="UnresolvedMention">
    <w:name w:val="Unresolved Mention"/>
    <w:basedOn w:val="DefaultParagraphFont"/>
    <w:uiPriority w:val="99"/>
    <w:semiHidden/>
    <w:unhideWhenUsed/>
    <w:rsid w:val="00180DCF"/>
    <w:rPr>
      <w:color w:val="605E5C"/>
      <w:shd w:val="clear" w:color="auto" w:fill="E1DFDD"/>
    </w:rPr>
  </w:style>
  <w:style w:type="paragraph" w:styleId="Header">
    <w:name w:val="header"/>
    <w:basedOn w:val="Normal"/>
    <w:link w:val="HeaderChar"/>
    <w:uiPriority w:val="99"/>
    <w:semiHidden/>
    <w:unhideWhenUsed/>
    <w:rsid w:val="0018748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87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05991da-cd9d-47db-a4d4-5f0fbf5590fa}" enabled="1" method="Privileged" siteId="{020da884-0f7e-4ca2-9c8e-05b0ccbd0d38}"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Lutterodt-Coleman</dc:creator>
  <cp:keywords/>
  <dc:description/>
  <cp:lastModifiedBy>David Lutterodt-Coleman</cp:lastModifiedBy>
  <cp:revision>2</cp:revision>
  <dcterms:created xsi:type="dcterms:W3CDTF">2025-09-04T15:07:00Z</dcterms:created>
  <dcterms:modified xsi:type="dcterms:W3CDTF">2025-09-04T15:07:00Z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185d1418,41bdcda7,1f2e4edd</vt:lpwstr>
  </property>
  <property fmtid="{D5CDD505-2E9C-101B-9397-08002B2CF9AE}" pid="3" name="ClassificationContentMarkingFooterFontProps">
    <vt:lpwstr>#000000,12,Calibri</vt:lpwstr>
  </property>
  <property fmtid="{D5CDD505-2E9C-101B-9397-08002B2CF9AE}" pid="4" name="ClassificationContentMarkingFooterText">
    <vt:lpwstr>Public</vt:lpwstr>
  </property>
</Properties>
</file>