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96329E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96329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52AE323F" w:rsidR="00CA4BA2" w:rsidRPr="00104F61" w:rsidRDefault="00BA456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04F61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 w:rsidTr="00104F61">
        <w:trPr>
          <w:trHeight w:val="445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36B61C0F" w:rsidR="00CA4BA2" w:rsidRPr="00EA529F" w:rsidRDefault="00104F6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04F61">
              <w:rPr>
                <w:rFonts w:ascii="Arial" w:hAnsi="Arial" w:cs="Arial"/>
                <w:iCs/>
                <w:sz w:val="18"/>
                <w:szCs w:val="18"/>
              </w:rPr>
              <w:t>Natural England acting as part of the Department for Environment, Food and Rural Affairs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422371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22371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154CEB86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73FDFBCC" w14:textId="77777777" w:rsidR="00263B94" w:rsidRDefault="00263B94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62C6B9" w14:textId="54EF1B7A" w:rsidR="007E7D58" w:rsidRPr="00B46D37" w:rsidRDefault="005C560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5608">
              <w:rPr>
                <w:rFonts w:ascii="Arial" w:hAnsi="Arial" w:cs="Arial"/>
                <w:iCs/>
                <w:sz w:val="18"/>
                <w:szCs w:val="18"/>
              </w:rPr>
              <w:t>Natural England acting as part of the Department for Environment, Food and Rural Affairs</w:t>
            </w:r>
            <w:r w:rsidRPr="005C5608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624F6D">
        <w:trPr>
          <w:trHeight w:val="769"/>
        </w:trPr>
        <w:tc>
          <w:tcPr>
            <w:tcW w:w="1413" w:type="pct"/>
            <w:vMerge w:val="restart"/>
          </w:tcPr>
          <w:p w14:paraId="3B2CC37B" w14:textId="4B3C5A05" w:rsidR="007E7D58" w:rsidRPr="00CB2DE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B2D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177C10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89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624F6D">
        <w:trPr>
          <w:trHeight w:val="210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6A12FF29" w:rsidR="007E7D58" w:rsidRPr="00B46D37" w:rsidRDefault="00624F6D" w:rsidP="00624F6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6D69F334" w14:textId="77777777" w:rsidR="007839CA" w:rsidRPr="00CB2DE4" w:rsidRDefault="007839CA" w:rsidP="007839CA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B2DE4">
              <w:rPr>
                <w:rFonts w:ascii="Arial" w:hAnsi="Arial" w:cs="Arial"/>
                <w:sz w:val="18"/>
                <w:szCs w:val="18"/>
              </w:rPr>
              <w:t>Working closely with NE project lead (Adam Waugh) this data will be analysed using Natural Capital-based approaches. The supplier will define and test a framework for assessing the ecosystem, societal and cultural services [cumulatively identified here as ES] provided by inshore fish communities using the data captured during the 2024 sampling programme (as explained above). Additional data resources identified by NE may also be included in the desk-based study, within the limitations of the project resources and timing, to be discussed with successful contractor during the initiation of project.</w:t>
            </w:r>
          </w:p>
          <w:p w14:paraId="14A4104C" w14:textId="77777777" w:rsidR="007839CA" w:rsidRPr="00CB2DE4" w:rsidRDefault="007839CA" w:rsidP="007839CA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B2DE4">
              <w:rPr>
                <w:rFonts w:ascii="Arial" w:hAnsi="Arial" w:cs="Arial"/>
                <w:sz w:val="18"/>
                <w:szCs w:val="18"/>
              </w:rPr>
              <w:t>Objectives:</w:t>
            </w:r>
          </w:p>
          <w:p w14:paraId="7511F791" w14:textId="77777777" w:rsidR="007839CA" w:rsidRPr="00CB2DE4" w:rsidRDefault="007839CA" w:rsidP="007839CA">
            <w:pPr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B2DE4">
              <w:rPr>
                <w:rFonts w:ascii="Arial" w:hAnsi="Arial" w:cs="Arial"/>
                <w:sz w:val="18"/>
                <w:szCs w:val="18"/>
              </w:rPr>
              <w:t>To delineate the generic framework for the ES assessment focussing on non-monetary values (no economic valuations required).</w:t>
            </w:r>
          </w:p>
          <w:p w14:paraId="4D536C36" w14:textId="77777777" w:rsidR="007839CA" w:rsidRPr="00CB2DE4" w:rsidRDefault="007839CA" w:rsidP="007839CA">
            <w:pPr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B2DE4">
              <w:rPr>
                <w:rFonts w:ascii="Arial" w:hAnsi="Arial" w:cs="Arial"/>
                <w:sz w:val="18"/>
                <w:szCs w:val="18"/>
              </w:rPr>
              <w:t xml:space="preserve">To test it using data from a once-annual multi-method fish sampling programme undertaken in geographically disparate locations, and </w:t>
            </w:r>
            <w:proofErr w:type="gramStart"/>
            <w:r w:rsidRPr="00CB2DE4">
              <w:rPr>
                <w:rFonts w:ascii="Arial" w:hAnsi="Arial" w:cs="Arial"/>
                <w:sz w:val="18"/>
                <w:szCs w:val="18"/>
              </w:rPr>
              <w:t>in particular to</w:t>
            </w:r>
            <w:proofErr w:type="gramEnd"/>
            <w:r w:rsidRPr="00CB2DE4">
              <w:rPr>
                <w:rFonts w:ascii="Arial" w:hAnsi="Arial" w:cs="Arial"/>
                <w:sz w:val="18"/>
                <w:szCs w:val="18"/>
              </w:rPr>
              <w:t xml:space="preserve"> assess:</w:t>
            </w:r>
          </w:p>
          <w:p w14:paraId="146B3B3F" w14:textId="77777777" w:rsidR="007839CA" w:rsidRPr="00CB2DE4" w:rsidRDefault="007839CA" w:rsidP="007839CA">
            <w:pPr>
              <w:numPr>
                <w:ilvl w:val="1"/>
                <w:numId w:val="14"/>
              </w:numPr>
              <w:spacing w:after="160" w:line="259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2DE4">
              <w:rPr>
                <w:rFonts w:ascii="Arial" w:hAnsi="Arial" w:cs="Arial"/>
                <w:sz w:val="18"/>
                <w:szCs w:val="18"/>
              </w:rPr>
              <w:t>How effective the different fish sampling methods are in providing data to feed into the framework and assess different ESs.</w:t>
            </w:r>
          </w:p>
          <w:p w14:paraId="70CC9B61" w14:textId="77777777" w:rsidR="007839CA" w:rsidRPr="00CB2DE4" w:rsidRDefault="007839CA" w:rsidP="007839CA">
            <w:pPr>
              <w:numPr>
                <w:ilvl w:val="1"/>
                <w:numId w:val="14"/>
              </w:numPr>
              <w:spacing w:after="160" w:line="259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2DE4">
              <w:rPr>
                <w:rFonts w:ascii="Arial" w:hAnsi="Arial" w:cs="Arial"/>
                <w:sz w:val="18"/>
                <w:szCs w:val="18"/>
              </w:rPr>
              <w:t xml:space="preserve">Whether fish-dependent ES assessment (based on the assessment of the fish communities and </w:t>
            </w:r>
            <w:r w:rsidRPr="00CB2DE4">
              <w:rPr>
                <w:rFonts w:ascii="Arial" w:hAnsi="Arial" w:cs="Arial"/>
                <w:sz w:val="18"/>
                <w:szCs w:val="18"/>
              </w:rPr>
              <w:lastRenderedPageBreak/>
              <w:t xml:space="preserve">guilds that are relevant to the different ESs in an area is in agreement with fish-independent ES assessment (based on established habitat matrix approach; e.g. </w:t>
            </w:r>
            <w:hyperlink r:id="rId14" w:history="1">
              <w:r w:rsidRPr="00CB2DE4">
                <w:rPr>
                  <w:rStyle w:val="Hyperlink"/>
                  <w:rFonts w:ascii="Arial" w:hAnsi="Arial" w:cs="Arial"/>
                  <w:sz w:val="18"/>
                  <w:szCs w:val="18"/>
                </w:rPr>
                <w:t>Potts et al. 2014</w:t>
              </w:r>
            </w:hyperlink>
            <w:r w:rsidRPr="00CB2DE4">
              <w:rPr>
                <w:rFonts w:ascii="Arial" w:hAnsi="Arial" w:cs="Arial"/>
                <w:sz w:val="18"/>
                <w:szCs w:val="18"/>
              </w:rPr>
              <w:t>) and if that may inform on performance of a habitat/area</w:t>
            </w:r>
            <w:r w:rsidRPr="00CB2DE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7471BA9E" w14:textId="77777777" w:rsidR="007839CA" w:rsidRPr="00CB2DE4" w:rsidRDefault="007839CA" w:rsidP="007839CA">
            <w:pPr>
              <w:numPr>
                <w:ilvl w:val="1"/>
                <w:numId w:val="14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B2DE4">
              <w:rPr>
                <w:rFonts w:ascii="Arial" w:hAnsi="Arial" w:cs="Arial"/>
                <w:sz w:val="18"/>
                <w:szCs w:val="18"/>
              </w:rPr>
              <w:t>Whether the assessment can move from qualitative to quantitative (e.g., based on % species in the community delivering the ES, abundance etc)</w:t>
            </w:r>
          </w:p>
          <w:p w14:paraId="4A112C45" w14:textId="77777777" w:rsidR="007839CA" w:rsidRPr="00CB2DE4" w:rsidRDefault="007839CA" w:rsidP="007839CA">
            <w:pPr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B2DE4">
              <w:rPr>
                <w:rFonts w:ascii="Arial" w:hAnsi="Arial" w:cs="Arial"/>
                <w:sz w:val="18"/>
                <w:szCs w:val="18"/>
              </w:rPr>
              <w:t xml:space="preserve">Discuss the results also </w:t>
            </w:r>
            <w:proofErr w:type="gramStart"/>
            <w:r w:rsidRPr="00CB2DE4">
              <w:rPr>
                <w:rFonts w:ascii="Arial" w:hAnsi="Arial" w:cs="Arial"/>
                <w:sz w:val="18"/>
                <w:szCs w:val="18"/>
              </w:rPr>
              <w:t>in light of</w:t>
            </w:r>
            <w:proofErr w:type="gramEnd"/>
            <w:r w:rsidRPr="00CB2DE4">
              <w:rPr>
                <w:rFonts w:ascii="Arial" w:hAnsi="Arial" w:cs="Arial"/>
                <w:sz w:val="18"/>
                <w:szCs w:val="18"/>
              </w:rPr>
              <w:t xml:space="preserve"> how the predicted changes to the inshore environment (e.g. climate change) are likely to impact upon the value of the communities present and what trade-offs are likely to occur.</w:t>
            </w:r>
          </w:p>
          <w:p w14:paraId="0FDC2A10" w14:textId="77777777" w:rsidR="007839CA" w:rsidRPr="00CB2DE4" w:rsidRDefault="007839CA" w:rsidP="007839CA">
            <w:pPr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B2DE4">
              <w:rPr>
                <w:rFonts w:ascii="Arial" w:hAnsi="Arial" w:cs="Arial"/>
                <w:sz w:val="18"/>
                <w:szCs w:val="18"/>
              </w:rPr>
              <w:t>Provide recommendations on data/methods limitations and needs for natural capital assessment.</w:t>
            </w:r>
          </w:p>
          <w:p w14:paraId="0C4656DF" w14:textId="77777777" w:rsidR="007839CA" w:rsidRPr="00CB2DE4" w:rsidRDefault="007839CA" w:rsidP="007839CA">
            <w:pPr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B2DE4">
              <w:rPr>
                <w:rFonts w:ascii="Arial" w:hAnsi="Arial" w:cs="Arial"/>
                <w:sz w:val="18"/>
                <w:szCs w:val="18"/>
              </w:rPr>
              <w:t>Provide key recommendations for Natural England-led monitoring and analysis approaches to secure ES-based future approaches to support NE’s key aims &amp; objectives.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5A6E75">
        <w:trPr>
          <w:trHeight w:val="299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</w:tcPr>
          <w:p w14:paraId="37E6BF23" w14:textId="15C9573E" w:rsidR="007E7D58" w:rsidRPr="00B46D37" w:rsidRDefault="0081508A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81508A">
              <w:rPr>
                <w:rFonts w:ascii="Arial" w:eastAsia="Arial" w:hAnsi="Arial" w:cs="Arial"/>
                <w:i/>
                <w:sz w:val="18"/>
                <w:szCs w:val="18"/>
              </w:rPr>
              <w:t>12/09/2025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1D5BC5D7" w:rsidR="007E7D58" w:rsidRPr="00B46D37" w:rsidRDefault="005A6E75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A6E75">
              <w:rPr>
                <w:rFonts w:ascii="Arial" w:eastAsia="Arial" w:hAnsi="Arial" w:cs="Arial"/>
                <w:i/>
                <w:sz w:val="18"/>
                <w:szCs w:val="18"/>
              </w:rPr>
              <w:t>31/03/2025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5A6E7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Charges</w:t>
            </w:r>
            <w:bookmarkEnd w:id="0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3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D1157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</w:tcPr>
          <w:p w14:paraId="58052F16" w14:textId="50421509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DE4F91" w:rsidRPr="00D11571">
              <w:rPr>
                <w:rFonts w:ascii="Arial" w:hAnsi="Arial" w:cs="Arial"/>
                <w:sz w:val="18"/>
                <w:szCs w:val="18"/>
              </w:rPr>
              <w:t>in pounds by BACS transfer using the details provided by the supplier on submission of a compliant invoice.]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5C00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Contractor’s Liability </w:t>
            </w:r>
            <w:r w:rsidR="001F7939" w:rsidRPr="005C00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Cap </w:t>
            </w:r>
            <w:r w:rsidR="00622BBD" w:rsidRPr="005C00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58CD9BD9" w14:textId="41FAF92D" w:rsidR="00DD176F" w:rsidRPr="00B46D37" w:rsidRDefault="009179C1" w:rsidP="005C004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C004E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Optional Intellectual </w:t>
            </w:r>
            <w:r w:rsidRPr="00B308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Property Rights</w:t>
            </w:r>
            <w:bookmarkEnd w:id="1"/>
            <w:r w:rsidRPr="00B308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</w:tcPr>
          <w:p w14:paraId="1CDDAEEC" w14:textId="430A1A0E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4B432F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421A3F3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Progress </w:t>
            </w:r>
            <w:r w:rsidRPr="00B308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Meetings and Progress Reports</w:t>
            </w:r>
            <w:bookmarkEnd w:id="8"/>
          </w:p>
        </w:tc>
        <w:tc>
          <w:tcPr>
            <w:tcW w:w="3587" w:type="pct"/>
            <w:gridSpan w:val="2"/>
          </w:tcPr>
          <w:p w14:paraId="644703CA" w14:textId="274D2CF0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B30866">
              <w:rPr>
                <w:rFonts w:ascii="Arial" w:eastAsia="Arial" w:hAnsi="Arial" w:cs="Arial"/>
                <w:color w:val="000000"/>
                <w:sz w:val="18"/>
                <w:szCs w:val="18"/>
              </w:rPr>
              <w:t>one month</w:t>
            </w:r>
          </w:p>
          <w:p w14:paraId="4AC4472A" w14:textId="042AF416" w:rsidR="007E7D58" w:rsidRPr="00060369" w:rsidRDefault="007E7D58" w:rsidP="00C145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F62BB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one month. This can be </w:t>
            </w:r>
            <w:r w:rsidR="00C145DE">
              <w:rPr>
                <w:rFonts w:ascii="Arial" w:eastAsia="Arial" w:hAnsi="Arial" w:cs="Arial"/>
                <w:color w:val="000000"/>
                <w:sz w:val="18"/>
                <w:szCs w:val="18"/>
              </w:rPr>
              <w:t>in the form of written meeting notes following the monthly progress meetings.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2F42E93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CAB8E6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F1680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</w:tcPr>
          <w:p w14:paraId="50A5B873" w14:textId="7E8344B3" w:rsidR="007E7D58" w:rsidRPr="00060369" w:rsidRDefault="00F1680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B66E1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</w:tcPr>
          <w:p w14:paraId="471A725E" w14:textId="578D85A1" w:rsidR="007E7D58" w:rsidRPr="00E567F8" w:rsidRDefault="007E7D58" w:rsidP="00B66E16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B66E16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66E16"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632345C" w:rsidR="007E7D58" w:rsidRPr="00060369" w:rsidRDefault="00624585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736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1EE56B59" w:rsidR="007E7D58" w:rsidRPr="007133AE" w:rsidRDefault="007E7D58" w:rsidP="007133A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3A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7348" w14:textId="77777777" w:rsidR="007F0BB0" w:rsidRDefault="007F0BB0" w:rsidP="006D4D44">
      <w:r>
        <w:separator/>
      </w:r>
    </w:p>
  </w:endnote>
  <w:endnote w:type="continuationSeparator" w:id="0">
    <w:p w14:paraId="0BE2EBAE" w14:textId="77777777" w:rsidR="007F0BB0" w:rsidRDefault="007F0BB0" w:rsidP="006D4D44">
      <w:r>
        <w:continuationSeparator/>
      </w:r>
    </w:p>
  </w:endnote>
  <w:endnote w:type="continuationNotice" w:id="1">
    <w:p w14:paraId="6995B644" w14:textId="77777777" w:rsidR="007F0BB0" w:rsidRDefault="007F0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49CA" w14:textId="77777777" w:rsidR="007F0BB0" w:rsidRDefault="007F0BB0" w:rsidP="006D4D44">
      <w:r>
        <w:separator/>
      </w:r>
    </w:p>
  </w:footnote>
  <w:footnote w:type="continuationSeparator" w:id="0">
    <w:p w14:paraId="0F0C2C72" w14:textId="77777777" w:rsidR="007F0BB0" w:rsidRDefault="007F0BB0" w:rsidP="006D4D44">
      <w:r>
        <w:continuationSeparator/>
      </w:r>
    </w:p>
  </w:footnote>
  <w:footnote w:type="continuationNotice" w:id="1">
    <w:p w14:paraId="0375DC96" w14:textId="77777777" w:rsidR="007F0BB0" w:rsidRDefault="007F0B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8465A"/>
    <w:multiLevelType w:val="multilevel"/>
    <w:tmpl w:val="38F0D7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626F7"/>
    <w:multiLevelType w:val="hybridMultilevel"/>
    <w:tmpl w:val="AF40C7D0"/>
    <w:lvl w:ilvl="0" w:tplc="602850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8780C"/>
    <w:multiLevelType w:val="multilevel"/>
    <w:tmpl w:val="5AB8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10"/>
  </w:num>
  <w:num w:numId="2" w16cid:durableId="48959668">
    <w:abstractNumId w:val="5"/>
  </w:num>
  <w:num w:numId="3" w16cid:durableId="1865634184">
    <w:abstractNumId w:val="2"/>
  </w:num>
  <w:num w:numId="4" w16cid:durableId="1817600806">
    <w:abstractNumId w:val="8"/>
  </w:num>
  <w:num w:numId="5" w16cid:durableId="1411125109">
    <w:abstractNumId w:val="1"/>
  </w:num>
  <w:num w:numId="6" w16cid:durableId="1032612986">
    <w:abstractNumId w:val="11"/>
  </w:num>
  <w:num w:numId="7" w16cid:durableId="57559465">
    <w:abstractNumId w:val="13"/>
  </w:num>
  <w:num w:numId="8" w16cid:durableId="1106075539">
    <w:abstractNumId w:val="12"/>
  </w:num>
  <w:num w:numId="9" w16cid:durableId="385764938">
    <w:abstractNumId w:val="0"/>
  </w:num>
  <w:num w:numId="10" w16cid:durableId="1917786695">
    <w:abstractNumId w:val="14"/>
  </w:num>
  <w:num w:numId="11" w16cid:durableId="2083286213">
    <w:abstractNumId w:val="4"/>
  </w:num>
  <w:num w:numId="12" w16cid:durableId="241069624">
    <w:abstractNumId w:val="6"/>
  </w:num>
  <w:num w:numId="13" w16cid:durableId="256331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9212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071061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7360E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4F61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63B94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272B6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E63B3"/>
    <w:rsid w:val="003F2057"/>
    <w:rsid w:val="003F40DF"/>
    <w:rsid w:val="003F7A21"/>
    <w:rsid w:val="004028F1"/>
    <w:rsid w:val="00417BD4"/>
    <w:rsid w:val="0042045B"/>
    <w:rsid w:val="00420833"/>
    <w:rsid w:val="00422371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B432F"/>
    <w:rsid w:val="004C735C"/>
    <w:rsid w:val="004D6A40"/>
    <w:rsid w:val="004E2B1A"/>
    <w:rsid w:val="004E3F6D"/>
    <w:rsid w:val="004E401D"/>
    <w:rsid w:val="00502C2A"/>
    <w:rsid w:val="005270DD"/>
    <w:rsid w:val="005331C6"/>
    <w:rsid w:val="0054662C"/>
    <w:rsid w:val="00560301"/>
    <w:rsid w:val="00561D0A"/>
    <w:rsid w:val="0056575C"/>
    <w:rsid w:val="0056680F"/>
    <w:rsid w:val="00592833"/>
    <w:rsid w:val="005954B9"/>
    <w:rsid w:val="005A6439"/>
    <w:rsid w:val="005A6E75"/>
    <w:rsid w:val="005B1BD6"/>
    <w:rsid w:val="005B7BA0"/>
    <w:rsid w:val="005C004E"/>
    <w:rsid w:val="005C5608"/>
    <w:rsid w:val="005D7E88"/>
    <w:rsid w:val="005E3AB1"/>
    <w:rsid w:val="005F21B0"/>
    <w:rsid w:val="00607C0A"/>
    <w:rsid w:val="00622BBD"/>
    <w:rsid w:val="00624585"/>
    <w:rsid w:val="00624F6D"/>
    <w:rsid w:val="0062693F"/>
    <w:rsid w:val="0064060E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33AE"/>
    <w:rsid w:val="00714685"/>
    <w:rsid w:val="00720A44"/>
    <w:rsid w:val="007368D0"/>
    <w:rsid w:val="00755B7F"/>
    <w:rsid w:val="00775FBA"/>
    <w:rsid w:val="00782853"/>
    <w:rsid w:val="00782BF3"/>
    <w:rsid w:val="007839CA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0BB0"/>
    <w:rsid w:val="007F72FF"/>
    <w:rsid w:val="0081473B"/>
    <w:rsid w:val="0081508A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32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30866"/>
    <w:rsid w:val="00B45454"/>
    <w:rsid w:val="00B462BF"/>
    <w:rsid w:val="00B46D37"/>
    <w:rsid w:val="00B632B0"/>
    <w:rsid w:val="00B66E16"/>
    <w:rsid w:val="00B76B73"/>
    <w:rsid w:val="00BA1A16"/>
    <w:rsid w:val="00BA456E"/>
    <w:rsid w:val="00BB4E1D"/>
    <w:rsid w:val="00BB513D"/>
    <w:rsid w:val="00BC1D50"/>
    <w:rsid w:val="00BC7CC2"/>
    <w:rsid w:val="00BD38E3"/>
    <w:rsid w:val="00BE2155"/>
    <w:rsid w:val="00BE7371"/>
    <w:rsid w:val="00BF4F9C"/>
    <w:rsid w:val="00C00DC9"/>
    <w:rsid w:val="00C050CF"/>
    <w:rsid w:val="00C05894"/>
    <w:rsid w:val="00C110C4"/>
    <w:rsid w:val="00C145DE"/>
    <w:rsid w:val="00C30D6E"/>
    <w:rsid w:val="00C32A46"/>
    <w:rsid w:val="00C33620"/>
    <w:rsid w:val="00C46173"/>
    <w:rsid w:val="00C57FB8"/>
    <w:rsid w:val="00C66B2C"/>
    <w:rsid w:val="00C67A7F"/>
    <w:rsid w:val="00C8591A"/>
    <w:rsid w:val="00CA4382"/>
    <w:rsid w:val="00CA4BA2"/>
    <w:rsid w:val="00CB2DE4"/>
    <w:rsid w:val="00CD0BC1"/>
    <w:rsid w:val="00CE4F63"/>
    <w:rsid w:val="00CF313C"/>
    <w:rsid w:val="00CF572A"/>
    <w:rsid w:val="00CF68EF"/>
    <w:rsid w:val="00D016D1"/>
    <w:rsid w:val="00D067DB"/>
    <w:rsid w:val="00D109E4"/>
    <w:rsid w:val="00D11571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C4AB3"/>
    <w:rsid w:val="00ED3EB7"/>
    <w:rsid w:val="00ED7D8D"/>
    <w:rsid w:val="00EE40F2"/>
    <w:rsid w:val="00EF562A"/>
    <w:rsid w:val="00F16806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62BBB"/>
    <w:rsid w:val="00F703C7"/>
    <w:rsid w:val="00F76444"/>
    <w:rsid w:val="00F77094"/>
    <w:rsid w:val="00F81522"/>
    <w:rsid w:val="00F8541A"/>
    <w:rsid w:val="00FA2C69"/>
    <w:rsid w:val="00FA703D"/>
    <w:rsid w:val="00FD5405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3.safelinks.protection.outlook.com/?url=https%3A%2F%2Faura.abdn.ac.uk%2Fbitstream%2Fhandle%2F2164%2F4468%2FPotts_et_al_2014_Marine_Policy.pdf%3Fsequence%3D1&amp;data=05%7C02%7CAdam.Waugh%40naturalengland.org.uk%7C70ccb2d2d206430f3d8b08ddd6a17470%7C770a245002274c6290c74e38537f1102%7C0%7C0%7C638902711128060134%7CUnknown%7CTWFpbGZsb3d8eyJFbXB0eU1hcGkiOnRydWUsIlYiOiIwLjAuMDAwMCIsIlAiOiJXaW4zMiIsIkFOIjoiTWFpbCIsIldUIjoyfQ%3D%3D%7C0%7C%7C%7C&amp;sdata=%2BlhJ0K9Hfv80R3xb5l1DdJG5yg5hsSdPRwVo2mZHRi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13</Value>
      <Value>21</Value>
      <Value>9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lcf76f155ced4ddcb4097134ff3c332f xmlns="033a8941-efef-4919-b4a3-a92230fa8c7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C40F330CC893E439D989A99D7C36AEF" ma:contentTypeVersion="37" ma:contentTypeDescription="Create a new document." ma:contentTypeScope="" ma:versionID="f681c8af6d45379b67ec92c64954fbf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033a8941-efef-4919-b4a3-a92230fa8c7b" xmlns:ns4="6b785766-55eb-452d-ac9b-3055ca2a4823" targetNamespace="http://schemas.microsoft.com/office/2006/metadata/properties" ma:root="true" ma:fieldsID="a9d7b6d9b8081ac9d068689c3859b069" ns1:_="" ns2:_="" ns3:_="" ns4:_="">
    <xsd:import namespace="http://schemas.microsoft.com/sharepoint/v3"/>
    <xsd:import namespace="662745e8-e224-48e8-a2e3-254862b8c2f5"/>
    <xsd:import namespace="033a8941-efef-4919-b4a3-a92230fa8c7b"/>
    <xsd:import namespace="6b785766-55eb-452d-ac9b-3055ca2a4823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41c4be7-a1fc-4187-b94b-3b399ccd2670}" ma:internalName="TaxCatchAll" ma:showField="CatchAllData" ma:web="6b785766-55eb-452d-ac9b-3055ca2a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41c4be7-a1fc-4187-b94b-3b399ccd2670}" ma:internalName="TaxCatchAllLabel" ma:readOnly="true" ma:showField="CatchAllDataLabel" ma:web="6b785766-55eb-452d-ac9b-3055ca2a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Marine NCEA" ma:internalName="Team" ma:readOnly="false">
      <xsd:simpleType>
        <xsd:restriction base="dms:Text"/>
      </xsd:simpleType>
    </xsd:element>
    <xsd:element name="Topic" ma:index="20" nillable="true" ma:displayName="Topic" ma:default="Yr 3 Inshore Evidence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8941-efef-4919-b4a3-a92230fa8c7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85766-55eb-452d-ac9b-3055ca2a4823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sharepoint/v3"/>
    <ds:schemaRef ds:uri="033a8941-efef-4919-b4a3-a92230fa8c7b"/>
    <ds:schemaRef ds:uri="6b785766-55eb-452d-ac9b-3055ca2a482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62745e8-e224-48e8-a2e3-254862b8c2f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F377860-B209-4E6E-B527-76619503B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033a8941-efef-4919-b4a3-a92230fa8c7b"/>
    <ds:schemaRef ds:uri="6b785766-55eb-452d-ac9b-3055ca2a4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Adam Waugh</cp:lastModifiedBy>
  <cp:revision>30</cp:revision>
  <dcterms:created xsi:type="dcterms:W3CDTF">2025-08-14T07:49:00Z</dcterms:created>
  <dcterms:modified xsi:type="dcterms:W3CDTF">2025-08-14T14:31:00Z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0x010100A5BF1C78D9F64B679A5EBDE1C6598EBC01005C40F330CC893E439D989A99D7C36AEF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21;#Community|144ac7d7-0b9a-42f9-9385-2935294b6de3</vt:lpwstr>
  </property>
  <property fmtid="{D5CDD505-2E9C-101B-9397-08002B2CF9AE}" pid="9" name="OrganisationalUnit">
    <vt:lpwstr>13;#Defra Group Commercial|88c065df-18f9-4530-b972-ea809b7dd96d</vt:lpwstr>
  </property>
  <property fmtid="{D5CDD505-2E9C-101B-9397-08002B2CF9AE}" pid="10" name="InformationType">
    <vt:lpwstr/>
  </property>
</Properties>
</file>