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D807" w14:textId="77777777" w:rsidR="002B7FC8" w:rsidRPr="0068033F" w:rsidRDefault="002B7FC8" w:rsidP="002B7FC8">
      <w:pPr>
        <w:pStyle w:val="Caption"/>
        <w:ind w:left="0" w:firstLine="0"/>
        <w:rPr>
          <w:u w:val="single"/>
        </w:rPr>
      </w:pPr>
      <w:r>
        <w:rPr>
          <w:u w:val="single"/>
        </w:rPr>
        <w:t>Appendix 1 – Background and MCCCL Company Values</w:t>
      </w:r>
    </w:p>
    <w:p w14:paraId="110365E1" w14:textId="77777777" w:rsidR="002B7FC8" w:rsidRPr="00BB229C" w:rsidRDefault="002B7FC8" w:rsidP="002B7FC8"/>
    <w:p w14:paraId="4A681A57" w14:textId="77777777" w:rsidR="002B7FC8" w:rsidRPr="00D2278D" w:rsidRDefault="002B7FC8" w:rsidP="002B7FC8">
      <w:pPr>
        <w:rPr>
          <w:rFonts w:ascii="Arial" w:hAnsi="Arial"/>
          <w:b/>
          <w:sz w:val="22"/>
          <w:szCs w:val="20"/>
        </w:rPr>
      </w:pPr>
      <w:r w:rsidRPr="001F2E1F">
        <w:rPr>
          <w:rFonts w:ascii="Arial" w:eastAsia="Arial" w:hAnsi="Arial" w:cs="Arial"/>
          <w:b/>
          <w:bCs/>
          <w:sz w:val="22"/>
          <w:szCs w:val="22"/>
        </w:rPr>
        <w:t>Background</w:t>
      </w:r>
    </w:p>
    <w:p w14:paraId="16C75EE3"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 xml:space="preserve"> </w:t>
      </w:r>
    </w:p>
    <w:p w14:paraId="798FF7CA"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Manchester Central is an award-winning venue in the heart of one of Europe's most vibrant cities. Its vaulted arches and station clock have made Manchester Central an iconic city feature for over 130 years. With the capacity to handle intimate corporate functions and large-scale conferences or exhibitions, our historic architecture and state-of-the-art facilities provide the perfect venue for some of the world’s leading events.</w:t>
      </w:r>
    </w:p>
    <w:p w14:paraId="2321EB9B"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 xml:space="preserve"> </w:t>
      </w:r>
    </w:p>
    <w:p w14:paraId="67587073"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Our facilities include: the purpose-built 804-seat Exchange Auditorium; the 1800m² exhibition, conference, or 1200-capacity dining space Exchange Hall; the 10,000m² column-free and divisible Central Hall and a range of smaller state-of-the-art conference and meeting rooms.</w:t>
      </w:r>
    </w:p>
    <w:p w14:paraId="46DECF22"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 xml:space="preserve"> </w:t>
      </w:r>
    </w:p>
    <w:p w14:paraId="6CBD1FA5"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Our world class philosophy applies to all our facilities, teams and services. From venue traffic management to IT and AV support teams, from dedicated event managers to our kitchen brigade; Manchester Central is one of the most professional and versatile event spaces in the UK.</w:t>
      </w:r>
    </w:p>
    <w:p w14:paraId="2E73E40B"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 xml:space="preserve"> </w:t>
      </w:r>
    </w:p>
    <w:p w14:paraId="2F005170"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Manchester Central holds a diverse range of events, which demonstrates the versatile nature of the venue. Examples of events held at Manchester Central include Party Political Conferences, Elections, CIH Conference and Housing Exhibitions, Manchester Comic Con, Northwest Property Awards, Christmas Parties, CIPD, The National Wedding Show, International and National Association Conferences, Concerts, and a wide range of small meetings.</w:t>
      </w:r>
    </w:p>
    <w:p w14:paraId="3A410E8E" w14:textId="77777777" w:rsidR="002B7FC8" w:rsidRPr="001F2E1F" w:rsidRDefault="002B7FC8" w:rsidP="002B7FC8">
      <w:pPr>
        <w:pStyle w:val="NoSpacing"/>
        <w:jc w:val="both"/>
        <w:rPr>
          <w:rFonts w:ascii="Arial" w:hAnsi="Arial" w:cs="Arial"/>
        </w:rPr>
      </w:pPr>
    </w:p>
    <w:p w14:paraId="42F8EE9A" w14:textId="5366CC7B" w:rsidR="002B7FC8" w:rsidRPr="002B7FC8" w:rsidRDefault="002B7FC8" w:rsidP="002B7FC8">
      <w:pPr>
        <w:ind w:right="-20"/>
        <w:rPr>
          <w:rFonts w:ascii="Arial" w:eastAsia="Arial" w:hAnsi="Arial" w:cs="Arial"/>
          <w:b/>
          <w:bCs/>
          <w:sz w:val="22"/>
          <w:szCs w:val="22"/>
        </w:rPr>
      </w:pPr>
      <w:r>
        <w:rPr>
          <w:rFonts w:ascii="Arial" w:eastAsia="Arial" w:hAnsi="Arial" w:cs="Arial"/>
          <w:b/>
          <w:bCs/>
          <w:sz w:val="22"/>
          <w:szCs w:val="22"/>
        </w:rPr>
        <w:t xml:space="preserve">Our Purpose - </w:t>
      </w:r>
      <w:r w:rsidRPr="001F2E1F">
        <w:rPr>
          <w:rFonts w:ascii="Arial" w:eastAsia="Arial" w:hAnsi="Arial" w:cs="Arial"/>
          <w:sz w:val="22"/>
          <w:szCs w:val="22"/>
        </w:rPr>
        <w:t>“</w:t>
      </w:r>
      <w:r>
        <w:rPr>
          <w:rFonts w:ascii="Arial" w:eastAsia="Arial" w:hAnsi="Arial" w:cs="Arial"/>
          <w:sz w:val="22"/>
          <w:szCs w:val="22"/>
        </w:rPr>
        <w:t>To connect people, ideas and business through meaningful experiences</w:t>
      </w:r>
      <w:r w:rsidRPr="001F2E1F">
        <w:rPr>
          <w:rFonts w:ascii="Arial" w:eastAsia="Arial" w:hAnsi="Arial" w:cs="Arial"/>
          <w:sz w:val="22"/>
          <w:szCs w:val="22"/>
        </w:rPr>
        <w:t>”</w:t>
      </w:r>
    </w:p>
    <w:p w14:paraId="62E65D1D" w14:textId="77777777" w:rsidR="002B7FC8" w:rsidRPr="001F2E1F" w:rsidRDefault="002B7FC8" w:rsidP="002B7FC8"/>
    <w:p w14:paraId="47C5547B" w14:textId="5931C6FC" w:rsidR="002B7FC8" w:rsidRPr="002B7FC8" w:rsidRDefault="002B7FC8" w:rsidP="002B7FC8">
      <w:pPr>
        <w:ind w:right="-20"/>
        <w:rPr>
          <w:rFonts w:ascii="Arial" w:eastAsia="Arial" w:hAnsi="Arial" w:cs="Arial"/>
          <w:b/>
          <w:bCs/>
          <w:sz w:val="22"/>
          <w:szCs w:val="22"/>
        </w:rPr>
      </w:pPr>
      <w:r>
        <w:rPr>
          <w:rFonts w:ascii="Arial" w:eastAsia="Arial" w:hAnsi="Arial" w:cs="Arial"/>
          <w:b/>
          <w:bCs/>
          <w:sz w:val="22"/>
          <w:szCs w:val="22"/>
        </w:rPr>
        <w:t xml:space="preserve">Our Ambition - </w:t>
      </w:r>
      <w:r w:rsidRPr="001F2E1F">
        <w:rPr>
          <w:rFonts w:ascii="Arial" w:eastAsia="Arial" w:hAnsi="Arial" w:cs="Arial"/>
          <w:sz w:val="22"/>
          <w:szCs w:val="22"/>
        </w:rPr>
        <w:t xml:space="preserve">“To </w:t>
      </w:r>
      <w:r>
        <w:rPr>
          <w:rFonts w:ascii="Arial" w:eastAsia="Arial" w:hAnsi="Arial" w:cs="Arial"/>
          <w:sz w:val="22"/>
          <w:szCs w:val="22"/>
        </w:rPr>
        <w:t>use our reputation and skills to grow our business through diversification, in a sustainable way, maximising value and returns for our business, our city and our customers</w:t>
      </w:r>
      <w:r w:rsidRPr="001F2E1F">
        <w:rPr>
          <w:rFonts w:ascii="Arial" w:eastAsia="Arial" w:hAnsi="Arial" w:cs="Arial"/>
          <w:sz w:val="22"/>
          <w:szCs w:val="22"/>
        </w:rPr>
        <w:t>.”</w:t>
      </w:r>
    </w:p>
    <w:p w14:paraId="7846C4F4" w14:textId="77777777" w:rsidR="002B7FC8" w:rsidRPr="001F2E1F" w:rsidRDefault="002B7FC8" w:rsidP="002B7FC8"/>
    <w:p w14:paraId="4DFEAF6A" w14:textId="77777777" w:rsidR="002B7FC8" w:rsidRPr="001F2E1F" w:rsidRDefault="002B7FC8" w:rsidP="002B7FC8">
      <w:pPr>
        <w:jc w:val="both"/>
        <w:rPr>
          <w:rFonts w:ascii="Arial" w:eastAsia="Arial" w:hAnsi="Arial" w:cs="Arial"/>
          <w:b/>
          <w:bCs/>
          <w:sz w:val="22"/>
          <w:szCs w:val="22"/>
        </w:rPr>
      </w:pPr>
      <w:r w:rsidRPr="001F2E1F">
        <w:rPr>
          <w:rFonts w:ascii="Arial" w:eastAsia="Arial" w:hAnsi="Arial" w:cs="Arial"/>
          <w:b/>
          <w:bCs/>
          <w:sz w:val="22"/>
          <w:szCs w:val="22"/>
        </w:rPr>
        <w:t>Company Values</w:t>
      </w:r>
    </w:p>
    <w:p w14:paraId="3E9C4934" w14:textId="77777777" w:rsidR="002B7FC8" w:rsidRPr="001F2E1F" w:rsidRDefault="002B7FC8" w:rsidP="002B7FC8">
      <w:pPr>
        <w:pStyle w:val="NoSpacing"/>
        <w:ind w:left="360" w:right="-20"/>
        <w:jc w:val="both"/>
        <w:rPr>
          <w:rFonts w:ascii="Arial" w:eastAsia="Arial" w:hAnsi="Arial" w:cs="Arial"/>
        </w:rPr>
      </w:pPr>
      <w:r w:rsidRPr="001F2E1F">
        <w:rPr>
          <w:rFonts w:ascii="Arial" w:eastAsia="Arial" w:hAnsi="Arial" w:cs="Arial"/>
        </w:rPr>
        <w:t xml:space="preserve"> </w:t>
      </w:r>
    </w:p>
    <w:p w14:paraId="0CB1259D" w14:textId="77777777" w:rsidR="002B7FC8" w:rsidRPr="001F2E1F" w:rsidRDefault="002B7FC8" w:rsidP="002B7FC8">
      <w:pPr>
        <w:pStyle w:val="NoSpacing"/>
        <w:ind w:left="-20" w:right="-20"/>
        <w:jc w:val="both"/>
        <w:rPr>
          <w:rFonts w:ascii="Arial" w:eastAsia="Arial" w:hAnsi="Arial" w:cs="Arial"/>
        </w:rPr>
      </w:pPr>
      <w:r w:rsidRPr="001F2E1F">
        <w:rPr>
          <w:rFonts w:ascii="Arial" w:eastAsia="Arial" w:hAnsi="Arial" w:cs="Arial"/>
        </w:rPr>
        <w:t xml:space="preserve">Manchester Central has </w:t>
      </w:r>
      <w:r>
        <w:rPr>
          <w:rFonts w:ascii="Arial" w:eastAsia="Arial" w:hAnsi="Arial" w:cs="Arial"/>
        </w:rPr>
        <w:t>five</w:t>
      </w:r>
      <w:r w:rsidRPr="001F2E1F">
        <w:rPr>
          <w:rFonts w:ascii="Arial" w:eastAsia="Arial" w:hAnsi="Arial" w:cs="Arial"/>
        </w:rPr>
        <w:t xml:space="preserve"> company values that are at the heart and soul of everything we do:</w:t>
      </w:r>
    </w:p>
    <w:p w14:paraId="327EBA94" w14:textId="77777777" w:rsidR="002B7FC8" w:rsidRDefault="002B7FC8" w:rsidP="002B7FC8">
      <w:pPr>
        <w:ind w:right="-20"/>
        <w:jc w:val="both"/>
        <w:rPr>
          <w:rFonts w:ascii="Arial" w:eastAsia="Arial" w:hAnsi="Arial" w:cs="Arial"/>
          <w:b/>
          <w:bCs/>
          <w:sz w:val="22"/>
          <w:szCs w:val="22"/>
        </w:rPr>
      </w:pPr>
    </w:p>
    <w:p w14:paraId="400C1E92" w14:textId="77777777" w:rsidR="002B7FC8" w:rsidRPr="002B7FC8" w:rsidRDefault="002B7FC8" w:rsidP="002B7FC8">
      <w:pPr>
        <w:ind w:right="-20"/>
        <w:jc w:val="both"/>
        <w:rPr>
          <w:rFonts w:ascii="Arial" w:eastAsia="Arial" w:hAnsi="Arial" w:cs="Arial"/>
          <w:b/>
          <w:bCs/>
          <w:sz w:val="22"/>
          <w:szCs w:val="22"/>
        </w:rPr>
      </w:pPr>
    </w:p>
    <w:p w14:paraId="31219FB6" w14:textId="201721F7" w:rsidR="002B7FC8" w:rsidRPr="001F2E1F" w:rsidRDefault="002B7FC8" w:rsidP="002B7FC8">
      <w:pPr>
        <w:pStyle w:val="ListParagraph"/>
        <w:numPr>
          <w:ilvl w:val="0"/>
          <w:numId w:val="1"/>
        </w:numPr>
        <w:ind w:right="-20"/>
        <w:jc w:val="both"/>
        <w:rPr>
          <w:rFonts w:ascii="Arial" w:eastAsia="Arial" w:hAnsi="Arial" w:cs="Arial"/>
          <w:b/>
          <w:bCs/>
          <w:sz w:val="22"/>
          <w:szCs w:val="22"/>
        </w:rPr>
      </w:pPr>
      <w:r w:rsidRPr="001F2E1F">
        <w:rPr>
          <w:rFonts w:ascii="Arial" w:eastAsia="Arial" w:hAnsi="Arial" w:cs="Arial"/>
          <w:b/>
          <w:bCs/>
          <w:sz w:val="22"/>
          <w:szCs w:val="22"/>
        </w:rPr>
        <w:t>We’re passionate</w:t>
      </w:r>
    </w:p>
    <w:p w14:paraId="71F8E91A"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display limitless and infectious enthusiasm</w:t>
      </w:r>
    </w:p>
    <w:p w14:paraId="75136F12"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deliver with quality and consistency</w:t>
      </w:r>
    </w:p>
    <w:p w14:paraId="059903A6"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lastRenderedPageBreak/>
        <w:t>We find creative ways to deliver exceptional experiences</w:t>
      </w:r>
    </w:p>
    <w:p w14:paraId="5A2D9F64" w14:textId="77777777" w:rsidR="002B7FC8" w:rsidRPr="001F2E1F" w:rsidRDefault="002B7FC8" w:rsidP="002B7FC8">
      <w:pPr>
        <w:pStyle w:val="NoSpacing"/>
        <w:ind w:left="360" w:right="-20"/>
        <w:jc w:val="both"/>
        <w:rPr>
          <w:rFonts w:ascii="Arial" w:eastAsia="Arial" w:hAnsi="Arial" w:cs="Arial"/>
        </w:rPr>
      </w:pPr>
    </w:p>
    <w:p w14:paraId="23489FFD" w14:textId="77777777" w:rsidR="002B7FC8" w:rsidRPr="001F2E1F" w:rsidRDefault="002B7FC8" w:rsidP="002B7FC8">
      <w:pPr>
        <w:pStyle w:val="ListParagraph"/>
        <w:numPr>
          <w:ilvl w:val="0"/>
          <w:numId w:val="1"/>
        </w:numPr>
        <w:ind w:right="-20"/>
        <w:jc w:val="both"/>
        <w:rPr>
          <w:rFonts w:ascii="Arial" w:eastAsia="Arial" w:hAnsi="Arial" w:cs="Arial"/>
          <w:b/>
          <w:bCs/>
          <w:sz w:val="22"/>
          <w:szCs w:val="22"/>
        </w:rPr>
      </w:pPr>
      <w:r w:rsidRPr="001F2E1F">
        <w:rPr>
          <w:rFonts w:ascii="Arial" w:eastAsia="Arial" w:hAnsi="Arial" w:cs="Arial"/>
          <w:b/>
          <w:bCs/>
          <w:sz w:val="22"/>
          <w:szCs w:val="22"/>
        </w:rPr>
        <w:t>We work with pride and integrity</w:t>
      </w:r>
    </w:p>
    <w:p w14:paraId="342E6C86"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value our loyal and trusted relationships with our customers</w:t>
      </w:r>
    </w:p>
    <w:p w14:paraId="740632AF"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set high standards for ourselves and our work</w:t>
      </w:r>
    </w:p>
    <w:p w14:paraId="2CD353E5"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find solutions to problems</w:t>
      </w:r>
    </w:p>
    <w:p w14:paraId="42463675" w14:textId="77777777" w:rsidR="002B7FC8" w:rsidRPr="001F2E1F" w:rsidRDefault="002B7FC8" w:rsidP="002B7FC8">
      <w:pPr>
        <w:pStyle w:val="NoSpacing"/>
        <w:ind w:left="360" w:right="-20" w:firstLine="720"/>
        <w:jc w:val="both"/>
        <w:rPr>
          <w:rFonts w:ascii="Arial" w:eastAsia="Arial" w:hAnsi="Arial" w:cs="Arial"/>
        </w:rPr>
      </w:pPr>
    </w:p>
    <w:p w14:paraId="1AA3FE2C" w14:textId="77777777" w:rsidR="002B7FC8" w:rsidRPr="001F2E1F" w:rsidRDefault="002B7FC8" w:rsidP="002B7FC8">
      <w:pPr>
        <w:pStyle w:val="ListParagraph"/>
        <w:numPr>
          <w:ilvl w:val="0"/>
          <w:numId w:val="1"/>
        </w:numPr>
        <w:ind w:right="-20"/>
        <w:jc w:val="both"/>
        <w:rPr>
          <w:rFonts w:ascii="Arial" w:eastAsia="Arial" w:hAnsi="Arial" w:cs="Arial"/>
          <w:b/>
          <w:bCs/>
          <w:sz w:val="22"/>
          <w:szCs w:val="22"/>
        </w:rPr>
      </w:pPr>
      <w:r w:rsidRPr="001F2E1F">
        <w:rPr>
          <w:rFonts w:ascii="Arial" w:eastAsia="Arial" w:hAnsi="Arial" w:cs="Arial"/>
          <w:b/>
          <w:bCs/>
          <w:sz w:val="22"/>
          <w:szCs w:val="22"/>
        </w:rPr>
        <w:t>We’re forward thinking</w:t>
      </w:r>
    </w:p>
    <w:p w14:paraId="205AA565"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We’re industry icons</w:t>
      </w:r>
    </w:p>
    <w:p w14:paraId="5087CB23"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We’re innovative – we lead the way</w:t>
      </w:r>
    </w:p>
    <w:p w14:paraId="0488E771" w14:textId="77777777" w:rsidR="002B7FC8" w:rsidRPr="001F2E1F" w:rsidRDefault="002B7FC8" w:rsidP="002B7FC8">
      <w:pPr>
        <w:pStyle w:val="NoSpacing"/>
        <w:ind w:left="1134" w:right="-20"/>
        <w:jc w:val="both"/>
        <w:rPr>
          <w:rFonts w:ascii="Arial" w:eastAsia="Arial" w:hAnsi="Arial" w:cs="Arial"/>
        </w:rPr>
      </w:pPr>
      <w:r w:rsidRPr="001F2E1F">
        <w:rPr>
          <w:rFonts w:ascii="Arial" w:eastAsia="Arial" w:hAnsi="Arial" w:cs="Arial"/>
        </w:rPr>
        <w:t>Our work has a positive impact on our customers, our city, and our communities</w:t>
      </w:r>
    </w:p>
    <w:p w14:paraId="132398D8" w14:textId="77777777" w:rsidR="002B7FC8" w:rsidRPr="001F2E1F" w:rsidRDefault="002B7FC8" w:rsidP="002B7FC8">
      <w:pPr>
        <w:pStyle w:val="NoSpacing"/>
        <w:ind w:left="360" w:right="-20"/>
        <w:jc w:val="both"/>
        <w:rPr>
          <w:rFonts w:ascii="Arial" w:eastAsia="Arial" w:hAnsi="Arial" w:cs="Arial"/>
        </w:rPr>
      </w:pPr>
    </w:p>
    <w:p w14:paraId="57AB522F" w14:textId="77777777" w:rsidR="002B7FC8" w:rsidRPr="001F2E1F" w:rsidRDefault="002B7FC8" w:rsidP="002B7FC8">
      <w:pPr>
        <w:pStyle w:val="ListParagraph"/>
        <w:numPr>
          <w:ilvl w:val="0"/>
          <w:numId w:val="1"/>
        </w:numPr>
        <w:ind w:right="-20"/>
        <w:jc w:val="both"/>
        <w:rPr>
          <w:rFonts w:ascii="Arial" w:eastAsia="Arial" w:hAnsi="Arial" w:cs="Arial"/>
          <w:b/>
          <w:bCs/>
          <w:sz w:val="22"/>
          <w:szCs w:val="22"/>
        </w:rPr>
      </w:pPr>
      <w:r w:rsidRPr="001F2E1F">
        <w:rPr>
          <w:rFonts w:ascii="Arial" w:eastAsia="Arial" w:hAnsi="Arial" w:cs="Arial"/>
          <w:b/>
          <w:bCs/>
          <w:sz w:val="22"/>
          <w:szCs w:val="22"/>
        </w:rPr>
        <w:t>We take care</w:t>
      </w:r>
    </w:p>
    <w:p w14:paraId="627CCC5C"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We’ve got you. We’re an expert, confident and safe pair of hands</w:t>
      </w:r>
    </w:p>
    <w:p w14:paraId="68B8C5DA"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listen and we’re flexible in our approach to deliver excellence</w:t>
      </w:r>
    </w:p>
    <w:p w14:paraId="138B33A2"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make the challenging feel simple</w:t>
      </w:r>
    </w:p>
    <w:p w14:paraId="5E4895DB" w14:textId="77777777" w:rsidR="002B7FC8" w:rsidRPr="001F2E1F" w:rsidRDefault="002B7FC8" w:rsidP="002B7FC8">
      <w:pPr>
        <w:pStyle w:val="NoSpacing"/>
        <w:ind w:left="360" w:right="-20"/>
        <w:jc w:val="both"/>
        <w:rPr>
          <w:rFonts w:ascii="Arial" w:eastAsia="Arial" w:hAnsi="Arial" w:cs="Arial"/>
        </w:rPr>
      </w:pPr>
    </w:p>
    <w:p w14:paraId="21A9E1C1" w14:textId="77777777" w:rsidR="002B7FC8" w:rsidRPr="001F2E1F" w:rsidRDefault="002B7FC8" w:rsidP="002B7FC8">
      <w:pPr>
        <w:pStyle w:val="ListParagraph"/>
        <w:numPr>
          <w:ilvl w:val="0"/>
          <w:numId w:val="1"/>
        </w:numPr>
        <w:ind w:right="-20"/>
        <w:jc w:val="both"/>
        <w:rPr>
          <w:rFonts w:ascii="Arial" w:eastAsia="Arial" w:hAnsi="Arial" w:cs="Arial"/>
          <w:b/>
          <w:bCs/>
          <w:sz w:val="22"/>
          <w:szCs w:val="22"/>
        </w:rPr>
      </w:pPr>
      <w:r w:rsidRPr="001F2E1F">
        <w:rPr>
          <w:rFonts w:ascii="Arial" w:eastAsia="Arial" w:hAnsi="Arial" w:cs="Arial"/>
          <w:b/>
          <w:bCs/>
          <w:sz w:val="22"/>
          <w:szCs w:val="22"/>
        </w:rPr>
        <w:t>We deliver together</w:t>
      </w:r>
    </w:p>
    <w:p w14:paraId="0D4671DF"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create a seamless experience together</w:t>
      </w:r>
    </w:p>
    <w:p w14:paraId="628B39CC"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support each other</w:t>
      </w:r>
    </w:p>
    <w:p w14:paraId="12353362" w14:textId="77777777" w:rsidR="002B7FC8" w:rsidRPr="001F2E1F" w:rsidRDefault="002B7FC8" w:rsidP="002B7FC8">
      <w:pPr>
        <w:pStyle w:val="NoSpacing"/>
        <w:ind w:left="360" w:right="-20" w:firstLine="720"/>
        <w:jc w:val="both"/>
        <w:rPr>
          <w:rFonts w:ascii="Arial" w:eastAsia="Arial" w:hAnsi="Arial" w:cs="Arial"/>
        </w:rPr>
      </w:pPr>
      <w:r w:rsidRPr="001F2E1F">
        <w:rPr>
          <w:rFonts w:ascii="Arial" w:eastAsia="Arial" w:hAnsi="Arial" w:cs="Arial"/>
        </w:rPr>
        <w:t>We work together to achieve excellence</w:t>
      </w:r>
    </w:p>
    <w:p w14:paraId="1E00FC23" w14:textId="77777777" w:rsidR="002B7FC8" w:rsidRPr="0078520D" w:rsidRDefault="002B7FC8" w:rsidP="002B7FC8">
      <w:pPr>
        <w:ind w:left="360" w:firstLine="720"/>
        <w:rPr>
          <w:sz w:val="22"/>
          <w:szCs w:val="22"/>
        </w:rPr>
      </w:pPr>
      <w:r w:rsidRPr="0078520D">
        <w:rPr>
          <w:rFonts w:ascii="Arial" w:eastAsia="Arial" w:hAnsi="Arial" w:cs="Arial"/>
          <w:sz w:val="22"/>
          <w:szCs w:val="22"/>
        </w:rPr>
        <w:t>We create lasting partnerships</w:t>
      </w:r>
    </w:p>
    <w:p w14:paraId="720D1A1A" w14:textId="77777777" w:rsidR="00942DF3" w:rsidRDefault="00942DF3">
      <w:pPr>
        <w:pStyle w:val="Body"/>
        <w:rPr>
          <w:rFonts w:ascii="Arial" w:hAnsi="Arial"/>
        </w:rPr>
      </w:pPr>
    </w:p>
    <w:sectPr w:rsidR="00942DF3">
      <w:headerReference w:type="default" r:id="rId10"/>
      <w:footerReference w:type="default" r:id="rId11"/>
      <w:pgSz w:w="11900" w:h="16840"/>
      <w:pgMar w:top="2835" w:right="2268" w:bottom="2665"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2DFD" w14:textId="77777777" w:rsidR="007562EC" w:rsidRDefault="007562EC">
      <w:r>
        <w:separator/>
      </w:r>
    </w:p>
  </w:endnote>
  <w:endnote w:type="continuationSeparator" w:id="0">
    <w:p w14:paraId="6AA442E7" w14:textId="77777777" w:rsidR="007562EC" w:rsidRDefault="0075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9B5D" w14:textId="77777777" w:rsidR="00942DF3" w:rsidRDefault="00942DF3">
    <w:pPr>
      <w:pStyle w:val="Footer"/>
      <w:tabs>
        <w:tab w:val="clear" w:pos="8306"/>
        <w:tab w:val="right" w:pos="819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4FDB" w14:textId="77777777" w:rsidR="007562EC" w:rsidRDefault="007562EC">
      <w:r>
        <w:separator/>
      </w:r>
    </w:p>
  </w:footnote>
  <w:footnote w:type="continuationSeparator" w:id="0">
    <w:p w14:paraId="05D5A439" w14:textId="77777777" w:rsidR="007562EC" w:rsidRDefault="0075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7A62" w14:textId="77777777" w:rsidR="00942DF3" w:rsidRDefault="002B327A">
    <w:pPr>
      <w:pStyle w:val="Header"/>
      <w:tabs>
        <w:tab w:val="clear" w:pos="8306"/>
        <w:tab w:val="right" w:pos="8194"/>
      </w:tabs>
    </w:pPr>
    <w:r>
      <w:rPr>
        <w:noProof/>
      </w:rPr>
      <w:drawing>
        <wp:anchor distT="0" distB="0" distL="114300" distR="114300" simplePos="0" relativeHeight="251660288" behindDoc="1" locked="0" layoutInCell="1" allowOverlap="1" wp14:anchorId="3BD635BE" wp14:editId="23D8930A">
          <wp:simplePos x="0" y="0"/>
          <wp:positionH relativeFrom="column">
            <wp:posOffset>3718242</wp:posOffset>
          </wp:positionH>
          <wp:positionV relativeFrom="paragraph">
            <wp:posOffset>148907</wp:posOffset>
          </wp:positionV>
          <wp:extent cx="2448560" cy="268605"/>
          <wp:effectExtent l="0" t="0" r="8890" b="0"/>
          <wp:wrapTight wrapText="bothSides">
            <wp:wrapPolygon edited="0">
              <wp:start x="19494" y="0"/>
              <wp:lineTo x="0" y="0"/>
              <wp:lineTo x="0" y="19915"/>
              <wp:lineTo x="19494" y="19915"/>
              <wp:lineTo x="21342" y="19915"/>
              <wp:lineTo x="21510" y="16851"/>
              <wp:lineTo x="21510" y="4596"/>
              <wp:lineTo x="21342" y="0"/>
              <wp:lineTo x="19494" y="0"/>
            </wp:wrapPolygon>
          </wp:wrapTight>
          <wp:docPr id="132919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90209" name="Picture 1329190209"/>
                  <pic:cNvPicPr/>
                </pic:nvPicPr>
                <pic:blipFill>
                  <a:blip r:embed="rId1">
                    <a:extLst>
                      <a:ext uri="{28A0092B-C50C-407E-A947-70E740481C1C}">
                        <a14:useLocalDpi xmlns:a14="http://schemas.microsoft.com/office/drawing/2010/main" val="0"/>
                      </a:ext>
                    </a:extLst>
                  </a:blip>
                  <a:stretch>
                    <a:fillRect/>
                  </a:stretch>
                </pic:blipFill>
                <pic:spPr>
                  <a:xfrm>
                    <a:off x="0" y="0"/>
                    <a:ext cx="2448560" cy="268605"/>
                  </a:xfrm>
                  <a:prstGeom prst="rect">
                    <a:avLst/>
                  </a:prstGeom>
                </pic:spPr>
              </pic:pic>
            </a:graphicData>
          </a:graphic>
          <wp14:sizeRelH relativeFrom="margin">
            <wp14:pctWidth>0</wp14:pctWidth>
          </wp14:sizeRelH>
          <wp14:sizeRelV relativeFrom="margin">
            <wp14:pctHeight>0</wp14:pctHeight>
          </wp14:sizeRelV>
        </wp:anchor>
      </w:drawing>
    </w:r>
    <w:r w:rsidR="00F315C9">
      <w:rPr>
        <w:noProof/>
      </w:rPr>
      <w:drawing>
        <wp:anchor distT="152400" distB="152400" distL="152400" distR="152400" simplePos="0" relativeHeight="251659264" behindDoc="1" locked="0" layoutInCell="1" allowOverlap="1" wp14:anchorId="468DB861" wp14:editId="45E74199">
          <wp:simplePos x="0" y="0"/>
          <wp:positionH relativeFrom="page">
            <wp:posOffset>-15599</wp:posOffset>
          </wp:positionH>
          <wp:positionV relativeFrom="page">
            <wp:posOffset>9075420</wp:posOffset>
          </wp:positionV>
          <wp:extent cx="7567295" cy="1616711"/>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C_Letterhead_footer.jpg"/>
                  <pic:cNvPicPr>
                    <a:picLocks noChangeAspect="1"/>
                  </pic:cNvPicPr>
                </pic:nvPicPr>
                <pic:blipFill>
                  <a:blip r:embed="rId2"/>
                  <a:srcRect l="159" r="159"/>
                  <a:stretch>
                    <a:fillRect/>
                  </a:stretch>
                </pic:blipFill>
                <pic:spPr>
                  <a:xfrm>
                    <a:off x="0" y="0"/>
                    <a:ext cx="7567295" cy="16167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A1B"/>
    <w:multiLevelType w:val="hybridMultilevel"/>
    <w:tmpl w:val="CDB89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921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C8"/>
    <w:rsid w:val="00277057"/>
    <w:rsid w:val="002B327A"/>
    <w:rsid w:val="002B7FC8"/>
    <w:rsid w:val="00480E65"/>
    <w:rsid w:val="007562EC"/>
    <w:rsid w:val="00942DF3"/>
    <w:rsid w:val="00C315DB"/>
    <w:rsid w:val="00C335ED"/>
    <w:rsid w:val="00C8002A"/>
    <w:rsid w:val="00DD4A38"/>
    <w:rsid w:val="00F315C9"/>
    <w:rsid w:val="00FF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B010"/>
  <w15:docId w15:val="{2AAF3B0D-D9A1-4A32-A51C-443A5539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C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paragraph" w:styleId="Footer">
    <w:name w:val="footer"/>
    <w:pPr>
      <w:tabs>
        <w:tab w:val="center" w:pos="4153"/>
        <w:tab w:val="right" w:pos="8306"/>
      </w:tabs>
    </w:pPr>
    <w:rPr>
      <w:rFonts w:ascii="Arial" w:hAnsi="Arial" w:cs="Arial Unicode MS"/>
      <w:color w:val="000000"/>
      <w:sz w:val="22"/>
      <w:szCs w:val="22"/>
      <w:u w:color="000000"/>
      <w:lang w:val="en-US"/>
    </w:rPr>
  </w:style>
  <w:style w:type="paragraph" w:customStyle="1" w:styleId="Body">
    <w:name w:val="Body"/>
    <w:rPr>
      <w:rFonts w:cs="Arial Unicode MS"/>
      <w:color w:val="000000"/>
      <w:sz w:val="24"/>
      <w:szCs w:val="24"/>
      <w:u w:color="000000"/>
    </w:rPr>
  </w:style>
  <w:style w:type="paragraph" w:styleId="ListParagraph">
    <w:name w:val="List Paragraph"/>
    <w:basedOn w:val="Normal"/>
    <w:uiPriority w:val="34"/>
    <w:qFormat/>
    <w:rsid w:val="002B7FC8"/>
    <w:pPr>
      <w:ind w:left="720"/>
      <w:contextualSpacing/>
    </w:pPr>
  </w:style>
  <w:style w:type="paragraph" w:styleId="Caption">
    <w:name w:val="caption"/>
    <w:basedOn w:val="Normal"/>
    <w:next w:val="Normal"/>
    <w:qFormat/>
    <w:rsid w:val="002B7FC8"/>
    <w:pPr>
      <w:ind w:left="720" w:hanging="720"/>
    </w:pPr>
    <w:rPr>
      <w:rFonts w:ascii="Arial" w:hAnsi="Arial"/>
      <w:b/>
      <w:sz w:val="22"/>
      <w:szCs w:val="20"/>
    </w:rPr>
  </w:style>
  <w:style w:type="paragraph" w:styleId="NoSpacing">
    <w:name w:val="No Spacing"/>
    <w:link w:val="NoSpacingChar"/>
    <w:uiPriority w:val="1"/>
    <w:qFormat/>
    <w:rsid w:val="002B7FC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oSpacingChar">
    <w:name w:val="No Spacing Char"/>
    <w:basedOn w:val="DefaultParagraphFont"/>
    <w:link w:val="NoSpacing"/>
    <w:uiPriority w:val="1"/>
    <w:locked/>
    <w:rsid w:val="002B7FC8"/>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eldon\Downloads\MA-TE-01%20MC%20Letterhead%20(1).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f41e80-b0ca-4bac-9a54-a3949efe18ba">
      <UserInfo>
        <DisplayName>Andy Kelly</DisplayName>
        <AccountId>95</AccountId>
        <AccountType/>
      </UserInfo>
    </SharedWithUsers>
    <TaxCatchAll xmlns="27f41e80-b0ca-4bac-9a54-a3949efe18ba" xsi:nil="true"/>
    <lcf76f155ced4ddcb4097134ff3c332f xmlns="6518c723-fc09-44ac-998b-a7bd0afdee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44D8844051724F9A2240D9E31DACC2" ma:contentTypeVersion="17" ma:contentTypeDescription="Create a new document." ma:contentTypeScope="" ma:versionID="d39397adf42b7e370f27ca4b53227507">
  <xsd:schema xmlns:xsd="http://www.w3.org/2001/XMLSchema" xmlns:xs="http://www.w3.org/2001/XMLSchema" xmlns:p="http://schemas.microsoft.com/office/2006/metadata/properties" xmlns:ns2="6518c723-fc09-44ac-998b-a7bd0afdee32" xmlns:ns3="27f41e80-b0ca-4bac-9a54-a3949efe18ba" targetNamespace="http://schemas.microsoft.com/office/2006/metadata/properties" ma:root="true" ma:fieldsID="c4757f54bbef9c5a27865d99e0c3c256" ns2:_="" ns3:_="">
    <xsd:import namespace="6518c723-fc09-44ac-998b-a7bd0afdee32"/>
    <xsd:import namespace="27f41e80-b0ca-4bac-9a54-a3949efe1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8c723-fc09-44ac-998b-a7bd0afd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880e38-f3ae-4f8d-a73b-35e218dfb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41e80-b0ca-4bac-9a54-a3949efe1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34adb-1910-4cc0-8be1-1ab2e1b5c84e}" ma:internalName="TaxCatchAll" ma:showField="CatchAllData" ma:web="27f41e80-b0ca-4bac-9a54-a3949efe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E6F2F-C649-4551-A315-03F177B069D0}">
  <ds:schemaRefs>
    <ds:schemaRef ds:uri="http://schemas.microsoft.com/office/2006/metadata/properties"/>
    <ds:schemaRef ds:uri="http://schemas.microsoft.com/office/infopath/2007/PartnerControls"/>
    <ds:schemaRef ds:uri="27f41e80-b0ca-4bac-9a54-a3949efe18ba"/>
    <ds:schemaRef ds:uri="6518c723-fc09-44ac-998b-a7bd0afdee32"/>
  </ds:schemaRefs>
</ds:datastoreItem>
</file>

<file path=customXml/itemProps2.xml><?xml version="1.0" encoding="utf-8"?>
<ds:datastoreItem xmlns:ds="http://schemas.openxmlformats.org/officeDocument/2006/customXml" ds:itemID="{270E31AF-B0C9-423D-AE03-53D1032FF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8c723-fc09-44ac-998b-a7bd0afdee32"/>
    <ds:schemaRef ds:uri="27f41e80-b0ca-4bac-9a54-a3949efe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DB0F-BD6E-4AF0-84C7-DF3D0BE95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MA-TE-01 MC Letterhead (1)</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 Sheldon</dc:creator>
  <cp:lastModifiedBy>Tom Lechthaler</cp:lastModifiedBy>
  <cp:revision>2</cp:revision>
  <dcterms:created xsi:type="dcterms:W3CDTF">2025-03-07T14:34:00Z</dcterms:created>
  <dcterms:modified xsi:type="dcterms:W3CDTF">2025-07-31T07:51:00Z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0x0101001444D8844051724F9A2240D9E31DACC2</vt:lpwstr>
  </property>
  <property fmtid="{D5CDD505-2E9C-101B-9397-08002B2CF9AE}" pid="3" name="Order">
    <vt:r8>5020900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95;#Andy Kelly</vt:lpwstr>
  </property>
</Properties>
</file>