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 xml:space="preserve">(i)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on the basis of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unloading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both of them;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references to numbered clauses are references to the relevant clause in these terms and conditions;</w:t>
      </w:r>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obligation on any Party not to do or omit to do anything shall include an obligation not to allow that thing to be done or omitted to be done;</w:t>
      </w:r>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the headings to the clauses of these terms and conditions are for information only and do not affect the interpretation of the Agreement;</w:t>
      </w:r>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particular premises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In the event that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all of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co-operate with the Customer in all matters relating to the Services and comply with all the Customer’s instructions;</w:t>
      </w:r>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perform the Services with all reasonable care, skill and diligence in accordance with good industry practice in the Supplier’s industry, profession or trade;</w:t>
      </w:r>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who are suitably skilled and experienced to perform tasks assigned to them, and in sufficient number to ensure that the Supplier’s obligations are fulfilled in accordance with the Agreement;</w:t>
      </w:r>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the Services shall conform with all descriptions and specifications set out in the Specification;</w:t>
      </w:r>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free from defects (manifest or latent), in materials and workmanship and remain so for 12 months after Delivery;</w:t>
      </w:r>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of satisfactory quality (within the meaning of the Sale of Goods Act 1979) and comply with any applicable statutory and regulatory requirements relating to the manufacture, labelling, packaging, storage, handling and delivery of the Goods;</w:t>
      </w:r>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conform with the specifications (including the Specification), drawings, descriptions given in quotations, estimates, brochures, sales, marketing and technical literature or material (in whatever format made available by the Supplier) supplied by, or on behalf of, the Supplier;</w:t>
      </w:r>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free from design defects;</w:t>
      </w:r>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10 Working Days</w:t>
      </w:r>
      <w:r w:rsidRPr="00286225">
        <w:rPr>
          <w:rFonts w:cs="Arial"/>
          <w:b w:val="0"/>
          <w:sz w:val="22"/>
          <w:szCs w:val="22"/>
        </w:rPr>
        <w:t xml:space="preserve"> notice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Where the Supplier enters into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set-off or counterclaim against the Customer in order to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(i)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terminate the Agreement;</w:t>
      </w:r>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request the Supplier, free of charge, to deliver substitute Goods within the timescales specified by the Customer;</w:t>
      </w:r>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reject the Goods (in whole or part) and return them to the Supplier at the Supplier’s own risk and expense and the Customer shall be entitled to a full refund on those Goods or part of Goods duly returned;</w:t>
      </w:r>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it has full clear and unencumbered title to all the Goods;</w:t>
      </w:r>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at the date of Delivery of any of the Goods it shall have full and unrestricted right, power and authority to sell, transfer and deliver all of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manner in which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r w:rsidR="0040675F" w:rsidRPr="00286225">
        <w:rPr>
          <w:rFonts w:cs="Arial"/>
          <w:sz w:val="22"/>
          <w:szCs w:val="22"/>
        </w:rPr>
        <w:t>p</w:t>
      </w:r>
      <w:r w:rsidRPr="00286225">
        <w:rPr>
          <w:rFonts w:cs="Arial"/>
          <w:sz w:val="22"/>
          <w:szCs w:val="22"/>
        </w:rPr>
        <w:t>remises;</w:t>
      </w:r>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Procedures</w:t>
      </w:r>
      <w:r w:rsidRPr="00286225">
        <w:rPr>
          <w:rFonts w:cs="Arial"/>
          <w:sz w:val="22"/>
          <w:szCs w:val="22"/>
        </w:rPr>
        <w:t>;</w:t>
      </w:r>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as a result of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as a result of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Term but which are neither created or developed pursuant to the Agreement nor arise as a result of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in order to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treat all Confidential Information it receives as confidential,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disclosure is required by applicable law or by a court of competent jurisdiction;</w:t>
      </w:r>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to its auditors or for the purposes of regulatory requirements;</w:t>
      </w:r>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on a confidential basis, to its professional advisers;</w:t>
      </w:r>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the Serious Fraud Office where the Party has reasonable grounds to believe that the other Party is involved in activity that may constitute a criminal offence under the Bribery Act 2010;</w:t>
      </w:r>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to the employees, agents, consultants and contractors of the Customer;</w:t>
      </w:r>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ll or any part of its business;</w:t>
      </w:r>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(acting reasonably) deems disclosure necessary or appropriate in the course of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r w:rsidRPr="00286225">
        <w:rPr>
          <w:rFonts w:cs="Arial"/>
          <w:b w:val="0"/>
          <w:sz w:val="22"/>
          <w:szCs w:val="22"/>
        </w:rPr>
        <w:t xml:space="preserve">not, and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the Environmental Information Regulations 2004</w:t>
      </w:r>
      <w:r w:rsidRPr="00286225">
        <w:rPr>
          <w:rFonts w:cs="Arial"/>
          <w:sz w:val="22"/>
          <w:szCs w:val="22"/>
        </w:rPr>
        <w:t>;</w:t>
      </w:r>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receipt;</w:t>
      </w:r>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controller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process that Personal Data only on the written instructions of the Customer;</w:t>
      </w:r>
      <w:bookmarkEnd w:id="48"/>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who have access to and/or process Personal Data are obliged to keep the Personal Data confidential;</w:t>
      </w:r>
      <w:bookmarkEnd w:id="50"/>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transfer;</w:t>
      </w:r>
      <w:bookmarkEnd w:id="52"/>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ubject has enforceable rights and effective legal remedies;</w:t>
      </w:r>
      <w:bookmarkEnd w:id="53"/>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Data;</w:t>
      </w:r>
      <w:bookmarkEnd w:id="55"/>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in ensuring compliance with its obligations under the Data Protection Legislation with respect to security, breach notifications, impact assessments and consultations with supervisory authorities or regulators;</w:t>
      </w:r>
      <w:bookmarkEnd w:id="56"/>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describe the incident, the nature of the breach and the circumstances in clear and plain language</w:t>
      </w:r>
      <w:r w:rsidR="00E15D68" w:rsidRPr="00286225">
        <w:rPr>
          <w:rFonts w:cs="Arial"/>
          <w:sz w:val="22"/>
          <w:szCs w:val="22"/>
        </w:rPr>
        <w:t>;</w:t>
      </w:r>
      <w:bookmarkEnd w:id="57"/>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communicate the name and contact details of the data protection officer or other contact point where more information can be obtained;</w:t>
      </w:r>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describe the likely consequences of the personal data breach;</w:t>
      </w:r>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describe the measures taken or proposed to be taken to address the personal data breach, including, where appropriate, measures to mitigate its possible adverse effects;</w:t>
      </w:r>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stage;</w:t>
      </w:r>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not consider the matter reported unless the Supplier receives an acknowledgement from the Customer;</w:t>
      </w:r>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from time to time</w:t>
      </w:r>
      <w:r w:rsidR="00571D0C" w:rsidRPr="00286225">
        <w:rPr>
          <w:rFonts w:cs="Arial"/>
          <w:sz w:val="22"/>
          <w:szCs w:val="22"/>
        </w:rPr>
        <w:t>;</w:t>
      </w:r>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Customer's auditor</w:t>
      </w:r>
      <w:r w:rsidR="00571D0C" w:rsidRPr="00286225">
        <w:rPr>
          <w:rFonts w:cs="Arial"/>
          <w:sz w:val="22"/>
          <w:szCs w:val="22"/>
        </w:rPr>
        <w:t>;</w:t>
      </w:r>
      <w:bookmarkEnd w:id="59"/>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tell the Customer immediately if it is asked to do something infringing Data Protection Legislation or other data protection law of the EU or a member state</w:t>
      </w:r>
      <w:r w:rsidR="00571D0C" w:rsidRPr="00286225">
        <w:rPr>
          <w:rFonts w:cs="Arial"/>
          <w:sz w:val="22"/>
          <w:szCs w:val="22"/>
        </w:rPr>
        <w:t>;</w:t>
      </w:r>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profits;</w:t>
      </w:r>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business;</w:t>
      </w:r>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revenue;</w:t>
      </w:r>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or damage to goodwill;</w:t>
      </w:r>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death or personal injury caused by its negligence or that of its Staff;</w:t>
      </w:r>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 or remedy it might have,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is in material breach of any obligation under the Agreement which is not capable of remedy;</w:t>
      </w:r>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of the Agreement;</w:t>
      </w:r>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is in material breach of any obligation which is capable of remedy, and that breach is not remedied within 30 days of the Supplier receiving notice specifying the breach and requiring it to be remedied;</w:t>
      </w:r>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1988;</w:t>
      </w:r>
      <w:bookmarkEnd w:id="74"/>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r w:rsidR="0040675F" w:rsidRPr="00286225">
        <w:rPr>
          <w:rFonts w:cs="Arial"/>
          <w:b w:val="0"/>
          <w:sz w:val="22"/>
          <w:szCs w:val="22"/>
        </w:rPr>
        <w:t>p</w:t>
      </w:r>
      <w:r w:rsidRPr="00286225">
        <w:rPr>
          <w:rFonts w:cs="Arial"/>
          <w:b w:val="0"/>
          <w:sz w:val="22"/>
          <w:szCs w:val="22"/>
        </w:rPr>
        <w:t>remises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Customer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recover in full from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month</w:t>
      </w:r>
      <w:r w:rsidRPr="00286225">
        <w:rPr>
          <w:rFonts w:cs="Arial"/>
          <w:b w:val="0"/>
          <w:sz w:val="22"/>
          <w:szCs w:val="22"/>
        </w:rPr>
        <w:t>, or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of delivery provided delivery is before 5.00pm on a Working Day. Otherwise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2AC6"/>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9D0"/>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2025-07-24T09:17:00Z</dcterms:created>
  <dcterms:modified xsi:type="dcterms:W3CDTF">2025-07-24T09:17:00Z</dcterms:modified>
</cp:coreProperties>
</file>