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9" w:type="dxa"/>
        <w:tblInd w:w="-199" w:type="dxa"/>
        <w:tblLayout w:type="fixed"/>
        <w:tblCellMar>
          <w:left w:w="57" w:type="dxa"/>
          <w:right w:w="57" w:type="dxa"/>
        </w:tblCellMar>
        <w:tblLook w:val="0020" w:firstRow="1" w:lastRow="0" w:firstColumn="0" w:lastColumn="0" w:noHBand="0" w:noVBand="0"/>
      </w:tblPr>
      <w:tblGrid>
        <w:gridCol w:w="173"/>
        <w:gridCol w:w="9636"/>
      </w:tblGrid>
      <w:tr w:rsidR="00F72F39" w14:paraId="1BC1D67A" w14:textId="77777777" w:rsidTr="00CB63E6">
        <w:trPr>
          <w:trHeight w:val="4520"/>
        </w:trPr>
        <w:tc>
          <w:tcPr>
            <w:tcW w:w="173" w:type="dxa"/>
            <w:shd w:val="clear" w:color="auto" w:fill="auto"/>
          </w:tcPr>
          <w:p w14:paraId="190DC5E0" w14:textId="77777777" w:rsidR="00F72F39" w:rsidRDefault="00F72F39"/>
        </w:tc>
        <w:tc>
          <w:tcPr>
            <w:tcW w:w="9636" w:type="dxa"/>
            <w:shd w:val="clear" w:color="auto" w:fill="auto"/>
          </w:tcPr>
          <w:p w14:paraId="614688F1" w14:textId="77777777" w:rsidR="006F5C6A" w:rsidRDefault="006F5C6A" w:rsidP="00C04337">
            <w:pPr>
              <w:pStyle w:val="Cover-ReportTitle"/>
            </w:pPr>
            <w:bookmarkStart w:id="0" w:name="_Hlk163741831"/>
          </w:p>
          <w:p w14:paraId="406CD2EE" w14:textId="06360410" w:rsidR="00C04337" w:rsidRPr="00CC6E42" w:rsidRDefault="00F361B0" w:rsidP="00C04337">
            <w:pPr>
              <w:pStyle w:val="Cover-ReportTitle"/>
            </w:pPr>
            <w:r>
              <w:t>Competitive Flexible Procedure</w:t>
            </w:r>
            <w:r w:rsidR="00C04337">
              <w:t xml:space="preserve"> </w:t>
            </w:r>
            <w:r>
              <w:t>(P</w:t>
            </w:r>
            <w:r w:rsidR="006461CC">
              <w:t xml:space="preserve">rocurement </w:t>
            </w:r>
            <w:r>
              <w:t>A</w:t>
            </w:r>
            <w:r w:rsidR="006461CC">
              <w:t>ct</w:t>
            </w:r>
            <w:r>
              <w:t> 2023)</w:t>
            </w:r>
          </w:p>
          <w:bookmarkEnd w:id="0"/>
          <w:p w14:paraId="29E4C2EA" w14:textId="768AF458" w:rsidR="00C04337" w:rsidRDefault="006F5C6A" w:rsidP="00C04337">
            <w:pPr>
              <w:pStyle w:val="Cover-Subtitle"/>
            </w:pPr>
            <w:r>
              <w:t>Asset Class Modelling &amp; Allocation Services</w:t>
            </w:r>
          </w:p>
          <w:p w14:paraId="196D80F4" w14:textId="03DCDA28" w:rsidR="00C04337" w:rsidRDefault="00D46D01" w:rsidP="00C04337">
            <w:pPr>
              <w:pStyle w:val="Cover-Subtitle"/>
            </w:pPr>
            <w:r>
              <w:t>P00125</w:t>
            </w:r>
          </w:p>
          <w:p w14:paraId="18F8CC49" w14:textId="2FE294F5" w:rsidR="00F72F39" w:rsidRDefault="006F5C6A" w:rsidP="00C04337">
            <w:pPr>
              <w:pStyle w:val="Cover-Subtitle"/>
            </w:pPr>
            <w:r>
              <w:t>Ian Inglis</w:t>
            </w:r>
          </w:p>
        </w:tc>
      </w:tr>
      <w:tr w:rsidR="00F72F39" w14:paraId="4F90307C" w14:textId="77777777" w:rsidTr="00CB63E6">
        <w:trPr>
          <w:trHeight w:val="1191"/>
        </w:trPr>
        <w:tc>
          <w:tcPr>
            <w:tcW w:w="173" w:type="dxa"/>
            <w:shd w:val="clear" w:color="auto" w:fill="auto"/>
          </w:tcPr>
          <w:p w14:paraId="764DC482" w14:textId="77777777" w:rsidR="00F72F39" w:rsidRDefault="00F72F39">
            <w:pPr>
              <w:pBdr>
                <w:top w:val="nil"/>
                <w:left w:val="nil"/>
                <w:bottom w:val="nil"/>
                <w:right w:val="nil"/>
                <w:between w:val="nil"/>
              </w:pBdr>
              <w:rPr>
                <w:color w:val="000000"/>
              </w:rPr>
            </w:pPr>
          </w:p>
        </w:tc>
        <w:tc>
          <w:tcPr>
            <w:tcW w:w="9636" w:type="dxa"/>
            <w:shd w:val="clear" w:color="auto" w:fill="auto"/>
          </w:tcPr>
          <w:p w14:paraId="2078A64A" w14:textId="664BF589" w:rsidR="00F72F39" w:rsidRDefault="00360FFA" w:rsidP="002C710C">
            <w:pPr>
              <w:pStyle w:val="Cover-Date"/>
            </w:pPr>
            <w:r>
              <w:t xml:space="preserve">March </w:t>
            </w:r>
            <w:r w:rsidR="006F5C6A">
              <w:t>2025</w:t>
            </w:r>
          </w:p>
        </w:tc>
      </w:tr>
    </w:tbl>
    <w:p w14:paraId="69A0E973" w14:textId="77777777" w:rsidR="00F72F39" w:rsidRDefault="00F72F39">
      <w:pPr>
        <w:pBdr>
          <w:top w:val="nil"/>
          <w:left w:val="nil"/>
          <w:bottom w:val="nil"/>
          <w:right w:val="nil"/>
          <w:between w:val="nil"/>
        </w:pBdr>
        <w:rPr>
          <w:color w:val="000000"/>
        </w:rPr>
      </w:pPr>
    </w:p>
    <w:p w14:paraId="5D28C9E6" w14:textId="77777777" w:rsidR="00F72F39" w:rsidRDefault="004E76AE">
      <w:pPr>
        <w:pBdr>
          <w:top w:val="nil"/>
          <w:left w:val="nil"/>
          <w:bottom w:val="nil"/>
          <w:right w:val="nil"/>
          <w:between w:val="nil"/>
        </w:pBdr>
      </w:pPr>
      <w:r>
        <w:br w:type="page"/>
      </w:r>
    </w:p>
    <w:tbl>
      <w:tblPr>
        <w:tblStyle w:val="af5"/>
        <w:tblW w:w="9512" w:type="dxa"/>
        <w:tblBorders>
          <w:bottom w:val="single" w:sz="4" w:space="0" w:color="000000"/>
          <w:insideH w:val="single" w:sz="4" w:space="0" w:color="000000"/>
        </w:tblBorders>
        <w:tblLayout w:type="fixed"/>
        <w:tblCellMar>
          <w:top w:w="57" w:type="dxa"/>
          <w:bottom w:w="57" w:type="dxa"/>
        </w:tblCellMar>
        <w:tblLook w:val="0420" w:firstRow="1" w:lastRow="0" w:firstColumn="0" w:lastColumn="0" w:noHBand="0" w:noVBand="1"/>
      </w:tblPr>
      <w:tblGrid>
        <w:gridCol w:w="1950"/>
        <w:gridCol w:w="2268"/>
        <w:gridCol w:w="1701"/>
        <w:gridCol w:w="3593"/>
      </w:tblGrid>
      <w:tr w:rsidR="004A1C8E" w14:paraId="3E941AA0" w14:textId="77777777" w:rsidTr="00CB63E6">
        <w:trPr>
          <w:cantSplit/>
          <w:tblHeader/>
        </w:trPr>
        <w:tc>
          <w:tcPr>
            <w:tcW w:w="9512" w:type="dxa"/>
            <w:gridSpan w:val="4"/>
            <w:tcBorders>
              <w:top w:val="nil"/>
              <w:bottom w:val="nil"/>
            </w:tcBorders>
            <w:shd w:val="clear" w:color="auto" w:fill="auto"/>
          </w:tcPr>
          <w:p w14:paraId="00D676B1" w14:textId="77777777" w:rsidR="004A1C8E" w:rsidRPr="002C710C" w:rsidRDefault="004A1C8E" w:rsidP="009E4535">
            <w:pPr>
              <w:rPr>
                <w:b/>
                <w:bCs/>
              </w:rPr>
            </w:pPr>
            <w:r>
              <w:rPr>
                <w:b/>
                <w:bCs/>
              </w:rPr>
              <w:lastRenderedPageBreak/>
              <w:t>Version control</w:t>
            </w:r>
          </w:p>
        </w:tc>
      </w:tr>
      <w:tr w:rsidR="004A1C8E" w14:paraId="75F7F9B3" w14:textId="77777777" w:rsidTr="00CB63E6">
        <w:trPr>
          <w:cantSplit/>
        </w:trPr>
        <w:tc>
          <w:tcPr>
            <w:tcW w:w="1950" w:type="dxa"/>
            <w:tcBorders>
              <w:top w:val="nil"/>
            </w:tcBorders>
            <w:shd w:val="clear" w:color="auto" w:fill="D9EBFF"/>
          </w:tcPr>
          <w:p w14:paraId="52CE3A0D" w14:textId="77777777" w:rsidR="004A1C8E" w:rsidRPr="002C710C" w:rsidRDefault="004A1C8E" w:rsidP="009E4535">
            <w:pPr>
              <w:rPr>
                <w:b/>
                <w:bCs/>
              </w:rPr>
            </w:pPr>
            <w:r w:rsidRPr="002C710C">
              <w:rPr>
                <w:b/>
                <w:bCs/>
              </w:rPr>
              <w:t>Version number</w:t>
            </w:r>
          </w:p>
        </w:tc>
        <w:tc>
          <w:tcPr>
            <w:tcW w:w="2268" w:type="dxa"/>
            <w:tcBorders>
              <w:top w:val="nil"/>
            </w:tcBorders>
            <w:shd w:val="clear" w:color="auto" w:fill="D9EBFF"/>
          </w:tcPr>
          <w:p w14:paraId="4C95E66E" w14:textId="77777777" w:rsidR="004A1C8E" w:rsidRPr="002C710C" w:rsidRDefault="004A1C8E" w:rsidP="009E4535">
            <w:pPr>
              <w:rPr>
                <w:b/>
                <w:bCs/>
              </w:rPr>
            </w:pPr>
            <w:r w:rsidRPr="002C710C">
              <w:rPr>
                <w:b/>
                <w:bCs/>
              </w:rPr>
              <w:t>Author</w:t>
            </w:r>
          </w:p>
        </w:tc>
        <w:tc>
          <w:tcPr>
            <w:tcW w:w="1701" w:type="dxa"/>
            <w:tcBorders>
              <w:top w:val="nil"/>
            </w:tcBorders>
            <w:shd w:val="clear" w:color="auto" w:fill="D9EBFF"/>
          </w:tcPr>
          <w:p w14:paraId="2DB5DE68" w14:textId="77777777" w:rsidR="004A1C8E" w:rsidRPr="002C710C" w:rsidRDefault="004A1C8E" w:rsidP="009E4535">
            <w:pPr>
              <w:rPr>
                <w:b/>
                <w:bCs/>
              </w:rPr>
            </w:pPr>
            <w:r w:rsidRPr="002C710C">
              <w:rPr>
                <w:b/>
                <w:bCs/>
              </w:rPr>
              <w:t>Date</w:t>
            </w:r>
          </w:p>
        </w:tc>
        <w:tc>
          <w:tcPr>
            <w:tcW w:w="3593" w:type="dxa"/>
            <w:tcBorders>
              <w:top w:val="nil"/>
            </w:tcBorders>
            <w:shd w:val="clear" w:color="auto" w:fill="D9EBFF"/>
          </w:tcPr>
          <w:p w14:paraId="35220A75" w14:textId="77777777" w:rsidR="004A1C8E" w:rsidRPr="002C710C" w:rsidRDefault="004A1C8E" w:rsidP="009E4535">
            <w:pPr>
              <w:rPr>
                <w:b/>
                <w:bCs/>
              </w:rPr>
            </w:pPr>
            <w:r w:rsidRPr="002C710C">
              <w:rPr>
                <w:b/>
                <w:bCs/>
              </w:rPr>
              <w:t>Changes</w:t>
            </w:r>
          </w:p>
        </w:tc>
      </w:tr>
      <w:tr w:rsidR="004A1C8E" w14:paraId="5A3F7DC2" w14:textId="77777777" w:rsidTr="00CB63E6">
        <w:trPr>
          <w:cantSplit/>
        </w:trPr>
        <w:tc>
          <w:tcPr>
            <w:tcW w:w="1950" w:type="dxa"/>
          </w:tcPr>
          <w:p w14:paraId="45334801" w14:textId="55C6A8C4" w:rsidR="004A1C8E" w:rsidRDefault="004553B7" w:rsidP="009E4535">
            <w:pPr>
              <w:rPr>
                <w:color w:val="000000"/>
              </w:rPr>
            </w:pPr>
            <w:r>
              <w:rPr>
                <w:color w:val="000000"/>
              </w:rPr>
              <w:t>0.1</w:t>
            </w:r>
          </w:p>
        </w:tc>
        <w:tc>
          <w:tcPr>
            <w:tcW w:w="2268" w:type="dxa"/>
          </w:tcPr>
          <w:p w14:paraId="5B5E317E" w14:textId="77777777" w:rsidR="004A1C8E" w:rsidRDefault="004A1C8E" w:rsidP="009E4535">
            <w:pPr>
              <w:rPr>
                <w:color w:val="000000"/>
              </w:rPr>
            </w:pPr>
          </w:p>
        </w:tc>
        <w:tc>
          <w:tcPr>
            <w:tcW w:w="1701" w:type="dxa"/>
          </w:tcPr>
          <w:p w14:paraId="479D9487" w14:textId="688F6C76" w:rsidR="004A1C8E" w:rsidRDefault="004553B7" w:rsidP="009E4535">
            <w:pPr>
              <w:rPr>
                <w:color w:val="000000"/>
              </w:rPr>
            </w:pPr>
            <w:r>
              <w:rPr>
                <w:color w:val="000000"/>
              </w:rPr>
              <w:t>18</w:t>
            </w:r>
            <w:r w:rsidRPr="004553B7">
              <w:rPr>
                <w:color w:val="000000"/>
                <w:vertAlign w:val="superscript"/>
              </w:rPr>
              <w:t>th</w:t>
            </w:r>
            <w:r>
              <w:rPr>
                <w:color w:val="000000"/>
              </w:rPr>
              <w:t xml:space="preserve"> Feb 25</w:t>
            </w:r>
          </w:p>
        </w:tc>
        <w:tc>
          <w:tcPr>
            <w:tcW w:w="3593" w:type="dxa"/>
          </w:tcPr>
          <w:p w14:paraId="0357CC26" w14:textId="73263400" w:rsidR="004A1C8E" w:rsidRDefault="004553B7" w:rsidP="009E4535">
            <w:pPr>
              <w:rPr>
                <w:color w:val="000000"/>
              </w:rPr>
            </w:pPr>
            <w:r>
              <w:rPr>
                <w:color w:val="000000"/>
              </w:rPr>
              <w:t>Template modified to reflect LCIV requirements.</w:t>
            </w:r>
          </w:p>
        </w:tc>
      </w:tr>
      <w:tr w:rsidR="004A1C8E" w14:paraId="69413C0E" w14:textId="77777777" w:rsidTr="00CB63E6">
        <w:trPr>
          <w:cantSplit/>
          <w:trHeight w:val="264"/>
        </w:trPr>
        <w:tc>
          <w:tcPr>
            <w:tcW w:w="1950" w:type="dxa"/>
          </w:tcPr>
          <w:p w14:paraId="50C85EE8" w14:textId="38FA93D2" w:rsidR="004A1C8E" w:rsidRDefault="00360FFA" w:rsidP="009E4535">
            <w:pPr>
              <w:rPr>
                <w:color w:val="000000"/>
              </w:rPr>
            </w:pPr>
            <w:r>
              <w:rPr>
                <w:color w:val="000000"/>
              </w:rPr>
              <w:t>0.2</w:t>
            </w:r>
          </w:p>
        </w:tc>
        <w:tc>
          <w:tcPr>
            <w:tcW w:w="2268" w:type="dxa"/>
          </w:tcPr>
          <w:p w14:paraId="31EDC58C" w14:textId="77777777" w:rsidR="004A1C8E" w:rsidRDefault="004A1C8E" w:rsidP="009E4535">
            <w:pPr>
              <w:rPr>
                <w:color w:val="000000"/>
              </w:rPr>
            </w:pPr>
          </w:p>
        </w:tc>
        <w:tc>
          <w:tcPr>
            <w:tcW w:w="1701" w:type="dxa"/>
          </w:tcPr>
          <w:p w14:paraId="09C0487B" w14:textId="11AF394B" w:rsidR="004A1C8E" w:rsidRDefault="00360FFA" w:rsidP="009E4535">
            <w:pPr>
              <w:rPr>
                <w:color w:val="000000"/>
              </w:rPr>
            </w:pPr>
            <w:r>
              <w:rPr>
                <w:color w:val="000000"/>
              </w:rPr>
              <w:t>29</w:t>
            </w:r>
            <w:r w:rsidRPr="00360FFA">
              <w:rPr>
                <w:color w:val="000000"/>
                <w:vertAlign w:val="superscript"/>
              </w:rPr>
              <w:t>th</w:t>
            </w:r>
            <w:r>
              <w:rPr>
                <w:color w:val="000000"/>
              </w:rPr>
              <w:t xml:space="preserve"> Mar 25</w:t>
            </w:r>
          </w:p>
        </w:tc>
        <w:tc>
          <w:tcPr>
            <w:tcW w:w="3593" w:type="dxa"/>
          </w:tcPr>
          <w:p w14:paraId="30A94823" w14:textId="39D89F5E" w:rsidR="004A1C8E" w:rsidRDefault="00360FFA" w:rsidP="009E4535">
            <w:pPr>
              <w:rPr>
                <w:color w:val="000000"/>
              </w:rPr>
            </w:pPr>
            <w:r>
              <w:rPr>
                <w:color w:val="000000"/>
              </w:rPr>
              <w:t>Final version after review</w:t>
            </w:r>
          </w:p>
        </w:tc>
      </w:tr>
      <w:tr w:rsidR="00144A55" w14:paraId="30B95228" w14:textId="77777777" w:rsidTr="00CB63E6">
        <w:trPr>
          <w:cantSplit/>
          <w:trHeight w:val="264"/>
        </w:trPr>
        <w:tc>
          <w:tcPr>
            <w:tcW w:w="1950" w:type="dxa"/>
          </w:tcPr>
          <w:p w14:paraId="06A9E105" w14:textId="77777777" w:rsidR="00144A55" w:rsidRDefault="00144A55" w:rsidP="009E4535">
            <w:pPr>
              <w:rPr>
                <w:color w:val="000000"/>
              </w:rPr>
            </w:pPr>
          </w:p>
        </w:tc>
        <w:tc>
          <w:tcPr>
            <w:tcW w:w="2268" w:type="dxa"/>
          </w:tcPr>
          <w:p w14:paraId="3E2A40ED" w14:textId="77777777" w:rsidR="00144A55" w:rsidRDefault="00144A55" w:rsidP="009E4535">
            <w:pPr>
              <w:rPr>
                <w:color w:val="000000"/>
              </w:rPr>
            </w:pPr>
          </w:p>
        </w:tc>
        <w:tc>
          <w:tcPr>
            <w:tcW w:w="1701" w:type="dxa"/>
          </w:tcPr>
          <w:p w14:paraId="7609A234" w14:textId="77777777" w:rsidR="00144A55" w:rsidRDefault="00144A55" w:rsidP="009E4535">
            <w:pPr>
              <w:rPr>
                <w:color w:val="000000"/>
              </w:rPr>
            </w:pPr>
          </w:p>
        </w:tc>
        <w:tc>
          <w:tcPr>
            <w:tcW w:w="3593" w:type="dxa"/>
          </w:tcPr>
          <w:p w14:paraId="6AA0AA7C" w14:textId="77777777" w:rsidR="00144A55" w:rsidRDefault="00144A55" w:rsidP="009E4535">
            <w:pPr>
              <w:rPr>
                <w:color w:val="000000"/>
              </w:rPr>
            </w:pPr>
          </w:p>
        </w:tc>
      </w:tr>
    </w:tbl>
    <w:p w14:paraId="50918CB7" w14:textId="77777777" w:rsidR="009D0F86" w:rsidRDefault="009D0F86" w:rsidP="009D0F86">
      <w:pPr>
        <w:rPr>
          <w:sz w:val="20"/>
          <w:szCs w:val="20"/>
        </w:rPr>
      </w:pPr>
      <w:r>
        <w:rPr>
          <w:sz w:val="20"/>
          <w:szCs w:val="20"/>
        </w:rPr>
        <w:t>*Add rows as required</w:t>
      </w:r>
    </w:p>
    <w:p w14:paraId="7AD02D8E" w14:textId="77777777" w:rsidR="004A1C8E" w:rsidRDefault="004A1C8E" w:rsidP="009D0F86">
      <w:pPr>
        <w:pStyle w:val="BodyText1"/>
      </w:pPr>
    </w:p>
    <w:p w14:paraId="1F70A210" w14:textId="77777777" w:rsidR="00DB13CD" w:rsidRDefault="00DB13CD" w:rsidP="009D0F86">
      <w:pPr>
        <w:pStyle w:val="BodyText1"/>
      </w:pPr>
    </w:p>
    <w:p w14:paraId="3F0614DB" w14:textId="77777777" w:rsidR="00D35FD0" w:rsidRDefault="00D35FD0" w:rsidP="009D0F86">
      <w:pPr>
        <w:pStyle w:val="BodyText1"/>
        <w:spacing w:before="4800"/>
      </w:pPr>
    </w:p>
    <w:p w14:paraId="6AD90F8A" w14:textId="3B97E9CD" w:rsidR="00D35FD0" w:rsidRDefault="00B3468E" w:rsidP="009D0F86">
      <w:pPr>
        <w:pStyle w:val="BodyText1"/>
      </w:pPr>
      <w:r>
        <w:rPr>
          <w:noProof/>
        </w:rPr>
        <w:t xml:space="preserve"> </w:t>
      </w:r>
    </w:p>
    <w:p w14:paraId="2435FFEB" w14:textId="77777777" w:rsidR="00D35FD0" w:rsidRDefault="00D35FD0">
      <w:pPr>
        <w:pBdr>
          <w:top w:val="nil"/>
          <w:left w:val="nil"/>
          <w:bottom w:val="nil"/>
          <w:right w:val="nil"/>
          <w:between w:val="nil"/>
        </w:pBdr>
        <w:rPr>
          <w:color w:val="000000"/>
        </w:rPr>
      </w:pPr>
    </w:p>
    <w:p w14:paraId="46A7ABAB" w14:textId="77777777" w:rsidR="00D35FD0" w:rsidRDefault="00D35FD0">
      <w:pPr>
        <w:pBdr>
          <w:top w:val="nil"/>
          <w:left w:val="nil"/>
          <w:bottom w:val="nil"/>
          <w:right w:val="nil"/>
          <w:between w:val="nil"/>
        </w:pBdr>
        <w:rPr>
          <w:color w:val="000000"/>
        </w:rPr>
        <w:sectPr w:rsidR="00D35FD0" w:rsidSect="001C5F1D">
          <w:headerReference w:type="default" r:id="rId12"/>
          <w:footerReference w:type="even" r:id="rId13"/>
          <w:footerReference w:type="default" r:id="rId14"/>
          <w:headerReference w:type="first" r:id="rId15"/>
          <w:footerReference w:type="first" r:id="rId16"/>
          <w:type w:val="continuous"/>
          <w:pgSz w:w="11906" w:h="16838"/>
          <w:pgMar w:top="1701" w:right="1134" w:bottom="1134" w:left="1134" w:header="567" w:footer="340" w:gutter="0"/>
          <w:cols w:space="720"/>
        </w:sectPr>
      </w:pPr>
    </w:p>
    <w:p w14:paraId="29719C09" w14:textId="77777777" w:rsidR="00F72F39" w:rsidRPr="00F479AC" w:rsidRDefault="004E76AE" w:rsidP="00D35FD0">
      <w:pPr>
        <w:keepNext/>
        <w:pBdr>
          <w:top w:val="nil"/>
          <w:left w:val="nil"/>
          <w:bottom w:val="nil"/>
          <w:right w:val="nil"/>
          <w:between w:val="nil"/>
        </w:pBdr>
        <w:spacing w:after="600"/>
        <w:rPr>
          <w:b/>
          <w:color w:val="005ABB" w:themeColor="accent2"/>
          <w:sz w:val="50"/>
          <w:szCs w:val="50"/>
        </w:rPr>
      </w:pPr>
      <w:r w:rsidRPr="00F479AC">
        <w:rPr>
          <w:b/>
          <w:color w:val="005ABB" w:themeColor="accent2"/>
          <w:sz w:val="50"/>
          <w:szCs w:val="50"/>
        </w:rPr>
        <w:lastRenderedPageBreak/>
        <w:t>Contents</w:t>
      </w:r>
    </w:p>
    <w:sdt>
      <w:sdtPr>
        <w:id w:val="-1060397390"/>
        <w:docPartObj>
          <w:docPartGallery w:val="Table of Contents"/>
          <w:docPartUnique/>
        </w:docPartObj>
      </w:sdtPr>
      <w:sdtEndPr/>
      <w:sdtContent>
        <w:p w14:paraId="376B073D" w14:textId="78C8F6ED" w:rsidR="00AE7DE5" w:rsidRDefault="005963DA">
          <w:pPr>
            <w:pStyle w:val="TOC1"/>
            <w:rPr>
              <w:rFonts w:eastAsiaTheme="minorEastAsia" w:cstheme="minorBidi"/>
              <w:b w:val="0"/>
              <w:noProof/>
              <w:kern w:val="2"/>
              <w14:ligatures w14:val="standardContextual"/>
            </w:rPr>
          </w:pPr>
          <w:r>
            <w:fldChar w:fldCharType="begin"/>
          </w:r>
          <w:r>
            <w:instrText xml:space="preserve"> TOC \o "1-1" \h \z \t "Heading 2,2" </w:instrText>
          </w:r>
          <w:r>
            <w:fldChar w:fldCharType="separate"/>
          </w:r>
          <w:hyperlink w:anchor="_Toc193095854" w:history="1">
            <w:r w:rsidR="00AE7DE5" w:rsidRPr="007B31D1">
              <w:rPr>
                <w:rStyle w:val="Hyperlink"/>
                <w:noProof/>
              </w:rPr>
              <w:t>Deadline for responding to this document</w:t>
            </w:r>
            <w:r w:rsidR="00AE7DE5">
              <w:rPr>
                <w:noProof/>
                <w:webHidden/>
              </w:rPr>
              <w:tab/>
            </w:r>
            <w:r w:rsidR="00AE7DE5">
              <w:rPr>
                <w:noProof/>
                <w:webHidden/>
              </w:rPr>
              <w:fldChar w:fldCharType="begin"/>
            </w:r>
            <w:r w:rsidR="00AE7DE5">
              <w:rPr>
                <w:noProof/>
                <w:webHidden/>
              </w:rPr>
              <w:instrText xml:space="preserve"> PAGEREF _Toc193095854 \h </w:instrText>
            </w:r>
            <w:r w:rsidR="00AE7DE5">
              <w:rPr>
                <w:noProof/>
                <w:webHidden/>
              </w:rPr>
            </w:r>
            <w:r w:rsidR="00AE7DE5">
              <w:rPr>
                <w:noProof/>
                <w:webHidden/>
              </w:rPr>
              <w:fldChar w:fldCharType="separate"/>
            </w:r>
            <w:r w:rsidR="00AE7DE5">
              <w:rPr>
                <w:noProof/>
                <w:webHidden/>
              </w:rPr>
              <w:t>6</w:t>
            </w:r>
            <w:r w:rsidR="00AE7DE5">
              <w:rPr>
                <w:noProof/>
                <w:webHidden/>
              </w:rPr>
              <w:fldChar w:fldCharType="end"/>
            </w:r>
          </w:hyperlink>
        </w:p>
        <w:p w14:paraId="20017E49" w14:textId="3F473EA5" w:rsidR="00AE7DE5" w:rsidRDefault="00AE7DE5">
          <w:pPr>
            <w:pStyle w:val="TOC1"/>
            <w:rPr>
              <w:rFonts w:eastAsiaTheme="minorEastAsia" w:cstheme="minorBidi"/>
              <w:b w:val="0"/>
              <w:noProof/>
              <w:kern w:val="2"/>
              <w14:ligatures w14:val="standardContextual"/>
            </w:rPr>
          </w:pPr>
          <w:hyperlink w:anchor="_Toc193095855" w:history="1">
            <w:r w:rsidRPr="007B31D1">
              <w:rPr>
                <w:rStyle w:val="Hyperlink"/>
                <w:noProof/>
              </w:rPr>
              <w:t>Introduction</w:t>
            </w:r>
            <w:r>
              <w:rPr>
                <w:noProof/>
                <w:webHidden/>
              </w:rPr>
              <w:tab/>
            </w:r>
            <w:r>
              <w:rPr>
                <w:noProof/>
                <w:webHidden/>
              </w:rPr>
              <w:fldChar w:fldCharType="begin"/>
            </w:r>
            <w:r>
              <w:rPr>
                <w:noProof/>
                <w:webHidden/>
              </w:rPr>
              <w:instrText xml:space="preserve"> PAGEREF _Toc193095855 \h </w:instrText>
            </w:r>
            <w:r>
              <w:rPr>
                <w:noProof/>
                <w:webHidden/>
              </w:rPr>
            </w:r>
            <w:r>
              <w:rPr>
                <w:noProof/>
                <w:webHidden/>
              </w:rPr>
              <w:fldChar w:fldCharType="separate"/>
            </w:r>
            <w:r>
              <w:rPr>
                <w:noProof/>
                <w:webHidden/>
              </w:rPr>
              <w:t>7</w:t>
            </w:r>
            <w:r>
              <w:rPr>
                <w:noProof/>
                <w:webHidden/>
              </w:rPr>
              <w:fldChar w:fldCharType="end"/>
            </w:r>
          </w:hyperlink>
        </w:p>
        <w:p w14:paraId="7456892A" w14:textId="79FB15D6" w:rsidR="00AE7DE5" w:rsidRDefault="00AE7DE5">
          <w:pPr>
            <w:pStyle w:val="TOC1"/>
            <w:rPr>
              <w:rFonts w:eastAsiaTheme="minorEastAsia" w:cstheme="minorBidi"/>
              <w:b w:val="0"/>
              <w:noProof/>
              <w:kern w:val="2"/>
              <w14:ligatures w14:val="standardContextual"/>
            </w:rPr>
          </w:pPr>
          <w:hyperlink w:anchor="_Toc193095856" w:history="1">
            <w:r w:rsidRPr="007B31D1">
              <w:rPr>
                <w:rStyle w:val="Hyperlink"/>
                <w:noProof/>
              </w:rPr>
              <w:t>Introduction to the Authority</w:t>
            </w:r>
            <w:r>
              <w:rPr>
                <w:noProof/>
                <w:webHidden/>
              </w:rPr>
              <w:tab/>
            </w:r>
            <w:r>
              <w:rPr>
                <w:noProof/>
                <w:webHidden/>
              </w:rPr>
              <w:fldChar w:fldCharType="begin"/>
            </w:r>
            <w:r>
              <w:rPr>
                <w:noProof/>
                <w:webHidden/>
              </w:rPr>
              <w:instrText xml:space="preserve"> PAGEREF _Toc193095856 \h </w:instrText>
            </w:r>
            <w:r>
              <w:rPr>
                <w:noProof/>
                <w:webHidden/>
              </w:rPr>
            </w:r>
            <w:r>
              <w:rPr>
                <w:noProof/>
                <w:webHidden/>
              </w:rPr>
              <w:fldChar w:fldCharType="separate"/>
            </w:r>
            <w:r>
              <w:rPr>
                <w:noProof/>
                <w:webHidden/>
              </w:rPr>
              <w:t>8</w:t>
            </w:r>
            <w:r>
              <w:rPr>
                <w:noProof/>
                <w:webHidden/>
              </w:rPr>
              <w:fldChar w:fldCharType="end"/>
            </w:r>
          </w:hyperlink>
        </w:p>
        <w:p w14:paraId="36D8F783" w14:textId="4FFF9084" w:rsidR="00AE7DE5" w:rsidRDefault="00AE7DE5">
          <w:pPr>
            <w:pStyle w:val="TOC1"/>
            <w:rPr>
              <w:rFonts w:eastAsiaTheme="minorEastAsia" w:cstheme="minorBidi"/>
              <w:b w:val="0"/>
              <w:noProof/>
              <w:kern w:val="2"/>
              <w14:ligatures w14:val="standardContextual"/>
            </w:rPr>
          </w:pPr>
          <w:hyperlink w:anchor="_Toc193095857" w:history="1">
            <w:r w:rsidRPr="007B31D1">
              <w:rPr>
                <w:rStyle w:val="Hyperlink"/>
                <w:noProof/>
              </w:rPr>
              <w:t>Overview of the Authority’s requirement</w:t>
            </w:r>
            <w:r>
              <w:rPr>
                <w:noProof/>
                <w:webHidden/>
              </w:rPr>
              <w:tab/>
            </w:r>
            <w:r>
              <w:rPr>
                <w:noProof/>
                <w:webHidden/>
              </w:rPr>
              <w:fldChar w:fldCharType="begin"/>
            </w:r>
            <w:r>
              <w:rPr>
                <w:noProof/>
                <w:webHidden/>
              </w:rPr>
              <w:instrText xml:space="preserve"> PAGEREF _Toc193095857 \h </w:instrText>
            </w:r>
            <w:r>
              <w:rPr>
                <w:noProof/>
                <w:webHidden/>
              </w:rPr>
            </w:r>
            <w:r>
              <w:rPr>
                <w:noProof/>
                <w:webHidden/>
              </w:rPr>
              <w:fldChar w:fldCharType="separate"/>
            </w:r>
            <w:r>
              <w:rPr>
                <w:noProof/>
                <w:webHidden/>
              </w:rPr>
              <w:t>9</w:t>
            </w:r>
            <w:r>
              <w:rPr>
                <w:noProof/>
                <w:webHidden/>
              </w:rPr>
              <w:fldChar w:fldCharType="end"/>
            </w:r>
          </w:hyperlink>
        </w:p>
        <w:p w14:paraId="3C9C1BC1" w14:textId="02C1CB35" w:rsidR="00AE7DE5" w:rsidRDefault="00AE7DE5">
          <w:pPr>
            <w:pStyle w:val="TOC1"/>
            <w:rPr>
              <w:rFonts w:eastAsiaTheme="minorEastAsia" w:cstheme="minorBidi"/>
              <w:b w:val="0"/>
              <w:noProof/>
              <w:kern w:val="2"/>
              <w14:ligatures w14:val="standardContextual"/>
            </w:rPr>
          </w:pPr>
          <w:hyperlink w:anchor="_Toc193095858" w:history="1">
            <w:r w:rsidRPr="007B31D1">
              <w:rPr>
                <w:rStyle w:val="Hyperlink"/>
                <w:noProof/>
              </w:rPr>
              <w:t>Preliminary market engagement</w:t>
            </w:r>
            <w:r>
              <w:rPr>
                <w:noProof/>
                <w:webHidden/>
              </w:rPr>
              <w:tab/>
            </w:r>
            <w:r>
              <w:rPr>
                <w:noProof/>
                <w:webHidden/>
              </w:rPr>
              <w:fldChar w:fldCharType="begin"/>
            </w:r>
            <w:r>
              <w:rPr>
                <w:noProof/>
                <w:webHidden/>
              </w:rPr>
              <w:instrText xml:space="preserve"> PAGEREF _Toc193095858 \h </w:instrText>
            </w:r>
            <w:r>
              <w:rPr>
                <w:noProof/>
                <w:webHidden/>
              </w:rPr>
            </w:r>
            <w:r>
              <w:rPr>
                <w:noProof/>
                <w:webHidden/>
              </w:rPr>
              <w:fldChar w:fldCharType="separate"/>
            </w:r>
            <w:r>
              <w:rPr>
                <w:noProof/>
                <w:webHidden/>
              </w:rPr>
              <w:t>10</w:t>
            </w:r>
            <w:r>
              <w:rPr>
                <w:noProof/>
                <w:webHidden/>
              </w:rPr>
              <w:fldChar w:fldCharType="end"/>
            </w:r>
          </w:hyperlink>
        </w:p>
        <w:p w14:paraId="4BE199AC" w14:textId="57A2BE58" w:rsidR="00AE7DE5" w:rsidRDefault="00AE7DE5">
          <w:pPr>
            <w:pStyle w:val="TOC1"/>
            <w:rPr>
              <w:rFonts w:eastAsiaTheme="minorEastAsia" w:cstheme="minorBidi"/>
              <w:b w:val="0"/>
              <w:noProof/>
              <w:kern w:val="2"/>
              <w14:ligatures w14:val="standardContextual"/>
            </w:rPr>
          </w:pPr>
          <w:hyperlink w:anchor="_Toc193095859" w:history="1">
            <w:r w:rsidRPr="007B31D1">
              <w:rPr>
                <w:rStyle w:val="Hyperlink"/>
                <w:noProof/>
              </w:rPr>
              <w:t>The Procurement process</w:t>
            </w:r>
            <w:r>
              <w:rPr>
                <w:noProof/>
                <w:webHidden/>
              </w:rPr>
              <w:tab/>
            </w:r>
            <w:r>
              <w:rPr>
                <w:noProof/>
                <w:webHidden/>
              </w:rPr>
              <w:fldChar w:fldCharType="begin"/>
            </w:r>
            <w:r>
              <w:rPr>
                <w:noProof/>
                <w:webHidden/>
              </w:rPr>
              <w:instrText xml:space="preserve"> PAGEREF _Toc193095859 \h </w:instrText>
            </w:r>
            <w:r>
              <w:rPr>
                <w:noProof/>
                <w:webHidden/>
              </w:rPr>
            </w:r>
            <w:r>
              <w:rPr>
                <w:noProof/>
                <w:webHidden/>
              </w:rPr>
              <w:fldChar w:fldCharType="separate"/>
            </w:r>
            <w:r>
              <w:rPr>
                <w:noProof/>
                <w:webHidden/>
              </w:rPr>
              <w:t>11</w:t>
            </w:r>
            <w:r>
              <w:rPr>
                <w:noProof/>
                <w:webHidden/>
              </w:rPr>
              <w:fldChar w:fldCharType="end"/>
            </w:r>
          </w:hyperlink>
        </w:p>
        <w:p w14:paraId="28D13E2B" w14:textId="251053CE" w:rsidR="00AE7DE5" w:rsidRDefault="00AE7DE5">
          <w:pPr>
            <w:pStyle w:val="TOC1"/>
            <w:rPr>
              <w:rFonts w:eastAsiaTheme="minorEastAsia" w:cstheme="minorBidi"/>
              <w:b w:val="0"/>
              <w:noProof/>
              <w:kern w:val="2"/>
              <w14:ligatures w14:val="standardContextual"/>
            </w:rPr>
          </w:pPr>
          <w:hyperlink w:anchor="_Toc193095860" w:history="1">
            <w:r w:rsidRPr="007B31D1">
              <w:rPr>
                <w:rStyle w:val="Hyperlink"/>
                <w:noProof/>
              </w:rPr>
              <w:t>Procurement timetable</w:t>
            </w:r>
            <w:r>
              <w:rPr>
                <w:noProof/>
                <w:webHidden/>
              </w:rPr>
              <w:tab/>
            </w:r>
            <w:r>
              <w:rPr>
                <w:noProof/>
                <w:webHidden/>
              </w:rPr>
              <w:fldChar w:fldCharType="begin"/>
            </w:r>
            <w:r>
              <w:rPr>
                <w:noProof/>
                <w:webHidden/>
              </w:rPr>
              <w:instrText xml:space="preserve"> PAGEREF _Toc193095860 \h </w:instrText>
            </w:r>
            <w:r>
              <w:rPr>
                <w:noProof/>
                <w:webHidden/>
              </w:rPr>
            </w:r>
            <w:r>
              <w:rPr>
                <w:noProof/>
                <w:webHidden/>
              </w:rPr>
              <w:fldChar w:fldCharType="separate"/>
            </w:r>
            <w:r>
              <w:rPr>
                <w:noProof/>
                <w:webHidden/>
              </w:rPr>
              <w:t>12</w:t>
            </w:r>
            <w:r>
              <w:rPr>
                <w:noProof/>
                <w:webHidden/>
              </w:rPr>
              <w:fldChar w:fldCharType="end"/>
            </w:r>
          </w:hyperlink>
        </w:p>
        <w:p w14:paraId="7E4AB38F" w14:textId="0813239B" w:rsidR="00AE7DE5" w:rsidRDefault="00AE7DE5">
          <w:pPr>
            <w:pStyle w:val="TOC1"/>
            <w:rPr>
              <w:rFonts w:eastAsiaTheme="minorEastAsia" w:cstheme="minorBidi"/>
              <w:b w:val="0"/>
              <w:noProof/>
              <w:kern w:val="2"/>
              <w14:ligatures w14:val="standardContextual"/>
            </w:rPr>
          </w:pPr>
          <w:hyperlink w:anchor="_Toc193095861" w:history="1">
            <w:r w:rsidRPr="007B31D1">
              <w:rPr>
                <w:rStyle w:val="Hyperlink"/>
                <w:noProof/>
              </w:rPr>
              <w:t>Service Levels, Service Credits and KPIs</w:t>
            </w:r>
            <w:r>
              <w:rPr>
                <w:noProof/>
                <w:webHidden/>
              </w:rPr>
              <w:tab/>
            </w:r>
            <w:r>
              <w:rPr>
                <w:noProof/>
                <w:webHidden/>
              </w:rPr>
              <w:fldChar w:fldCharType="begin"/>
            </w:r>
            <w:r>
              <w:rPr>
                <w:noProof/>
                <w:webHidden/>
              </w:rPr>
              <w:instrText xml:space="preserve"> PAGEREF _Toc193095861 \h </w:instrText>
            </w:r>
            <w:r>
              <w:rPr>
                <w:noProof/>
                <w:webHidden/>
              </w:rPr>
            </w:r>
            <w:r>
              <w:rPr>
                <w:noProof/>
                <w:webHidden/>
              </w:rPr>
              <w:fldChar w:fldCharType="separate"/>
            </w:r>
            <w:r>
              <w:rPr>
                <w:noProof/>
                <w:webHidden/>
              </w:rPr>
              <w:t>13</w:t>
            </w:r>
            <w:r>
              <w:rPr>
                <w:noProof/>
                <w:webHidden/>
              </w:rPr>
              <w:fldChar w:fldCharType="end"/>
            </w:r>
          </w:hyperlink>
        </w:p>
        <w:p w14:paraId="12D78125" w14:textId="01CEC92F" w:rsidR="00AE7DE5" w:rsidRDefault="00AE7DE5">
          <w:pPr>
            <w:pStyle w:val="TOC1"/>
            <w:rPr>
              <w:rFonts w:eastAsiaTheme="minorEastAsia" w:cstheme="minorBidi"/>
              <w:b w:val="0"/>
              <w:noProof/>
              <w:kern w:val="2"/>
              <w14:ligatures w14:val="standardContextual"/>
            </w:rPr>
          </w:pPr>
          <w:hyperlink w:anchor="_Toc193095862" w:history="1">
            <w:r w:rsidRPr="007B31D1">
              <w:rPr>
                <w:rStyle w:val="Hyperlink"/>
                <w:noProof/>
              </w:rPr>
              <w:t>Key dependencies</w:t>
            </w:r>
            <w:r>
              <w:rPr>
                <w:noProof/>
                <w:webHidden/>
              </w:rPr>
              <w:tab/>
            </w:r>
            <w:r>
              <w:rPr>
                <w:noProof/>
                <w:webHidden/>
              </w:rPr>
              <w:fldChar w:fldCharType="begin"/>
            </w:r>
            <w:r>
              <w:rPr>
                <w:noProof/>
                <w:webHidden/>
              </w:rPr>
              <w:instrText xml:space="preserve"> PAGEREF _Toc193095862 \h </w:instrText>
            </w:r>
            <w:r>
              <w:rPr>
                <w:noProof/>
                <w:webHidden/>
              </w:rPr>
            </w:r>
            <w:r>
              <w:rPr>
                <w:noProof/>
                <w:webHidden/>
              </w:rPr>
              <w:fldChar w:fldCharType="separate"/>
            </w:r>
            <w:r>
              <w:rPr>
                <w:noProof/>
                <w:webHidden/>
              </w:rPr>
              <w:t>14</w:t>
            </w:r>
            <w:r>
              <w:rPr>
                <w:noProof/>
                <w:webHidden/>
              </w:rPr>
              <w:fldChar w:fldCharType="end"/>
            </w:r>
          </w:hyperlink>
        </w:p>
        <w:p w14:paraId="70821638" w14:textId="417CAD0A" w:rsidR="00AE7DE5" w:rsidRDefault="00AE7DE5">
          <w:pPr>
            <w:pStyle w:val="TOC1"/>
            <w:rPr>
              <w:rFonts w:eastAsiaTheme="minorEastAsia" w:cstheme="minorBidi"/>
              <w:b w:val="0"/>
              <w:noProof/>
              <w:kern w:val="2"/>
              <w14:ligatures w14:val="standardContextual"/>
            </w:rPr>
          </w:pPr>
          <w:hyperlink w:anchor="_Toc193095863" w:history="1">
            <w:r w:rsidRPr="007B31D1">
              <w:rPr>
                <w:rStyle w:val="Hyperlink"/>
                <w:noProof/>
              </w:rPr>
              <w:t>Contract terms</w:t>
            </w:r>
            <w:r>
              <w:rPr>
                <w:noProof/>
                <w:webHidden/>
              </w:rPr>
              <w:tab/>
            </w:r>
            <w:r>
              <w:rPr>
                <w:noProof/>
                <w:webHidden/>
              </w:rPr>
              <w:fldChar w:fldCharType="begin"/>
            </w:r>
            <w:r>
              <w:rPr>
                <w:noProof/>
                <w:webHidden/>
              </w:rPr>
              <w:instrText xml:space="preserve"> PAGEREF _Toc193095863 \h </w:instrText>
            </w:r>
            <w:r>
              <w:rPr>
                <w:noProof/>
                <w:webHidden/>
              </w:rPr>
            </w:r>
            <w:r>
              <w:rPr>
                <w:noProof/>
                <w:webHidden/>
              </w:rPr>
              <w:fldChar w:fldCharType="separate"/>
            </w:r>
            <w:r>
              <w:rPr>
                <w:noProof/>
                <w:webHidden/>
              </w:rPr>
              <w:t>15</w:t>
            </w:r>
            <w:r>
              <w:rPr>
                <w:noProof/>
                <w:webHidden/>
              </w:rPr>
              <w:fldChar w:fldCharType="end"/>
            </w:r>
          </w:hyperlink>
        </w:p>
        <w:p w14:paraId="499B61DF" w14:textId="262872A7" w:rsidR="00AE7DE5" w:rsidRDefault="00AE7DE5">
          <w:pPr>
            <w:pStyle w:val="TOC1"/>
            <w:rPr>
              <w:rFonts w:eastAsiaTheme="minorEastAsia" w:cstheme="minorBidi"/>
              <w:b w:val="0"/>
              <w:noProof/>
              <w:kern w:val="2"/>
              <w14:ligatures w14:val="standardContextual"/>
            </w:rPr>
          </w:pPr>
          <w:hyperlink w:anchor="_Toc193095864" w:history="1">
            <w:r w:rsidRPr="007B31D1">
              <w:rPr>
                <w:rStyle w:val="Hyperlink"/>
                <w:noProof/>
              </w:rPr>
              <w:t>How to respond to this opportunity</w:t>
            </w:r>
            <w:r>
              <w:rPr>
                <w:noProof/>
                <w:webHidden/>
              </w:rPr>
              <w:tab/>
            </w:r>
            <w:r>
              <w:rPr>
                <w:noProof/>
                <w:webHidden/>
              </w:rPr>
              <w:fldChar w:fldCharType="begin"/>
            </w:r>
            <w:r>
              <w:rPr>
                <w:noProof/>
                <w:webHidden/>
              </w:rPr>
              <w:instrText xml:space="preserve"> PAGEREF _Toc193095864 \h </w:instrText>
            </w:r>
            <w:r>
              <w:rPr>
                <w:noProof/>
                <w:webHidden/>
              </w:rPr>
            </w:r>
            <w:r>
              <w:rPr>
                <w:noProof/>
                <w:webHidden/>
              </w:rPr>
              <w:fldChar w:fldCharType="separate"/>
            </w:r>
            <w:r>
              <w:rPr>
                <w:noProof/>
                <w:webHidden/>
              </w:rPr>
              <w:t>16</w:t>
            </w:r>
            <w:r>
              <w:rPr>
                <w:noProof/>
                <w:webHidden/>
              </w:rPr>
              <w:fldChar w:fldCharType="end"/>
            </w:r>
          </w:hyperlink>
        </w:p>
        <w:p w14:paraId="690687D8" w14:textId="39DE28DD" w:rsidR="00AE7DE5" w:rsidRDefault="00AE7DE5">
          <w:pPr>
            <w:pStyle w:val="TOC1"/>
            <w:rPr>
              <w:rFonts w:eastAsiaTheme="minorEastAsia" w:cstheme="minorBidi"/>
              <w:b w:val="0"/>
              <w:noProof/>
              <w:kern w:val="2"/>
              <w14:ligatures w14:val="standardContextual"/>
            </w:rPr>
          </w:pPr>
          <w:hyperlink w:anchor="_Toc193095865" w:history="1">
            <w:r w:rsidRPr="007B31D1">
              <w:rPr>
                <w:rStyle w:val="Hyperlink"/>
                <w:noProof/>
              </w:rPr>
              <w:t>Requests for clarification</w:t>
            </w:r>
            <w:r>
              <w:rPr>
                <w:noProof/>
                <w:webHidden/>
              </w:rPr>
              <w:tab/>
            </w:r>
            <w:r>
              <w:rPr>
                <w:noProof/>
                <w:webHidden/>
              </w:rPr>
              <w:fldChar w:fldCharType="begin"/>
            </w:r>
            <w:r>
              <w:rPr>
                <w:noProof/>
                <w:webHidden/>
              </w:rPr>
              <w:instrText xml:space="preserve"> PAGEREF _Toc193095865 \h </w:instrText>
            </w:r>
            <w:r>
              <w:rPr>
                <w:noProof/>
                <w:webHidden/>
              </w:rPr>
            </w:r>
            <w:r>
              <w:rPr>
                <w:noProof/>
                <w:webHidden/>
              </w:rPr>
              <w:fldChar w:fldCharType="separate"/>
            </w:r>
            <w:r>
              <w:rPr>
                <w:noProof/>
                <w:webHidden/>
              </w:rPr>
              <w:t>17</w:t>
            </w:r>
            <w:r>
              <w:rPr>
                <w:noProof/>
                <w:webHidden/>
              </w:rPr>
              <w:fldChar w:fldCharType="end"/>
            </w:r>
          </w:hyperlink>
        </w:p>
        <w:p w14:paraId="3A964F86" w14:textId="449F53F8" w:rsidR="00AE7DE5" w:rsidRDefault="00AE7DE5">
          <w:pPr>
            <w:pStyle w:val="TOC1"/>
            <w:rPr>
              <w:rFonts w:eastAsiaTheme="minorEastAsia" w:cstheme="minorBidi"/>
              <w:b w:val="0"/>
              <w:noProof/>
              <w:kern w:val="2"/>
              <w14:ligatures w14:val="standardContextual"/>
            </w:rPr>
          </w:pPr>
          <w:hyperlink w:anchor="_Toc193095866" w:history="1">
            <w:r w:rsidRPr="007B31D1">
              <w:rPr>
                <w:rStyle w:val="Hyperlink"/>
                <w:noProof/>
              </w:rPr>
              <w:t>The assessment process and award criteria</w:t>
            </w:r>
            <w:r>
              <w:rPr>
                <w:noProof/>
                <w:webHidden/>
              </w:rPr>
              <w:tab/>
            </w:r>
            <w:r>
              <w:rPr>
                <w:noProof/>
                <w:webHidden/>
              </w:rPr>
              <w:fldChar w:fldCharType="begin"/>
            </w:r>
            <w:r>
              <w:rPr>
                <w:noProof/>
                <w:webHidden/>
              </w:rPr>
              <w:instrText xml:space="preserve"> PAGEREF _Toc193095866 \h </w:instrText>
            </w:r>
            <w:r>
              <w:rPr>
                <w:noProof/>
                <w:webHidden/>
              </w:rPr>
            </w:r>
            <w:r>
              <w:rPr>
                <w:noProof/>
                <w:webHidden/>
              </w:rPr>
              <w:fldChar w:fldCharType="separate"/>
            </w:r>
            <w:r>
              <w:rPr>
                <w:noProof/>
                <w:webHidden/>
              </w:rPr>
              <w:t>18</w:t>
            </w:r>
            <w:r>
              <w:rPr>
                <w:noProof/>
                <w:webHidden/>
              </w:rPr>
              <w:fldChar w:fldCharType="end"/>
            </w:r>
          </w:hyperlink>
        </w:p>
        <w:p w14:paraId="33758A4B" w14:textId="66E35E50" w:rsidR="00AE7DE5" w:rsidRDefault="00AE7DE5">
          <w:pPr>
            <w:pStyle w:val="TOC1"/>
            <w:rPr>
              <w:rFonts w:eastAsiaTheme="minorEastAsia" w:cstheme="minorBidi"/>
              <w:b w:val="0"/>
              <w:noProof/>
              <w:kern w:val="2"/>
              <w14:ligatures w14:val="standardContextual"/>
            </w:rPr>
          </w:pPr>
          <w:hyperlink w:anchor="_Toc193095867" w:history="1">
            <w:r w:rsidRPr="007B31D1">
              <w:rPr>
                <w:rStyle w:val="Hyperlink"/>
                <w:noProof/>
              </w:rPr>
              <w:t>Appendix A: Procurement terms and conditions</w:t>
            </w:r>
            <w:r>
              <w:rPr>
                <w:noProof/>
                <w:webHidden/>
              </w:rPr>
              <w:tab/>
            </w:r>
            <w:r>
              <w:rPr>
                <w:noProof/>
                <w:webHidden/>
              </w:rPr>
              <w:fldChar w:fldCharType="begin"/>
            </w:r>
            <w:r>
              <w:rPr>
                <w:noProof/>
                <w:webHidden/>
              </w:rPr>
              <w:instrText xml:space="preserve"> PAGEREF _Toc193095867 \h </w:instrText>
            </w:r>
            <w:r>
              <w:rPr>
                <w:noProof/>
                <w:webHidden/>
              </w:rPr>
            </w:r>
            <w:r>
              <w:rPr>
                <w:noProof/>
                <w:webHidden/>
              </w:rPr>
              <w:fldChar w:fldCharType="separate"/>
            </w:r>
            <w:r>
              <w:rPr>
                <w:noProof/>
                <w:webHidden/>
              </w:rPr>
              <w:t>20</w:t>
            </w:r>
            <w:r>
              <w:rPr>
                <w:noProof/>
                <w:webHidden/>
              </w:rPr>
              <w:fldChar w:fldCharType="end"/>
            </w:r>
          </w:hyperlink>
        </w:p>
        <w:p w14:paraId="3F472514" w14:textId="1D203031" w:rsidR="00AE7DE5" w:rsidRDefault="00AE7DE5">
          <w:pPr>
            <w:pStyle w:val="TOC2"/>
            <w:rPr>
              <w:rFonts w:eastAsiaTheme="minorEastAsia" w:cstheme="minorBidi"/>
              <w:kern w:val="2"/>
              <w14:ligatures w14:val="standardContextual"/>
            </w:rPr>
          </w:pPr>
          <w:hyperlink w:anchor="_Toc193095868" w:history="1">
            <w:r w:rsidRPr="007B31D1">
              <w:rPr>
                <w:rStyle w:val="Hyperlink"/>
              </w:rPr>
              <w:t>Procedural requirements</w:t>
            </w:r>
            <w:r>
              <w:rPr>
                <w:webHidden/>
              </w:rPr>
              <w:tab/>
            </w:r>
            <w:r>
              <w:rPr>
                <w:webHidden/>
              </w:rPr>
              <w:fldChar w:fldCharType="begin"/>
            </w:r>
            <w:r>
              <w:rPr>
                <w:webHidden/>
              </w:rPr>
              <w:instrText xml:space="preserve"> PAGEREF _Toc193095868 \h </w:instrText>
            </w:r>
            <w:r>
              <w:rPr>
                <w:webHidden/>
              </w:rPr>
            </w:r>
            <w:r>
              <w:rPr>
                <w:webHidden/>
              </w:rPr>
              <w:fldChar w:fldCharType="separate"/>
            </w:r>
            <w:r>
              <w:rPr>
                <w:webHidden/>
              </w:rPr>
              <w:t>20</w:t>
            </w:r>
            <w:r>
              <w:rPr>
                <w:webHidden/>
              </w:rPr>
              <w:fldChar w:fldCharType="end"/>
            </w:r>
          </w:hyperlink>
        </w:p>
        <w:p w14:paraId="27665532" w14:textId="1459EA29" w:rsidR="00AE7DE5" w:rsidRDefault="00AE7DE5">
          <w:pPr>
            <w:pStyle w:val="TOC2"/>
            <w:rPr>
              <w:rFonts w:eastAsiaTheme="minorEastAsia" w:cstheme="minorBidi"/>
              <w:kern w:val="2"/>
              <w14:ligatures w14:val="standardContextual"/>
            </w:rPr>
          </w:pPr>
          <w:hyperlink w:anchor="_Toc193095869" w:history="1">
            <w:r w:rsidRPr="007B31D1">
              <w:rPr>
                <w:rStyle w:val="Hyperlink"/>
              </w:rPr>
              <w:t>Central Digital Platform</w:t>
            </w:r>
            <w:r>
              <w:rPr>
                <w:webHidden/>
              </w:rPr>
              <w:tab/>
            </w:r>
            <w:r>
              <w:rPr>
                <w:webHidden/>
              </w:rPr>
              <w:fldChar w:fldCharType="begin"/>
            </w:r>
            <w:r>
              <w:rPr>
                <w:webHidden/>
              </w:rPr>
              <w:instrText xml:space="preserve"> PAGEREF _Toc193095869 \h </w:instrText>
            </w:r>
            <w:r>
              <w:rPr>
                <w:webHidden/>
              </w:rPr>
            </w:r>
            <w:r>
              <w:rPr>
                <w:webHidden/>
              </w:rPr>
              <w:fldChar w:fldCharType="separate"/>
            </w:r>
            <w:r>
              <w:rPr>
                <w:webHidden/>
              </w:rPr>
              <w:t>20</w:t>
            </w:r>
            <w:r>
              <w:rPr>
                <w:webHidden/>
              </w:rPr>
              <w:fldChar w:fldCharType="end"/>
            </w:r>
          </w:hyperlink>
        </w:p>
        <w:p w14:paraId="1BDF2C58" w14:textId="05230513" w:rsidR="00AE7DE5" w:rsidRDefault="00AE7DE5">
          <w:pPr>
            <w:pStyle w:val="TOC2"/>
            <w:rPr>
              <w:rFonts w:eastAsiaTheme="minorEastAsia" w:cstheme="minorBidi"/>
              <w:kern w:val="2"/>
              <w14:ligatures w14:val="standardContextual"/>
            </w:rPr>
          </w:pPr>
          <w:hyperlink w:anchor="_Toc193095870" w:history="1">
            <w:r w:rsidRPr="007B31D1">
              <w:rPr>
                <w:rStyle w:val="Hyperlink"/>
              </w:rPr>
              <w:t>Modifying the Procurement</w:t>
            </w:r>
            <w:r>
              <w:rPr>
                <w:webHidden/>
              </w:rPr>
              <w:tab/>
            </w:r>
            <w:r>
              <w:rPr>
                <w:webHidden/>
              </w:rPr>
              <w:fldChar w:fldCharType="begin"/>
            </w:r>
            <w:r>
              <w:rPr>
                <w:webHidden/>
              </w:rPr>
              <w:instrText xml:space="preserve"> PAGEREF _Toc193095870 \h </w:instrText>
            </w:r>
            <w:r>
              <w:rPr>
                <w:webHidden/>
              </w:rPr>
            </w:r>
            <w:r>
              <w:rPr>
                <w:webHidden/>
              </w:rPr>
              <w:fldChar w:fldCharType="separate"/>
            </w:r>
            <w:r>
              <w:rPr>
                <w:webHidden/>
              </w:rPr>
              <w:t>21</w:t>
            </w:r>
            <w:r>
              <w:rPr>
                <w:webHidden/>
              </w:rPr>
              <w:fldChar w:fldCharType="end"/>
            </w:r>
          </w:hyperlink>
        </w:p>
        <w:p w14:paraId="5BB4E2E4" w14:textId="226E8908" w:rsidR="00AE7DE5" w:rsidRDefault="00AE7DE5">
          <w:pPr>
            <w:pStyle w:val="TOC2"/>
            <w:rPr>
              <w:rFonts w:eastAsiaTheme="minorEastAsia" w:cstheme="minorBidi"/>
              <w:kern w:val="2"/>
              <w14:ligatures w14:val="standardContextual"/>
            </w:rPr>
          </w:pPr>
          <w:hyperlink w:anchor="_Toc193095871" w:history="1">
            <w:r w:rsidRPr="007B31D1">
              <w:rPr>
                <w:rStyle w:val="Hyperlink"/>
              </w:rPr>
              <w:t>Option to direct award</w:t>
            </w:r>
            <w:r>
              <w:rPr>
                <w:webHidden/>
              </w:rPr>
              <w:tab/>
            </w:r>
            <w:r>
              <w:rPr>
                <w:webHidden/>
              </w:rPr>
              <w:fldChar w:fldCharType="begin"/>
            </w:r>
            <w:r>
              <w:rPr>
                <w:webHidden/>
              </w:rPr>
              <w:instrText xml:space="preserve"> PAGEREF _Toc193095871 \h </w:instrText>
            </w:r>
            <w:r>
              <w:rPr>
                <w:webHidden/>
              </w:rPr>
            </w:r>
            <w:r>
              <w:rPr>
                <w:webHidden/>
              </w:rPr>
              <w:fldChar w:fldCharType="separate"/>
            </w:r>
            <w:r>
              <w:rPr>
                <w:webHidden/>
              </w:rPr>
              <w:t>21</w:t>
            </w:r>
            <w:r>
              <w:rPr>
                <w:webHidden/>
              </w:rPr>
              <w:fldChar w:fldCharType="end"/>
            </w:r>
          </w:hyperlink>
        </w:p>
        <w:p w14:paraId="45712423" w14:textId="3B202FC8" w:rsidR="00AE7DE5" w:rsidRDefault="00AE7DE5">
          <w:pPr>
            <w:pStyle w:val="TOC2"/>
            <w:rPr>
              <w:rFonts w:eastAsiaTheme="minorEastAsia" w:cstheme="minorBidi"/>
              <w:kern w:val="2"/>
              <w14:ligatures w14:val="standardContextual"/>
            </w:rPr>
          </w:pPr>
          <w:hyperlink w:anchor="_Toc193095872" w:history="1">
            <w:r w:rsidRPr="007B31D1">
              <w:rPr>
                <w:rStyle w:val="Hyperlink"/>
              </w:rPr>
              <w:t>Confidentiality and publicity</w:t>
            </w:r>
            <w:r>
              <w:rPr>
                <w:webHidden/>
              </w:rPr>
              <w:tab/>
            </w:r>
            <w:r>
              <w:rPr>
                <w:webHidden/>
              </w:rPr>
              <w:fldChar w:fldCharType="begin"/>
            </w:r>
            <w:r>
              <w:rPr>
                <w:webHidden/>
              </w:rPr>
              <w:instrText xml:space="preserve"> PAGEREF _Toc193095872 \h </w:instrText>
            </w:r>
            <w:r>
              <w:rPr>
                <w:webHidden/>
              </w:rPr>
            </w:r>
            <w:r>
              <w:rPr>
                <w:webHidden/>
              </w:rPr>
              <w:fldChar w:fldCharType="separate"/>
            </w:r>
            <w:r>
              <w:rPr>
                <w:webHidden/>
              </w:rPr>
              <w:t>21</w:t>
            </w:r>
            <w:r>
              <w:rPr>
                <w:webHidden/>
              </w:rPr>
              <w:fldChar w:fldCharType="end"/>
            </w:r>
          </w:hyperlink>
        </w:p>
        <w:p w14:paraId="20842E5B" w14:textId="339B704F" w:rsidR="00AE7DE5" w:rsidRDefault="00AE7DE5">
          <w:pPr>
            <w:pStyle w:val="TOC2"/>
            <w:rPr>
              <w:rFonts w:eastAsiaTheme="minorEastAsia" w:cstheme="minorBidi"/>
              <w:kern w:val="2"/>
              <w14:ligatures w14:val="standardContextual"/>
            </w:rPr>
          </w:pPr>
          <w:hyperlink w:anchor="_Toc193095873" w:history="1">
            <w:r w:rsidRPr="007B31D1">
              <w:rPr>
                <w:rStyle w:val="Hyperlink"/>
              </w:rPr>
              <w:t>Requirements on sub-contractors and consortium</w:t>
            </w:r>
            <w:r>
              <w:rPr>
                <w:webHidden/>
              </w:rPr>
              <w:tab/>
            </w:r>
            <w:r>
              <w:rPr>
                <w:webHidden/>
              </w:rPr>
              <w:fldChar w:fldCharType="begin"/>
            </w:r>
            <w:r>
              <w:rPr>
                <w:webHidden/>
              </w:rPr>
              <w:instrText xml:space="preserve"> PAGEREF _Toc193095873 \h </w:instrText>
            </w:r>
            <w:r>
              <w:rPr>
                <w:webHidden/>
              </w:rPr>
            </w:r>
            <w:r>
              <w:rPr>
                <w:webHidden/>
              </w:rPr>
              <w:fldChar w:fldCharType="separate"/>
            </w:r>
            <w:r>
              <w:rPr>
                <w:webHidden/>
              </w:rPr>
              <w:t>22</w:t>
            </w:r>
            <w:r>
              <w:rPr>
                <w:webHidden/>
              </w:rPr>
              <w:fldChar w:fldCharType="end"/>
            </w:r>
          </w:hyperlink>
        </w:p>
        <w:p w14:paraId="09F31228" w14:textId="01A7CCD7" w:rsidR="00AE7DE5" w:rsidRDefault="00AE7DE5">
          <w:pPr>
            <w:pStyle w:val="TOC2"/>
            <w:rPr>
              <w:rFonts w:eastAsiaTheme="minorEastAsia" w:cstheme="minorBidi"/>
              <w:kern w:val="2"/>
              <w14:ligatures w14:val="standardContextual"/>
            </w:rPr>
          </w:pPr>
          <w:hyperlink w:anchor="_Toc193095874" w:history="1">
            <w:r w:rsidRPr="007B31D1">
              <w:rPr>
                <w:rStyle w:val="Hyperlink"/>
              </w:rPr>
              <w:t>Parent company guarantee or other securities</w:t>
            </w:r>
            <w:r>
              <w:rPr>
                <w:webHidden/>
              </w:rPr>
              <w:tab/>
            </w:r>
            <w:r>
              <w:rPr>
                <w:webHidden/>
              </w:rPr>
              <w:fldChar w:fldCharType="begin"/>
            </w:r>
            <w:r>
              <w:rPr>
                <w:webHidden/>
              </w:rPr>
              <w:instrText xml:space="preserve"> PAGEREF _Toc193095874 \h </w:instrText>
            </w:r>
            <w:r>
              <w:rPr>
                <w:webHidden/>
              </w:rPr>
            </w:r>
            <w:r>
              <w:rPr>
                <w:webHidden/>
              </w:rPr>
              <w:fldChar w:fldCharType="separate"/>
            </w:r>
            <w:r>
              <w:rPr>
                <w:webHidden/>
              </w:rPr>
              <w:t>23</w:t>
            </w:r>
            <w:r>
              <w:rPr>
                <w:webHidden/>
              </w:rPr>
              <w:fldChar w:fldCharType="end"/>
            </w:r>
          </w:hyperlink>
        </w:p>
        <w:p w14:paraId="4D0C4BBE" w14:textId="299681C4" w:rsidR="00AE7DE5" w:rsidRDefault="00AE7DE5">
          <w:pPr>
            <w:pStyle w:val="TOC2"/>
            <w:rPr>
              <w:rFonts w:eastAsiaTheme="minorEastAsia" w:cstheme="minorBidi"/>
              <w:kern w:val="2"/>
              <w14:ligatures w14:val="standardContextual"/>
            </w:rPr>
          </w:pPr>
          <w:hyperlink w:anchor="_Toc193095875" w:history="1">
            <w:r w:rsidRPr="007B31D1">
              <w:rPr>
                <w:rStyle w:val="Hyperlink"/>
              </w:rPr>
              <w:t>Non-collusion, non-canvassing</w:t>
            </w:r>
            <w:r>
              <w:rPr>
                <w:webHidden/>
              </w:rPr>
              <w:tab/>
            </w:r>
            <w:r>
              <w:rPr>
                <w:webHidden/>
              </w:rPr>
              <w:fldChar w:fldCharType="begin"/>
            </w:r>
            <w:r>
              <w:rPr>
                <w:webHidden/>
              </w:rPr>
              <w:instrText xml:space="preserve"> PAGEREF _Toc193095875 \h </w:instrText>
            </w:r>
            <w:r>
              <w:rPr>
                <w:webHidden/>
              </w:rPr>
            </w:r>
            <w:r>
              <w:rPr>
                <w:webHidden/>
              </w:rPr>
              <w:fldChar w:fldCharType="separate"/>
            </w:r>
            <w:r>
              <w:rPr>
                <w:webHidden/>
              </w:rPr>
              <w:t>23</w:t>
            </w:r>
            <w:r>
              <w:rPr>
                <w:webHidden/>
              </w:rPr>
              <w:fldChar w:fldCharType="end"/>
            </w:r>
          </w:hyperlink>
        </w:p>
        <w:p w14:paraId="6BC28F3D" w14:textId="40B3491B" w:rsidR="00AE7DE5" w:rsidRDefault="00AE7DE5">
          <w:pPr>
            <w:pStyle w:val="TOC2"/>
            <w:rPr>
              <w:rFonts w:eastAsiaTheme="minorEastAsia" w:cstheme="minorBidi"/>
              <w:kern w:val="2"/>
              <w14:ligatures w14:val="standardContextual"/>
            </w:rPr>
          </w:pPr>
          <w:hyperlink w:anchor="_Toc193095876" w:history="1">
            <w:r w:rsidRPr="007B31D1">
              <w:rPr>
                <w:rStyle w:val="Hyperlink"/>
              </w:rPr>
              <w:t>Ethical walls agreement</w:t>
            </w:r>
            <w:r>
              <w:rPr>
                <w:webHidden/>
              </w:rPr>
              <w:tab/>
            </w:r>
            <w:r>
              <w:rPr>
                <w:webHidden/>
              </w:rPr>
              <w:fldChar w:fldCharType="begin"/>
            </w:r>
            <w:r>
              <w:rPr>
                <w:webHidden/>
              </w:rPr>
              <w:instrText xml:space="preserve"> PAGEREF _Toc193095876 \h </w:instrText>
            </w:r>
            <w:r>
              <w:rPr>
                <w:webHidden/>
              </w:rPr>
            </w:r>
            <w:r>
              <w:rPr>
                <w:webHidden/>
              </w:rPr>
              <w:fldChar w:fldCharType="separate"/>
            </w:r>
            <w:r>
              <w:rPr>
                <w:webHidden/>
              </w:rPr>
              <w:t>24</w:t>
            </w:r>
            <w:r>
              <w:rPr>
                <w:webHidden/>
              </w:rPr>
              <w:fldChar w:fldCharType="end"/>
            </w:r>
          </w:hyperlink>
        </w:p>
        <w:p w14:paraId="21FE017C" w14:textId="614B9E38" w:rsidR="00AE7DE5" w:rsidRDefault="00AE7DE5">
          <w:pPr>
            <w:pStyle w:val="TOC1"/>
            <w:rPr>
              <w:rFonts w:eastAsiaTheme="minorEastAsia" w:cstheme="minorBidi"/>
              <w:b w:val="0"/>
              <w:noProof/>
              <w:kern w:val="2"/>
              <w14:ligatures w14:val="standardContextual"/>
            </w:rPr>
          </w:pPr>
          <w:hyperlink w:anchor="_Toc193095877" w:history="1">
            <w:r w:rsidRPr="007B31D1">
              <w:rPr>
                <w:rStyle w:val="Hyperlink"/>
                <w:noProof/>
              </w:rPr>
              <w:t>Appendix B: The Authority’s detailed requirement</w:t>
            </w:r>
            <w:r>
              <w:rPr>
                <w:noProof/>
                <w:webHidden/>
              </w:rPr>
              <w:tab/>
            </w:r>
            <w:r>
              <w:rPr>
                <w:noProof/>
                <w:webHidden/>
              </w:rPr>
              <w:fldChar w:fldCharType="begin"/>
            </w:r>
            <w:r>
              <w:rPr>
                <w:noProof/>
                <w:webHidden/>
              </w:rPr>
              <w:instrText xml:space="preserve"> PAGEREF _Toc193095877 \h </w:instrText>
            </w:r>
            <w:r>
              <w:rPr>
                <w:noProof/>
                <w:webHidden/>
              </w:rPr>
            </w:r>
            <w:r>
              <w:rPr>
                <w:noProof/>
                <w:webHidden/>
              </w:rPr>
              <w:fldChar w:fldCharType="separate"/>
            </w:r>
            <w:r>
              <w:rPr>
                <w:noProof/>
                <w:webHidden/>
              </w:rPr>
              <w:t>28</w:t>
            </w:r>
            <w:r>
              <w:rPr>
                <w:noProof/>
                <w:webHidden/>
              </w:rPr>
              <w:fldChar w:fldCharType="end"/>
            </w:r>
          </w:hyperlink>
        </w:p>
        <w:p w14:paraId="288BC24C" w14:textId="53C37ED1" w:rsidR="00AE7DE5" w:rsidRDefault="00AE7DE5">
          <w:pPr>
            <w:pStyle w:val="TOC1"/>
            <w:rPr>
              <w:rFonts w:eastAsiaTheme="minorEastAsia" w:cstheme="minorBidi"/>
              <w:b w:val="0"/>
              <w:noProof/>
              <w:kern w:val="2"/>
              <w14:ligatures w14:val="standardContextual"/>
            </w:rPr>
          </w:pPr>
          <w:hyperlink w:anchor="_Toc193095878" w:history="1">
            <w:r w:rsidRPr="007B31D1">
              <w:rPr>
                <w:rStyle w:val="Hyperlink"/>
                <w:noProof/>
              </w:rPr>
              <w:t>Appendix C: Service Levels, Service Credits and KPIs</w:t>
            </w:r>
            <w:r>
              <w:rPr>
                <w:noProof/>
                <w:webHidden/>
              </w:rPr>
              <w:tab/>
            </w:r>
            <w:r>
              <w:rPr>
                <w:noProof/>
                <w:webHidden/>
              </w:rPr>
              <w:fldChar w:fldCharType="begin"/>
            </w:r>
            <w:r>
              <w:rPr>
                <w:noProof/>
                <w:webHidden/>
              </w:rPr>
              <w:instrText xml:space="preserve"> PAGEREF _Toc193095878 \h </w:instrText>
            </w:r>
            <w:r>
              <w:rPr>
                <w:noProof/>
                <w:webHidden/>
              </w:rPr>
            </w:r>
            <w:r>
              <w:rPr>
                <w:noProof/>
                <w:webHidden/>
              </w:rPr>
              <w:fldChar w:fldCharType="separate"/>
            </w:r>
            <w:r>
              <w:rPr>
                <w:noProof/>
                <w:webHidden/>
              </w:rPr>
              <w:t>29</w:t>
            </w:r>
            <w:r>
              <w:rPr>
                <w:noProof/>
                <w:webHidden/>
              </w:rPr>
              <w:fldChar w:fldCharType="end"/>
            </w:r>
          </w:hyperlink>
        </w:p>
        <w:p w14:paraId="14A9A5B2" w14:textId="40D914E2" w:rsidR="00AE7DE5" w:rsidRDefault="00AE7DE5">
          <w:pPr>
            <w:pStyle w:val="TOC1"/>
            <w:rPr>
              <w:rFonts w:eastAsiaTheme="minorEastAsia" w:cstheme="minorBidi"/>
              <w:b w:val="0"/>
              <w:noProof/>
              <w:kern w:val="2"/>
              <w14:ligatures w14:val="standardContextual"/>
            </w:rPr>
          </w:pPr>
          <w:hyperlink w:anchor="_Toc193095879" w:history="1">
            <w:r w:rsidRPr="007B31D1">
              <w:rPr>
                <w:rStyle w:val="Hyperlink"/>
                <w:noProof/>
              </w:rPr>
              <w:t>Appendix D: The draft contract terms</w:t>
            </w:r>
            <w:r>
              <w:rPr>
                <w:noProof/>
                <w:webHidden/>
              </w:rPr>
              <w:tab/>
            </w:r>
            <w:r>
              <w:rPr>
                <w:noProof/>
                <w:webHidden/>
              </w:rPr>
              <w:fldChar w:fldCharType="begin"/>
            </w:r>
            <w:r>
              <w:rPr>
                <w:noProof/>
                <w:webHidden/>
              </w:rPr>
              <w:instrText xml:space="preserve"> PAGEREF _Toc193095879 \h </w:instrText>
            </w:r>
            <w:r>
              <w:rPr>
                <w:noProof/>
                <w:webHidden/>
              </w:rPr>
            </w:r>
            <w:r>
              <w:rPr>
                <w:noProof/>
                <w:webHidden/>
              </w:rPr>
              <w:fldChar w:fldCharType="separate"/>
            </w:r>
            <w:r>
              <w:rPr>
                <w:noProof/>
                <w:webHidden/>
              </w:rPr>
              <w:t>30</w:t>
            </w:r>
            <w:r>
              <w:rPr>
                <w:noProof/>
                <w:webHidden/>
              </w:rPr>
              <w:fldChar w:fldCharType="end"/>
            </w:r>
          </w:hyperlink>
        </w:p>
        <w:p w14:paraId="4B464719" w14:textId="775FA296" w:rsidR="00AE7DE5" w:rsidRDefault="00AE7DE5">
          <w:pPr>
            <w:pStyle w:val="TOC1"/>
            <w:rPr>
              <w:rFonts w:eastAsiaTheme="minorEastAsia" w:cstheme="minorBidi"/>
              <w:b w:val="0"/>
              <w:noProof/>
              <w:kern w:val="2"/>
              <w14:ligatures w14:val="standardContextual"/>
            </w:rPr>
          </w:pPr>
          <w:hyperlink w:anchor="_Toc193095880" w:history="1">
            <w:r w:rsidRPr="007B31D1">
              <w:rPr>
                <w:rStyle w:val="Hyperlink"/>
                <w:noProof/>
              </w:rPr>
              <w:t>Appendix E: Glossary</w:t>
            </w:r>
            <w:r>
              <w:rPr>
                <w:noProof/>
                <w:webHidden/>
              </w:rPr>
              <w:tab/>
            </w:r>
            <w:r>
              <w:rPr>
                <w:noProof/>
                <w:webHidden/>
              </w:rPr>
              <w:fldChar w:fldCharType="begin"/>
            </w:r>
            <w:r>
              <w:rPr>
                <w:noProof/>
                <w:webHidden/>
              </w:rPr>
              <w:instrText xml:space="preserve"> PAGEREF _Toc193095880 \h </w:instrText>
            </w:r>
            <w:r>
              <w:rPr>
                <w:noProof/>
                <w:webHidden/>
              </w:rPr>
            </w:r>
            <w:r>
              <w:rPr>
                <w:noProof/>
                <w:webHidden/>
              </w:rPr>
              <w:fldChar w:fldCharType="separate"/>
            </w:r>
            <w:r>
              <w:rPr>
                <w:noProof/>
                <w:webHidden/>
              </w:rPr>
              <w:t>31</w:t>
            </w:r>
            <w:r>
              <w:rPr>
                <w:noProof/>
                <w:webHidden/>
              </w:rPr>
              <w:fldChar w:fldCharType="end"/>
            </w:r>
          </w:hyperlink>
        </w:p>
        <w:p w14:paraId="62227514" w14:textId="50ECFC3E" w:rsidR="00AE7DE5" w:rsidRDefault="00AE7DE5">
          <w:pPr>
            <w:pStyle w:val="TOC1"/>
            <w:rPr>
              <w:rFonts w:eastAsiaTheme="minorEastAsia" w:cstheme="minorBidi"/>
              <w:b w:val="0"/>
              <w:noProof/>
              <w:kern w:val="2"/>
              <w14:ligatures w14:val="standardContextual"/>
            </w:rPr>
          </w:pPr>
          <w:hyperlink w:anchor="_Toc193095881" w:history="1">
            <w:r w:rsidRPr="007B31D1">
              <w:rPr>
                <w:rStyle w:val="Hyperlink"/>
                <w:noProof/>
              </w:rPr>
              <w:t>Appendix F: Form of tender</w:t>
            </w:r>
            <w:r>
              <w:rPr>
                <w:noProof/>
                <w:webHidden/>
              </w:rPr>
              <w:tab/>
            </w:r>
            <w:r>
              <w:rPr>
                <w:noProof/>
                <w:webHidden/>
              </w:rPr>
              <w:fldChar w:fldCharType="begin"/>
            </w:r>
            <w:r>
              <w:rPr>
                <w:noProof/>
                <w:webHidden/>
              </w:rPr>
              <w:instrText xml:space="preserve"> PAGEREF _Toc193095881 \h </w:instrText>
            </w:r>
            <w:r>
              <w:rPr>
                <w:noProof/>
                <w:webHidden/>
              </w:rPr>
            </w:r>
            <w:r>
              <w:rPr>
                <w:noProof/>
                <w:webHidden/>
              </w:rPr>
              <w:fldChar w:fldCharType="separate"/>
            </w:r>
            <w:r>
              <w:rPr>
                <w:noProof/>
                <w:webHidden/>
              </w:rPr>
              <w:t>32</w:t>
            </w:r>
            <w:r>
              <w:rPr>
                <w:noProof/>
                <w:webHidden/>
              </w:rPr>
              <w:fldChar w:fldCharType="end"/>
            </w:r>
          </w:hyperlink>
        </w:p>
        <w:p w14:paraId="5EF268CA" w14:textId="020E6DB7" w:rsidR="00AE7DE5" w:rsidRDefault="00AE7DE5">
          <w:pPr>
            <w:pStyle w:val="TOC1"/>
            <w:rPr>
              <w:rFonts w:eastAsiaTheme="minorEastAsia" w:cstheme="minorBidi"/>
              <w:b w:val="0"/>
              <w:noProof/>
              <w:kern w:val="2"/>
              <w14:ligatures w14:val="standardContextual"/>
            </w:rPr>
          </w:pPr>
          <w:hyperlink w:anchor="_Toc193095882" w:history="1">
            <w:r w:rsidRPr="007B31D1">
              <w:rPr>
                <w:rStyle w:val="Hyperlink"/>
                <w:noProof/>
              </w:rPr>
              <w:t>Appendix G: Certificate of non-collusion and non-canvassing</w:t>
            </w:r>
            <w:r>
              <w:rPr>
                <w:noProof/>
                <w:webHidden/>
              </w:rPr>
              <w:tab/>
            </w:r>
            <w:r>
              <w:rPr>
                <w:noProof/>
                <w:webHidden/>
              </w:rPr>
              <w:fldChar w:fldCharType="begin"/>
            </w:r>
            <w:r>
              <w:rPr>
                <w:noProof/>
                <w:webHidden/>
              </w:rPr>
              <w:instrText xml:space="preserve"> PAGEREF _Toc193095882 \h </w:instrText>
            </w:r>
            <w:r>
              <w:rPr>
                <w:noProof/>
                <w:webHidden/>
              </w:rPr>
            </w:r>
            <w:r>
              <w:rPr>
                <w:noProof/>
                <w:webHidden/>
              </w:rPr>
              <w:fldChar w:fldCharType="separate"/>
            </w:r>
            <w:r>
              <w:rPr>
                <w:noProof/>
                <w:webHidden/>
              </w:rPr>
              <w:t>34</w:t>
            </w:r>
            <w:r>
              <w:rPr>
                <w:noProof/>
                <w:webHidden/>
              </w:rPr>
              <w:fldChar w:fldCharType="end"/>
            </w:r>
          </w:hyperlink>
        </w:p>
        <w:p w14:paraId="14AAF623" w14:textId="2938923F" w:rsidR="00AE7DE5" w:rsidRDefault="00AE7DE5">
          <w:pPr>
            <w:pStyle w:val="TOC1"/>
            <w:rPr>
              <w:rFonts w:eastAsiaTheme="minorEastAsia" w:cstheme="minorBidi"/>
              <w:b w:val="0"/>
              <w:noProof/>
              <w:kern w:val="2"/>
              <w14:ligatures w14:val="standardContextual"/>
            </w:rPr>
          </w:pPr>
          <w:hyperlink w:anchor="_Toc193095883" w:history="1">
            <w:r w:rsidRPr="007B31D1">
              <w:rPr>
                <w:rStyle w:val="Hyperlink"/>
                <w:noProof/>
              </w:rPr>
              <w:t>Appendix H: Commercially sensitive information</w:t>
            </w:r>
            <w:r>
              <w:rPr>
                <w:noProof/>
                <w:webHidden/>
              </w:rPr>
              <w:tab/>
            </w:r>
            <w:r>
              <w:rPr>
                <w:noProof/>
                <w:webHidden/>
              </w:rPr>
              <w:fldChar w:fldCharType="begin"/>
            </w:r>
            <w:r>
              <w:rPr>
                <w:noProof/>
                <w:webHidden/>
              </w:rPr>
              <w:instrText xml:space="preserve"> PAGEREF _Toc193095883 \h </w:instrText>
            </w:r>
            <w:r>
              <w:rPr>
                <w:noProof/>
                <w:webHidden/>
              </w:rPr>
            </w:r>
            <w:r>
              <w:rPr>
                <w:noProof/>
                <w:webHidden/>
              </w:rPr>
              <w:fldChar w:fldCharType="separate"/>
            </w:r>
            <w:r>
              <w:rPr>
                <w:noProof/>
                <w:webHidden/>
              </w:rPr>
              <w:t>36</w:t>
            </w:r>
            <w:r>
              <w:rPr>
                <w:noProof/>
                <w:webHidden/>
              </w:rPr>
              <w:fldChar w:fldCharType="end"/>
            </w:r>
          </w:hyperlink>
        </w:p>
        <w:p w14:paraId="110EF0EA" w14:textId="665C8EF4" w:rsidR="001434A2" w:rsidRDefault="005963DA" w:rsidP="00E67F97">
          <w:pPr>
            <w:pStyle w:val="TOC1"/>
          </w:pPr>
          <w:r>
            <w:fldChar w:fldCharType="end"/>
          </w:r>
        </w:p>
      </w:sdtContent>
    </w:sdt>
    <w:p w14:paraId="053D04F9" w14:textId="77777777" w:rsidR="006E0741" w:rsidRDefault="006E0741" w:rsidP="006E0741">
      <w:r>
        <w:t>[This is an automated contents table, based on text in the styles Heading 1 and Heading 2. To update this table, right-click on it and select Update Field. Delete this text before publishing]</w:t>
      </w:r>
    </w:p>
    <w:p w14:paraId="2C8FD9E2" w14:textId="30C533B3" w:rsidR="00AE2304" w:rsidRPr="001434A2" w:rsidRDefault="4E49986E" w:rsidP="00E67F97">
      <w:pPr>
        <w:pStyle w:val="Heading1"/>
        <w:numPr>
          <w:ilvl w:val="0"/>
          <w:numId w:val="0"/>
        </w:numPr>
      </w:pPr>
      <w:bookmarkStart w:id="1" w:name="_Toc193095854"/>
      <w:r>
        <w:lastRenderedPageBreak/>
        <w:t xml:space="preserve">1. </w:t>
      </w:r>
      <w:r w:rsidR="00AE2304" w:rsidRPr="00AE2304">
        <w:t>Deadline for responding to this document</w:t>
      </w:r>
      <w:bookmarkEnd w:id="1"/>
    </w:p>
    <w:p w14:paraId="25A67617" w14:textId="0F1ED0D4" w:rsidR="00D13322" w:rsidRPr="008C45D2" w:rsidRDefault="00AE2304" w:rsidP="008C45D2">
      <w:pPr>
        <w:pStyle w:val="BodyText1"/>
        <w:spacing w:line="360" w:lineRule="auto"/>
        <w:jc w:val="both"/>
        <w:rPr>
          <w:rFonts w:eastAsiaTheme="minorEastAsia" w:cstheme="minorBidi"/>
          <w:lang w:eastAsia="en-US"/>
        </w:rPr>
      </w:pPr>
      <w:r w:rsidRPr="008C45D2">
        <w:rPr>
          <w:rFonts w:eastAsiaTheme="minorEastAsia" w:cstheme="minorBidi"/>
          <w:lang w:eastAsia="en-US"/>
        </w:rPr>
        <w:t xml:space="preserve">The deadline for responding to this </w:t>
      </w:r>
      <w:r w:rsidR="005C7F87" w:rsidRPr="008C45D2">
        <w:rPr>
          <w:rFonts w:eastAsiaTheme="minorEastAsia" w:cstheme="minorBidi"/>
          <w:lang w:eastAsia="en-US"/>
        </w:rPr>
        <w:t xml:space="preserve">Competitive Flexible Procedure for </w:t>
      </w:r>
      <w:r w:rsidR="00BA6B22" w:rsidRPr="008C45D2">
        <w:rPr>
          <w:rFonts w:eastAsiaTheme="minorEastAsia" w:cstheme="minorBidi"/>
          <w:lang w:eastAsia="en-US"/>
        </w:rPr>
        <w:t>Asset Class Modelling and Allocation Services</w:t>
      </w:r>
      <w:r w:rsidRPr="008C45D2">
        <w:rPr>
          <w:rFonts w:eastAsiaTheme="minorEastAsia" w:cstheme="minorBidi"/>
          <w:lang w:eastAsia="en-US"/>
        </w:rPr>
        <w:t xml:space="preserve"> is </w:t>
      </w:r>
      <w:r w:rsidR="00153566" w:rsidRPr="008C45D2">
        <w:rPr>
          <w:rFonts w:eastAsiaTheme="minorEastAsia" w:cstheme="minorBidi"/>
          <w:lang w:eastAsia="en-US"/>
        </w:rPr>
        <w:t xml:space="preserve">17:00 on the </w:t>
      </w:r>
      <w:proofErr w:type="gramStart"/>
      <w:r w:rsidR="00571961" w:rsidRPr="00823257">
        <w:rPr>
          <w:rFonts w:eastAsiaTheme="minorEastAsia" w:cstheme="minorBidi"/>
          <w:lang w:eastAsia="en-US"/>
        </w:rPr>
        <w:t>2</w:t>
      </w:r>
      <w:r w:rsidR="00823257" w:rsidRPr="00823257">
        <w:rPr>
          <w:rFonts w:eastAsiaTheme="minorEastAsia" w:cstheme="minorBidi"/>
          <w:lang w:eastAsia="en-US"/>
        </w:rPr>
        <w:t>8</w:t>
      </w:r>
      <w:r w:rsidR="00571961" w:rsidRPr="00823257">
        <w:rPr>
          <w:rFonts w:eastAsiaTheme="minorEastAsia" w:cstheme="minorBidi"/>
          <w:lang w:eastAsia="en-US"/>
        </w:rPr>
        <w:t>th</w:t>
      </w:r>
      <w:proofErr w:type="gramEnd"/>
      <w:r w:rsidR="004D7094" w:rsidRPr="00823257">
        <w:rPr>
          <w:rFonts w:eastAsiaTheme="minorEastAsia" w:cstheme="minorBidi"/>
          <w:lang w:eastAsia="en-US"/>
        </w:rPr>
        <w:t xml:space="preserve"> </w:t>
      </w:r>
      <w:r w:rsidR="00823257" w:rsidRPr="00823257">
        <w:rPr>
          <w:rFonts w:eastAsiaTheme="minorEastAsia" w:cstheme="minorBidi"/>
          <w:lang w:eastAsia="en-US"/>
        </w:rPr>
        <w:t>April</w:t>
      </w:r>
      <w:r w:rsidR="004D7094" w:rsidRPr="00823257">
        <w:rPr>
          <w:rFonts w:eastAsiaTheme="minorEastAsia" w:cstheme="minorBidi"/>
          <w:lang w:eastAsia="en-US"/>
        </w:rPr>
        <w:t xml:space="preserve"> 2025</w:t>
      </w:r>
      <w:r w:rsidRPr="00823257" w:rsidDel="004D7094">
        <w:rPr>
          <w:rFonts w:eastAsiaTheme="minorEastAsia" w:cstheme="minorBidi"/>
          <w:lang w:eastAsia="en-US"/>
        </w:rPr>
        <w:t xml:space="preserve"> </w:t>
      </w:r>
      <w:r w:rsidRPr="00823257">
        <w:rPr>
          <w:rFonts w:eastAsiaTheme="minorEastAsia" w:cstheme="minorBidi"/>
          <w:lang w:eastAsia="en-US"/>
        </w:rPr>
        <w:t>S</w:t>
      </w:r>
      <w:r w:rsidRPr="008C45D2">
        <w:rPr>
          <w:rFonts w:eastAsiaTheme="minorEastAsia" w:cstheme="minorBidi"/>
          <w:lang w:eastAsia="en-US"/>
        </w:rPr>
        <w:t>ee ‘Procurement timetable’ and ‘How to respond to this opportunity’.</w:t>
      </w:r>
    </w:p>
    <w:p w14:paraId="7E0D12AA" w14:textId="729BC455" w:rsidR="0070596D" w:rsidRDefault="141C30BE" w:rsidP="00DF644D">
      <w:pPr>
        <w:pStyle w:val="Heading1"/>
        <w:numPr>
          <w:ilvl w:val="0"/>
          <w:numId w:val="0"/>
        </w:numPr>
      </w:pPr>
      <w:bookmarkStart w:id="2" w:name="_Toc193095855"/>
      <w:bookmarkStart w:id="3" w:name="_Toc167865296"/>
      <w:r>
        <w:lastRenderedPageBreak/>
        <w:t xml:space="preserve">2. </w:t>
      </w:r>
      <w:r w:rsidR="00AE2304">
        <w:t>Introduction</w:t>
      </w:r>
      <w:bookmarkEnd w:id="2"/>
    </w:p>
    <w:p w14:paraId="329E2EF0" w14:textId="77777777" w:rsidR="00966E14" w:rsidRDefault="00AE2304" w:rsidP="008C45D2">
      <w:pPr>
        <w:pStyle w:val="Normal1"/>
        <w:spacing w:line="360" w:lineRule="auto"/>
        <w:jc w:val="both"/>
        <w:rPr>
          <w:rFonts w:asciiTheme="minorHAnsi" w:eastAsiaTheme="minorEastAsia" w:hAnsiTheme="minorHAnsi" w:cstheme="minorBidi"/>
        </w:rPr>
      </w:pPr>
      <w:r w:rsidRPr="00EF118A">
        <w:rPr>
          <w:rFonts w:asciiTheme="minorHAnsi" w:eastAsiaTheme="minorEastAsia" w:hAnsiTheme="minorHAnsi" w:cstheme="minorBidi"/>
        </w:rPr>
        <w:t>This Procurement is being conducted in accordance with the Act using the Competitive Flexible Procedure. This document describes how the Procurement will be conducted, including details of the associated Procurement timetable, participation and award criteria and how to respond to this opportunity. Suppliers are strongly encouraged to read this document before preparing their submission.</w:t>
      </w:r>
    </w:p>
    <w:p w14:paraId="5691FA71" w14:textId="1D41D1C6" w:rsidR="00AE2304" w:rsidRPr="00EF118A" w:rsidRDefault="00AE2304" w:rsidP="008C45D2">
      <w:pPr>
        <w:pStyle w:val="Normal1"/>
        <w:spacing w:line="360" w:lineRule="auto"/>
        <w:jc w:val="both"/>
        <w:rPr>
          <w:rFonts w:asciiTheme="minorHAnsi" w:eastAsiaTheme="minorEastAsia" w:hAnsiTheme="minorHAnsi" w:cstheme="minorBidi"/>
        </w:rPr>
      </w:pPr>
    </w:p>
    <w:p w14:paraId="3941B677" w14:textId="0AB40194" w:rsidR="00AE2304" w:rsidRDefault="00AE2304" w:rsidP="008C45D2">
      <w:pPr>
        <w:pStyle w:val="Normal1"/>
        <w:spacing w:line="360" w:lineRule="auto"/>
        <w:jc w:val="both"/>
        <w:rPr>
          <w:rFonts w:asciiTheme="minorHAnsi" w:eastAsiaTheme="minorEastAsia" w:hAnsiTheme="minorHAnsi" w:cstheme="minorBidi"/>
        </w:rPr>
      </w:pPr>
      <w:r w:rsidRPr="00EF118A">
        <w:rPr>
          <w:rFonts w:asciiTheme="minorHAnsi" w:eastAsiaTheme="minorEastAsia" w:hAnsiTheme="minorHAnsi" w:cstheme="minorBidi"/>
        </w:rPr>
        <w:t>This document has been prepared to assist Suppliers in deciding whether to participate</w:t>
      </w:r>
      <w:r w:rsidRPr="00EF118A" w:rsidDel="00DC622C">
        <w:rPr>
          <w:rFonts w:asciiTheme="minorHAnsi" w:eastAsiaTheme="minorEastAsia" w:hAnsiTheme="minorHAnsi" w:cstheme="minorBidi"/>
        </w:rPr>
        <w:t xml:space="preserve"> </w:t>
      </w:r>
      <w:r w:rsidRPr="00EF118A">
        <w:rPr>
          <w:rFonts w:asciiTheme="minorHAnsi" w:eastAsiaTheme="minorEastAsia" w:hAnsiTheme="minorHAnsi" w:cstheme="minorBidi"/>
        </w:rPr>
        <w:t>in this Procurement</w:t>
      </w:r>
      <w:r w:rsidR="29CFDCBD" w:rsidRPr="00EF118A">
        <w:rPr>
          <w:rFonts w:asciiTheme="minorHAnsi" w:eastAsiaTheme="minorEastAsia" w:hAnsiTheme="minorHAnsi" w:cstheme="minorBidi"/>
        </w:rPr>
        <w:t>.</w:t>
      </w:r>
      <w:r w:rsidRPr="00EF118A" w:rsidDel="00DC622C">
        <w:rPr>
          <w:rFonts w:asciiTheme="minorHAnsi" w:eastAsiaTheme="minorEastAsia" w:hAnsiTheme="minorHAnsi" w:cstheme="minorBidi"/>
        </w:rPr>
        <w:t xml:space="preserve"> </w:t>
      </w:r>
      <w:r w:rsidRPr="00EF118A">
        <w:rPr>
          <w:rFonts w:asciiTheme="minorHAnsi" w:eastAsiaTheme="minorEastAsia" w:hAnsiTheme="minorHAnsi" w:cstheme="minorBidi"/>
        </w:rPr>
        <w:t>Please read this document carefully, as failure to comply with this document may result in exclusion from the Procurement and/or the rejection of any submission.</w:t>
      </w:r>
      <w:r w:rsidR="003F6CC0" w:rsidRPr="00EF118A">
        <w:rPr>
          <w:rFonts w:asciiTheme="minorHAnsi" w:eastAsiaTheme="minorEastAsia" w:hAnsiTheme="minorHAnsi" w:cstheme="minorBidi"/>
        </w:rPr>
        <w:t xml:space="preserve"> </w:t>
      </w:r>
    </w:p>
    <w:p w14:paraId="586ED319" w14:textId="77777777" w:rsidR="00966E14" w:rsidRPr="00EF118A" w:rsidRDefault="00966E14" w:rsidP="008C45D2">
      <w:pPr>
        <w:pStyle w:val="Normal1"/>
        <w:spacing w:line="360" w:lineRule="auto"/>
        <w:jc w:val="both"/>
        <w:rPr>
          <w:rFonts w:asciiTheme="minorHAnsi" w:eastAsiaTheme="minorEastAsia" w:hAnsiTheme="minorHAnsi" w:cstheme="minorBidi"/>
        </w:rPr>
      </w:pPr>
    </w:p>
    <w:p w14:paraId="2901BEE9" w14:textId="77777777" w:rsidR="00AE2304" w:rsidRPr="00EF118A" w:rsidRDefault="00AE2304" w:rsidP="008C45D2">
      <w:pPr>
        <w:pStyle w:val="Normal1"/>
        <w:spacing w:line="360" w:lineRule="auto"/>
        <w:jc w:val="both"/>
        <w:rPr>
          <w:rFonts w:asciiTheme="minorHAnsi" w:eastAsiaTheme="minorEastAsia" w:hAnsiTheme="minorHAnsi" w:cstheme="minorBidi"/>
        </w:rPr>
      </w:pPr>
      <w:r w:rsidRPr="00EF118A">
        <w:rPr>
          <w:rFonts w:asciiTheme="minorHAnsi" w:eastAsiaTheme="minorEastAsia" w:hAnsiTheme="minorHAnsi" w:cstheme="minorBidi"/>
        </w:rPr>
        <w:t>This document should be read in conjunction with the Tender Notice and any other Procurement documents which have been made available at this stage of the Procurement.</w:t>
      </w:r>
    </w:p>
    <w:p w14:paraId="4305B5A7" w14:textId="217DE5FB" w:rsidR="00AE2304" w:rsidRPr="00EF118A" w:rsidRDefault="00AE2304" w:rsidP="00A61E47">
      <w:pPr>
        <w:pStyle w:val="Normal1"/>
        <w:spacing w:before="120" w:after="240" w:line="360" w:lineRule="auto"/>
        <w:jc w:val="both"/>
        <w:rPr>
          <w:rFonts w:asciiTheme="minorHAnsi" w:eastAsiaTheme="minorEastAsia" w:hAnsiTheme="minorHAnsi" w:cstheme="minorBidi"/>
        </w:rPr>
      </w:pPr>
      <w:r w:rsidRPr="00EF118A">
        <w:rPr>
          <w:rFonts w:asciiTheme="minorHAnsi" w:eastAsiaTheme="minorEastAsia" w:hAnsiTheme="minorHAnsi" w:cstheme="minorBidi"/>
        </w:rPr>
        <w:t>The Authority reserves the right to issue updated versions of this document to</w:t>
      </w:r>
      <w:r w:rsidR="003F6CC0" w:rsidRPr="00EF118A">
        <w:rPr>
          <w:rFonts w:asciiTheme="minorHAnsi" w:eastAsiaTheme="minorEastAsia" w:hAnsiTheme="minorHAnsi" w:cstheme="minorBidi"/>
        </w:rPr>
        <w:t xml:space="preserve"> </w:t>
      </w:r>
      <w:r w:rsidRPr="00EF118A">
        <w:rPr>
          <w:rFonts w:asciiTheme="minorHAnsi" w:eastAsiaTheme="minorEastAsia" w:hAnsiTheme="minorHAnsi" w:cstheme="minorBidi"/>
        </w:rPr>
        <w:t>Suppliers as and when the need arises, in order to reflect the corresponding stage of the Competitive Flexible Procedure, together with any changes to the Procurement or any new information.</w:t>
      </w:r>
    </w:p>
    <w:p w14:paraId="4D16ACAC" w14:textId="77777777" w:rsidR="00AE2304" w:rsidRPr="00EF118A" w:rsidRDefault="00AE2304" w:rsidP="00A61E47">
      <w:pPr>
        <w:pStyle w:val="Normal1"/>
        <w:spacing w:before="120" w:after="240" w:line="360" w:lineRule="auto"/>
        <w:jc w:val="both"/>
        <w:rPr>
          <w:rFonts w:asciiTheme="minorHAnsi" w:eastAsiaTheme="minorEastAsia" w:hAnsiTheme="minorHAnsi" w:cstheme="minorBidi"/>
        </w:rPr>
      </w:pPr>
      <w:r w:rsidRPr="00EF118A">
        <w:rPr>
          <w:rFonts w:asciiTheme="minorHAnsi" w:eastAsiaTheme="minorEastAsia" w:hAnsiTheme="minorHAnsi" w:cstheme="minorBidi"/>
        </w:rPr>
        <w:t xml:space="preserve">Please read and ensure compliance with the Procurement terms and conditions contained in Appendix A. </w:t>
      </w:r>
    </w:p>
    <w:p w14:paraId="79EB16A0" w14:textId="77777777" w:rsidR="00AE2304" w:rsidRPr="00EF118A" w:rsidRDefault="00AE2304" w:rsidP="00A61E47">
      <w:pPr>
        <w:pStyle w:val="Normal1"/>
        <w:spacing w:before="120" w:after="240" w:line="360" w:lineRule="auto"/>
        <w:jc w:val="both"/>
        <w:rPr>
          <w:rFonts w:asciiTheme="minorHAnsi" w:eastAsiaTheme="minorEastAsia" w:hAnsiTheme="minorHAnsi" w:cstheme="minorBidi"/>
        </w:rPr>
      </w:pPr>
      <w:r w:rsidRPr="00EF118A">
        <w:rPr>
          <w:rFonts w:asciiTheme="minorHAnsi" w:eastAsiaTheme="minorEastAsia" w:hAnsiTheme="minorHAnsi" w:cstheme="minorBidi"/>
        </w:rPr>
        <w:t>Common terms and expressions shall have the meanings ascribed to them in the glossary in Appendix E.</w:t>
      </w:r>
    </w:p>
    <w:p w14:paraId="4ACFF7A7" w14:textId="77777777" w:rsidR="00AE2304" w:rsidRPr="00EF118A" w:rsidRDefault="00AE2304" w:rsidP="00A61E47">
      <w:pPr>
        <w:pStyle w:val="Normal1"/>
        <w:spacing w:before="120" w:after="240" w:line="360" w:lineRule="auto"/>
        <w:jc w:val="both"/>
        <w:rPr>
          <w:rFonts w:asciiTheme="minorHAnsi" w:eastAsiaTheme="minorEastAsia" w:hAnsiTheme="minorHAnsi" w:cstheme="minorBidi"/>
        </w:rPr>
      </w:pPr>
      <w:r w:rsidRPr="00EF118A">
        <w:rPr>
          <w:rFonts w:asciiTheme="minorHAnsi" w:eastAsiaTheme="minorEastAsia" w:hAnsiTheme="minorHAnsi" w:cstheme="minorBidi"/>
        </w:rPr>
        <w:t>All references to a ‘section’ are to a section in the Act unless otherwise stated.</w:t>
      </w:r>
    </w:p>
    <w:p w14:paraId="275CA15A" w14:textId="77777777" w:rsidR="00AE2304" w:rsidRPr="00EF118A" w:rsidRDefault="00AE2304" w:rsidP="00A61E47">
      <w:pPr>
        <w:pStyle w:val="Normal1"/>
        <w:spacing w:before="120" w:after="240" w:line="360" w:lineRule="auto"/>
        <w:jc w:val="both"/>
        <w:rPr>
          <w:rFonts w:asciiTheme="minorHAnsi" w:eastAsiaTheme="minorEastAsia" w:hAnsiTheme="minorHAnsi" w:cstheme="minorBidi"/>
        </w:rPr>
      </w:pPr>
      <w:r w:rsidRPr="00EF118A">
        <w:rPr>
          <w:rFonts w:asciiTheme="minorHAnsi" w:eastAsiaTheme="minorEastAsia" w:hAnsiTheme="minorHAnsi" w:cstheme="minorBidi"/>
        </w:rPr>
        <w:t>All references to a ‘paragraph’, ‘appendix’ or ‘annex’ are to a paragraph, appendix or annex of this document unless otherwise stated.</w:t>
      </w:r>
    </w:p>
    <w:p w14:paraId="27A6D1D0" w14:textId="77777777" w:rsidR="00AE2304" w:rsidRPr="00EF118A" w:rsidRDefault="00AE2304" w:rsidP="00A61E47">
      <w:pPr>
        <w:pStyle w:val="Normal1"/>
        <w:spacing w:before="120" w:after="240" w:line="360" w:lineRule="auto"/>
        <w:jc w:val="both"/>
        <w:rPr>
          <w:rFonts w:asciiTheme="minorHAnsi" w:eastAsiaTheme="minorEastAsia" w:hAnsiTheme="minorHAnsi" w:cstheme="minorBidi"/>
        </w:rPr>
      </w:pPr>
      <w:r w:rsidRPr="00EF118A">
        <w:rPr>
          <w:rFonts w:asciiTheme="minorHAnsi" w:eastAsiaTheme="minorEastAsia" w:hAnsiTheme="minorHAnsi" w:cstheme="minorBidi"/>
        </w:rPr>
        <w:t xml:space="preserve">All references to dates and times within this document shall be interpreted in accordance with the United Kingdom time zones applicable at the date of the Procurement (i.e. GMT/BST). </w:t>
      </w:r>
    </w:p>
    <w:p w14:paraId="45CBE36A" w14:textId="49C38C2E" w:rsidR="00D13322" w:rsidRDefault="5F1C9A4B" w:rsidP="00DF644D">
      <w:pPr>
        <w:pStyle w:val="Heading1"/>
        <w:numPr>
          <w:ilvl w:val="0"/>
          <w:numId w:val="0"/>
        </w:numPr>
      </w:pPr>
      <w:bookmarkStart w:id="4" w:name="_Toc193095856"/>
      <w:bookmarkEnd w:id="3"/>
      <w:r>
        <w:lastRenderedPageBreak/>
        <w:t xml:space="preserve">3. </w:t>
      </w:r>
      <w:r w:rsidR="002107B6">
        <w:t>Introduction to the Authority</w:t>
      </w:r>
      <w:bookmarkEnd w:id="4"/>
    </w:p>
    <w:p w14:paraId="76995A87" w14:textId="77777777" w:rsidR="00A24F9A" w:rsidRDefault="00A24F9A" w:rsidP="00966E14">
      <w:pPr>
        <w:pStyle w:val="Normal1"/>
        <w:spacing w:line="360" w:lineRule="auto"/>
        <w:jc w:val="both"/>
        <w:rPr>
          <w:rFonts w:asciiTheme="minorHAnsi" w:eastAsiaTheme="minorEastAsia" w:hAnsiTheme="minorHAnsi" w:cstheme="minorBidi"/>
        </w:rPr>
      </w:pPr>
      <w:r w:rsidRPr="006B6B05">
        <w:rPr>
          <w:rFonts w:asciiTheme="minorHAnsi" w:eastAsiaTheme="minorEastAsia" w:hAnsiTheme="minorHAnsi" w:cstheme="minorBidi"/>
        </w:rPr>
        <w:t xml:space="preserve">London LGPS CIV Ltd (‘London CIV’) is the investment pool for London-based Local Government Pension Schemes (LGPS), which have combined assets of £50.8bn (as </w:t>
      </w:r>
      <w:proofErr w:type="gramStart"/>
      <w:r w:rsidRPr="006B6B05">
        <w:rPr>
          <w:rFonts w:asciiTheme="minorHAnsi" w:eastAsiaTheme="minorEastAsia" w:hAnsiTheme="minorHAnsi" w:cstheme="minorBidi"/>
        </w:rPr>
        <w:t>at</w:t>
      </w:r>
      <w:proofErr w:type="gramEnd"/>
      <w:r w:rsidRPr="006B6B05">
        <w:rPr>
          <w:rFonts w:asciiTheme="minorHAnsi" w:eastAsiaTheme="minorEastAsia" w:hAnsiTheme="minorHAnsi" w:cstheme="minorBidi"/>
        </w:rPr>
        <w:t xml:space="preserve"> 31 March 2024). Authorised and regulated by the Financial Conduct Authority (‘FCA’), the pool is owned by all 32 London boroughs and the City of London (also known as London CIV’s Partner Funds).</w:t>
      </w:r>
    </w:p>
    <w:p w14:paraId="6D33D28A" w14:textId="77777777" w:rsidR="00966E14" w:rsidRPr="006B6B05" w:rsidRDefault="00966E14" w:rsidP="00966E14">
      <w:pPr>
        <w:pStyle w:val="Normal1"/>
        <w:spacing w:line="360" w:lineRule="auto"/>
        <w:jc w:val="both"/>
        <w:rPr>
          <w:rFonts w:asciiTheme="minorHAnsi" w:eastAsiaTheme="minorEastAsia" w:hAnsiTheme="minorHAnsi" w:cstheme="minorBidi"/>
        </w:rPr>
      </w:pPr>
    </w:p>
    <w:p w14:paraId="5CB3CA73" w14:textId="77777777" w:rsidR="00A24F9A" w:rsidRPr="006B6B05" w:rsidRDefault="00A24F9A" w:rsidP="00966E14">
      <w:pPr>
        <w:pStyle w:val="Normal1"/>
        <w:spacing w:line="360" w:lineRule="auto"/>
        <w:jc w:val="both"/>
        <w:rPr>
          <w:rFonts w:asciiTheme="minorHAnsi" w:eastAsiaTheme="minorEastAsia" w:hAnsiTheme="minorHAnsi" w:cstheme="minorBidi"/>
        </w:rPr>
      </w:pPr>
      <w:r w:rsidRPr="006B6B05">
        <w:rPr>
          <w:rStyle w:val="normaltextrun"/>
          <w:rFonts w:asciiTheme="minorHAnsi" w:eastAsiaTheme="minorEastAsia" w:hAnsiTheme="minorHAnsi" w:cstheme="minorBidi"/>
          <w:color w:val="272727"/>
          <w:shd w:val="clear" w:color="auto" w:fill="FFFFFF"/>
        </w:rPr>
        <w:t>London CIV’s ambition is to be the trusted investment partner of the London LGPS, working with them to drive down the cost of investment and improve outcomes, through economies of scale and the provision of dedicated investment expertise. In addition to investment activity, we aim to provide tangential benefits that are expected of an investment partner, such as reporting, education and thought leadership in evolving areas. Our purpose is working together to deliver sustainable prosperity for the communities that count on us all.</w:t>
      </w:r>
    </w:p>
    <w:p w14:paraId="39E044F5" w14:textId="77777777" w:rsidR="001151C6" w:rsidRPr="001151C6" w:rsidRDefault="001151C6" w:rsidP="00EF118A">
      <w:pPr>
        <w:pStyle w:val="BodyText1"/>
        <w:jc w:val="both"/>
      </w:pPr>
    </w:p>
    <w:p w14:paraId="6BC2309C" w14:textId="0A77779B" w:rsidR="00D13322" w:rsidRDefault="5CEF1F62" w:rsidP="00DF644D">
      <w:pPr>
        <w:pStyle w:val="Heading1"/>
        <w:numPr>
          <w:ilvl w:val="0"/>
          <w:numId w:val="0"/>
        </w:numPr>
      </w:pPr>
      <w:bookmarkStart w:id="5" w:name="_Toc193095857"/>
      <w:r>
        <w:lastRenderedPageBreak/>
        <w:t xml:space="preserve">4. </w:t>
      </w:r>
      <w:r w:rsidR="002107B6">
        <w:t>Overview of the Authority’s requirement</w:t>
      </w:r>
      <w:bookmarkEnd w:id="5"/>
    </w:p>
    <w:p w14:paraId="5B0C7AE9" w14:textId="6B7ACAE0" w:rsidR="00B00D34" w:rsidRDefault="00B00D34" w:rsidP="00966E14">
      <w:pPr>
        <w:pStyle w:val="Normal1"/>
        <w:spacing w:line="360" w:lineRule="auto"/>
        <w:jc w:val="both"/>
        <w:rPr>
          <w:rFonts w:asciiTheme="minorHAnsi" w:eastAsiaTheme="minorEastAsia" w:hAnsiTheme="minorHAnsi" w:cstheme="minorBidi"/>
        </w:rPr>
      </w:pPr>
      <w:r w:rsidRPr="00966E14">
        <w:rPr>
          <w:rFonts w:eastAsiaTheme="minorEastAsia"/>
        </w:rPr>
        <w:t xml:space="preserve">LCIV </w:t>
      </w:r>
      <w:r w:rsidRPr="00966E14">
        <w:rPr>
          <w:rFonts w:asciiTheme="minorHAnsi" w:eastAsiaTheme="minorEastAsia" w:hAnsiTheme="minorHAnsi" w:cstheme="minorBidi"/>
        </w:rPr>
        <w:t>wishes to procure data sets and modelling, scenario and risk analysis tools and related services which will be used to support the delivery of asset class modelling and allocation services to our Partner Funds</w:t>
      </w:r>
      <w:r w:rsidR="00BA2D73" w:rsidRPr="00966E14">
        <w:rPr>
          <w:rFonts w:asciiTheme="minorHAnsi" w:eastAsiaTheme="minorEastAsia" w:hAnsiTheme="minorHAnsi" w:cstheme="minorBidi"/>
        </w:rPr>
        <w:t xml:space="preserve">, including advising </w:t>
      </w:r>
      <w:r w:rsidR="00B90307" w:rsidRPr="00966E14">
        <w:rPr>
          <w:rFonts w:asciiTheme="minorHAnsi" w:eastAsiaTheme="minorEastAsia" w:hAnsiTheme="minorHAnsi" w:cstheme="minorBidi"/>
        </w:rPr>
        <w:t xml:space="preserve">on the appropriate risk profile for Partner Funds to </w:t>
      </w:r>
      <w:proofErr w:type="gramStart"/>
      <w:r w:rsidR="00B90307" w:rsidRPr="00966E14">
        <w:rPr>
          <w:rFonts w:asciiTheme="minorHAnsi" w:eastAsiaTheme="minorEastAsia" w:hAnsiTheme="minorHAnsi" w:cstheme="minorBidi"/>
        </w:rPr>
        <w:t>take into account</w:t>
      </w:r>
      <w:proofErr w:type="gramEnd"/>
      <w:r w:rsidR="00B90307" w:rsidRPr="00966E14">
        <w:rPr>
          <w:rFonts w:asciiTheme="minorHAnsi" w:eastAsiaTheme="minorEastAsia" w:hAnsiTheme="minorHAnsi" w:cstheme="minorBidi"/>
        </w:rPr>
        <w:t xml:space="preserve"> </w:t>
      </w:r>
      <w:r w:rsidR="00966205" w:rsidRPr="00966E14">
        <w:rPr>
          <w:rFonts w:asciiTheme="minorHAnsi" w:eastAsiaTheme="minorEastAsia" w:hAnsiTheme="minorHAnsi" w:cstheme="minorBidi"/>
        </w:rPr>
        <w:t>their strategic objectives and risk appetites</w:t>
      </w:r>
      <w:r w:rsidRPr="00966E14">
        <w:rPr>
          <w:rFonts w:asciiTheme="minorHAnsi" w:eastAsiaTheme="minorEastAsia" w:hAnsiTheme="minorHAnsi" w:cstheme="minorBidi"/>
        </w:rPr>
        <w:t>. The data, tools and services must cover the full range of public and private market strategies used by the London Local Authority LGPS.</w:t>
      </w:r>
    </w:p>
    <w:p w14:paraId="4DB63EFF" w14:textId="77777777" w:rsidR="00966E14" w:rsidRPr="00966E14" w:rsidRDefault="00966E14" w:rsidP="00966E14">
      <w:pPr>
        <w:pStyle w:val="Normal1"/>
        <w:spacing w:line="360" w:lineRule="auto"/>
        <w:jc w:val="both"/>
        <w:rPr>
          <w:rFonts w:asciiTheme="minorHAnsi" w:eastAsiaTheme="minorEastAsia" w:hAnsiTheme="minorHAnsi" w:cstheme="minorBidi"/>
        </w:rPr>
      </w:pPr>
    </w:p>
    <w:p w14:paraId="4CD0F4D0" w14:textId="77777777" w:rsidR="00B00D34" w:rsidRPr="00966E14" w:rsidRDefault="00B00D34" w:rsidP="00966E14">
      <w:pPr>
        <w:pStyle w:val="Normal1"/>
        <w:spacing w:line="360" w:lineRule="auto"/>
        <w:jc w:val="both"/>
        <w:rPr>
          <w:rFonts w:asciiTheme="minorHAnsi" w:eastAsiaTheme="minorEastAsia" w:hAnsiTheme="minorHAnsi" w:cstheme="minorBidi"/>
        </w:rPr>
      </w:pPr>
      <w:r w:rsidRPr="00966E14">
        <w:rPr>
          <w:rFonts w:asciiTheme="minorHAnsi" w:eastAsiaTheme="minorEastAsia" w:hAnsiTheme="minorHAnsi" w:cstheme="minorBidi"/>
        </w:rPr>
        <w:t>LCIV is inviting suppliers to bid their respective solutions, including proof-of-concept presentations which will enable bidders to demonstrate (and LCIV to evaluate) detailed functional capabilities of the proposed solutions, and the method of delivery of these solutions to the authority.</w:t>
      </w:r>
    </w:p>
    <w:p w14:paraId="37292078" w14:textId="4BA7927F" w:rsidR="7C92C8FB" w:rsidRPr="00966E14" w:rsidRDefault="7C92C8FB" w:rsidP="00966E14">
      <w:pPr>
        <w:pStyle w:val="Normal1"/>
        <w:spacing w:line="360" w:lineRule="auto"/>
        <w:jc w:val="both"/>
        <w:rPr>
          <w:rFonts w:asciiTheme="minorHAnsi" w:eastAsiaTheme="minorEastAsia" w:hAnsiTheme="minorHAnsi" w:cstheme="minorBidi"/>
        </w:rPr>
      </w:pPr>
    </w:p>
    <w:p w14:paraId="074CA0CA" w14:textId="27AC952A" w:rsidR="00B00D34" w:rsidRPr="00966E14" w:rsidRDefault="00B00D34" w:rsidP="00966E14">
      <w:pPr>
        <w:pStyle w:val="Normal1"/>
        <w:spacing w:line="360" w:lineRule="auto"/>
        <w:jc w:val="both"/>
        <w:rPr>
          <w:rFonts w:asciiTheme="minorHAnsi" w:eastAsiaTheme="minorEastAsia" w:hAnsiTheme="minorHAnsi" w:cstheme="minorBidi"/>
        </w:rPr>
      </w:pPr>
      <w:r w:rsidRPr="00966E14">
        <w:rPr>
          <w:rFonts w:asciiTheme="minorHAnsi" w:eastAsiaTheme="minorEastAsia" w:hAnsiTheme="minorHAnsi" w:cstheme="minorBidi"/>
        </w:rPr>
        <w:t xml:space="preserve">We anticipate that the appointed supplier will enter into a single agreement with LCIV for the provision of data and services and that such data and services will be allowed to be </w:t>
      </w:r>
      <w:r w:rsidR="00C83758" w:rsidRPr="00966E14">
        <w:rPr>
          <w:rFonts w:asciiTheme="minorHAnsi" w:eastAsiaTheme="minorEastAsia" w:hAnsiTheme="minorHAnsi" w:cstheme="minorBidi"/>
        </w:rPr>
        <w:t>shared with</w:t>
      </w:r>
      <w:r w:rsidRPr="00966E14">
        <w:rPr>
          <w:rFonts w:asciiTheme="minorHAnsi" w:eastAsiaTheme="minorEastAsia" w:hAnsiTheme="minorHAnsi" w:cstheme="minorBidi"/>
        </w:rPr>
        <w:t xml:space="preserve"> our Partner Funds where they have a contractual agreement with LCIV for such services.</w:t>
      </w:r>
    </w:p>
    <w:p w14:paraId="13CFC710" w14:textId="77777777" w:rsidR="00D13322" w:rsidRDefault="00D13322" w:rsidP="7C92C8FB">
      <w:pPr>
        <w:pStyle w:val="BodyText1"/>
        <w:ind w:left="357" w:hanging="357"/>
      </w:pPr>
    </w:p>
    <w:p w14:paraId="251463FE" w14:textId="034A3E16" w:rsidR="00D13322" w:rsidRDefault="43260996" w:rsidP="008A598A">
      <w:pPr>
        <w:pStyle w:val="Heading1"/>
        <w:numPr>
          <w:ilvl w:val="0"/>
          <w:numId w:val="0"/>
        </w:numPr>
        <w:jc w:val="both"/>
      </w:pPr>
      <w:bookmarkStart w:id="6" w:name="_Toc193095858"/>
      <w:r>
        <w:lastRenderedPageBreak/>
        <w:t xml:space="preserve">5. </w:t>
      </w:r>
      <w:r w:rsidR="002107B6">
        <w:t>Preliminary market engagement</w:t>
      </w:r>
      <w:bookmarkEnd w:id="6"/>
    </w:p>
    <w:p w14:paraId="1A4CBD13" w14:textId="071E4E2E" w:rsidR="004D0266" w:rsidRPr="008A598A" w:rsidRDefault="003634F0" w:rsidP="008A598A">
      <w:pPr>
        <w:pStyle w:val="Normal1"/>
        <w:spacing w:line="360" w:lineRule="auto"/>
        <w:jc w:val="both"/>
        <w:rPr>
          <w:rFonts w:asciiTheme="minorHAnsi" w:eastAsiaTheme="minorEastAsia" w:hAnsiTheme="minorHAnsi" w:cstheme="minorBidi"/>
        </w:rPr>
      </w:pPr>
      <w:bookmarkStart w:id="7" w:name="_Toc167865316"/>
      <w:r w:rsidRPr="008A598A">
        <w:rPr>
          <w:rFonts w:asciiTheme="minorHAnsi" w:eastAsiaTheme="minorEastAsia" w:hAnsiTheme="minorHAnsi" w:cstheme="minorBidi"/>
        </w:rPr>
        <w:t xml:space="preserve">We have conducted market </w:t>
      </w:r>
      <w:r w:rsidR="005A504C" w:rsidRPr="008A598A">
        <w:rPr>
          <w:rFonts w:asciiTheme="minorHAnsi" w:eastAsiaTheme="minorEastAsia" w:hAnsiTheme="minorHAnsi" w:cstheme="minorBidi"/>
        </w:rPr>
        <w:t xml:space="preserve">research to help formulate </w:t>
      </w:r>
      <w:r w:rsidR="007B4364" w:rsidRPr="008A598A">
        <w:rPr>
          <w:rFonts w:asciiTheme="minorHAnsi" w:eastAsiaTheme="minorEastAsia" w:hAnsiTheme="minorHAnsi" w:cstheme="minorBidi"/>
        </w:rPr>
        <w:t>our requirements</w:t>
      </w:r>
      <w:r w:rsidR="00741884" w:rsidRPr="008A598A">
        <w:rPr>
          <w:rFonts w:asciiTheme="minorHAnsi" w:eastAsiaTheme="minorEastAsia" w:hAnsiTheme="minorHAnsi" w:cstheme="minorBidi"/>
        </w:rPr>
        <w:t xml:space="preserve">, </w:t>
      </w:r>
      <w:r w:rsidR="0056748C" w:rsidRPr="008A598A">
        <w:rPr>
          <w:rFonts w:asciiTheme="minorHAnsi" w:eastAsiaTheme="minorEastAsia" w:hAnsiTheme="minorHAnsi" w:cstheme="minorBidi"/>
        </w:rPr>
        <w:t xml:space="preserve">confirm </w:t>
      </w:r>
      <w:r w:rsidR="000B2A04" w:rsidRPr="008A598A">
        <w:rPr>
          <w:rFonts w:asciiTheme="minorHAnsi" w:eastAsiaTheme="minorEastAsia" w:hAnsiTheme="minorHAnsi" w:cstheme="minorBidi"/>
        </w:rPr>
        <w:t>the availability</w:t>
      </w:r>
      <w:r w:rsidR="00F308D3" w:rsidRPr="008A598A">
        <w:rPr>
          <w:rFonts w:asciiTheme="minorHAnsi" w:eastAsiaTheme="minorEastAsia" w:hAnsiTheme="minorHAnsi" w:cstheme="minorBidi"/>
        </w:rPr>
        <w:t xml:space="preserve"> of the </w:t>
      </w:r>
      <w:r w:rsidR="0056748C" w:rsidRPr="008A598A">
        <w:rPr>
          <w:rFonts w:asciiTheme="minorHAnsi" w:eastAsiaTheme="minorEastAsia" w:hAnsiTheme="minorHAnsi" w:cstheme="minorBidi"/>
        </w:rPr>
        <w:t xml:space="preserve">tools and </w:t>
      </w:r>
      <w:r w:rsidR="00936A11" w:rsidRPr="008A598A">
        <w:rPr>
          <w:rFonts w:asciiTheme="minorHAnsi" w:eastAsiaTheme="minorEastAsia" w:hAnsiTheme="minorHAnsi" w:cstheme="minorBidi"/>
        </w:rPr>
        <w:t>services required</w:t>
      </w:r>
      <w:r w:rsidR="00741884" w:rsidRPr="008A598A">
        <w:rPr>
          <w:rFonts w:asciiTheme="minorHAnsi" w:eastAsiaTheme="minorEastAsia" w:hAnsiTheme="minorHAnsi" w:cstheme="minorBidi"/>
        </w:rPr>
        <w:t xml:space="preserve"> and </w:t>
      </w:r>
      <w:r w:rsidR="005D11A6" w:rsidRPr="008A598A">
        <w:rPr>
          <w:rFonts w:asciiTheme="minorHAnsi" w:eastAsiaTheme="minorEastAsia" w:hAnsiTheme="minorHAnsi" w:cstheme="minorBidi"/>
        </w:rPr>
        <w:t>gain insight into the</w:t>
      </w:r>
      <w:r w:rsidR="00936A11" w:rsidRPr="008A598A">
        <w:rPr>
          <w:rFonts w:asciiTheme="minorHAnsi" w:eastAsiaTheme="minorEastAsia" w:hAnsiTheme="minorHAnsi" w:cstheme="minorBidi"/>
        </w:rPr>
        <w:t xml:space="preserve"> approaches used </w:t>
      </w:r>
      <w:r w:rsidR="00741884" w:rsidRPr="008A598A">
        <w:rPr>
          <w:rFonts w:asciiTheme="minorHAnsi" w:eastAsiaTheme="minorEastAsia" w:hAnsiTheme="minorHAnsi" w:cstheme="minorBidi"/>
        </w:rPr>
        <w:t xml:space="preserve">by market participants to deliver these capabilities to </w:t>
      </w:r>
      <w:r w:rsidR="009F4840" w:rsidRPr="008A598A">
        <w:rPr>
          <w:rFonts w:asciiTheme="minorHAnsi" w:eastAsiaTheme="minorEastAsia" w:hAnsiTheme="minorHAnsi" w:cstheme="minorBidi"/>
        </w:rPr>
        <w:t>institutional investors.</w:t>
      </w:r>
      <w:r w:rsidR="00936A11" w:rsidRPr="008A598A">
        <w:rPr>
          <w:rFonts w:asciiTheme="minorHAnsi" w:eastAsiaTheme="minorEastAsia" w:hAnsiTheme="minorHAnsi" w:cstheme="minorBidi"/>
        </w:rPr>
        <w:t xml:space="preserve"> </w:t>
      </w:r>
    </w:p>
    <w:p w14:paraId="02AA720E" w14:textId="42B5AD73" w:rsidR="00D13322" w:rsidRDefault="00D13322" w:rsidP="7C92C8FB">
      <w:pPr>
        <w:pStyle w:val="BodyText1"/>
        <w:ind w:left="357" w:hanging="357"/>
        <w:rPr>
          <w:rFonts w:eastAsiaTheme="minorEastAsia" w:cstheme="minorBidi"/>
        </w:rPr>
      </w:pPr>
    </w:p>
    <w:p w14:paraId="0CFE456B" w14:textId="4469B9E2" w:rsidR="00D13322" w:rsidRDefault="1E667A27" w:rsidP="00C14783">
      <w:pPr>
        <w:pStyle w:val="Heading1"/>
        <w:numPr>
          <w:ilvl w:val="0"/>
          <w:numId w:val="0"/>
        </w:numPr>
        <w:ind w:hanging="357"/>
        <w:rPr>
          <w:rFonts w:eastAsiaTheme="minorEastAsia" w:cstheme="minorBidi"/>
        </w:rPr>
      </w:pPr>
      <w:r>
        <w:lastRenderedPageBreak/>
        <w:t xml:space="preserve">6. </w:t>
      </w:r>
      <w:bookmarkStart w:id="8" w:name="_Toc193095859"/>
      <w:bookmarkEnd w:id="7"/>
      <w:r w:rsidR="002107B6">
        <w:t>The Procurement process</w:t>
      </w:r>
      <w:bookmarkEnd w:id="8"/>
    </w:p>
    <w:p w14:paraId="54762D8A" w14:textId="1EED9005" w:rsidR="006F6101" w:rsidRPr="003E51E7" w:rsidRDefault="006F6101" w:rsidP="00A91834">
      <w:pPr>
        <w:pStyle w:val="Normal1"/>
        <w:spacing w:before="120" w:after="120" w:line="360" w:lineRule="auto"/>
        <w:ind w:left="-284"/>
        <w:contextualSpacing/>
        <w:jc w:val="both"/>
        <w:rPr>
          <w:rFonts w:asciiTheme="minorHAnsi" w:eastAsiaTheme="minorEastAsia" w:hAnsiTheme="minorHAnsi" w:cstheme="minorBidi"/>
          <w:color w:val="auto"/>
        </w:rPr>
      </w:pPr>
      <w:r w:rsidRPr="7C92C8FB">
        <w:rPr>
          <w:rFonts w:asciiTheme="minorHAnsi" w:eastAsiaTheme="minorEastAsia" w:hAnsiTheme="minorHAnsi" w:cstheme="minorBidi"/>
          <w:color w:val="auto"/>
        </w:rPr>
        <w:t>The procurement will be structured into two key stages</w:t>
      </w:r>
      <w:r w:rsidR="09D0F031" w:rsidRPr="7C92C8FB">
        <w:rPr>
          <w:rFonts w:asciiTheme="minorHAnsi" w:eastAsiaTheme="minorEastAsia" w:hAnsiTheme="minorHAnsi" w:cstheme="minorBidi"/>
          <w:color w:val="auto"/>
        </w:rPr>
        <w:t xml:space="preserve"> </w:t>
      </w:r>
      <w:r w:rsidR="6E5AA675" w:rsidRPr="7C92C8FB">
        <w:rPr>
          <w:rFonts w:asciiTheme="minorHAnsi" w:eastAsiaTheme="minorEastAsia" w:hAnsiTheme="minorHAnsi" w:cstheme="minorBidi"/>
          <w:color w:val="auto"/>
        </w:rPr>
        <w:t>followed by</w:t>
      </w:r>
      <w:r w:rsidR="09D0F031" w:rsidRPr="7C92C8FB">
        <w:rPr>
          <w:rFonts w:asciiTheme="minorHAnsi" w:eastAsiaTheme="minorEastAsia" w:hAnsiTheme="minorHAnsi" w:cstheme="minorBidi"/>
          <w:color w:val="auto"/>
        </w:rPr>
        <w:t xml:space="preserve"> an award stage</w:t>
      </w:r>
      <w:r w:rsidRPr="7C92C8FB">
        <w:rPr>
          <w:rFonts w:asciiTheme="minorHAnsi" w:eastAsiaTheme="minorEastAsia" w:hAnsiTheme="minorHAnsi" w:cstheme="minorBidi"/>
          <w:color w:val="auto"/>
        </w:rPr>
        <w:t>:</w:t>
      </w:r>
    </w:p>
    <w:p w14:paraId="3E8446D3" w14:textId="4130579D" w:rsidR="75D82C93" w:rsidRDefault="75D82C93" w:rsidP="00A91834">
      <w:pPr>
        <w:pStyle w:val="Normal1"/>
        <w:spacing w:before="120" w:after="120" w:line="360" w:lineRule="auto"/>
        <w:ind w:left="-284"/>
        <w:contextualSpacing/>
        <w:jc w:val="both"/>
        <w:rPr>
          <w:rFonts w:asciiTheme="minorHAnsi" w:eastAsiaTheme="minorEastAsia" w:hAnsiTheme="minorHAnsi" w:cstheme="minorBidi"/>
          <w:color w:val="auto"/>
        </w:rPr>
      </w:pPr>
    </w:p>
    <w:p w14:paraId="54BDE05F" w14:textId="77777777" w:rsidR="006F6101" w:rsidRPr="00066D94" w:rsidRDefault="006F6101" w:rsidP="00A91834">
      <w:pPr>
        <w:pStyle w:val="Normal1"/>
        <w:numPr>
          <w:ilvl w:val="1"/>
          <w:numId w:val="5"/>
        </w:numPr>
        <w:spacing w:before="120" w:after="120" w:line="360" w:lineRule="auto"/>
        <w:contextualSpacing/>
        <w:jc w:val="both"/>
        <w:rPr>
          <w:rFonts w:asciiTheme="minorHAnsi" w:eastAsiaTheme="minorEastAsia" w:hAnsiTheme="minorHAnsi" w:cstheme="minorBidi"/>
          <w:b/>
          <w:color w:val="auto"/>
        </w:rPr>
      </w:pPr>
      <w:r w:rsidRPr="7C92C8FB">
        <w:rPr>
          <w:rFonts w:asciiTheme="minorHAnsi" w:eastAsiaTheme="minorEastAsia" w:hAnsiTheme="minorHAnsi" w:cstheme="minorBidi"/>
          <w:b/>
          <w:color w:val="auto"/>
        </w:rPr>
        <w:t>Stage 1: Selection</w:t>
      </w:r>
    </w:p>
    <w:p w14:paraId="1355832B" w14:textId="07C6B150" w:rsidR="006F6101" w:rsidRPr="00066D94" w:rsidRDefault="006F6101" w:rsidP="00A91834">
      <w:pPr>
        <w:pStyle w:val="Normal1"/>
        <w:numPr>
          <w:ilvl w:val="2"/>
          <w:numId w:val="5"/>
        </w:numPr>
        <w:spacing w:before="120" w:after="120" w:line="360" w:lineRule="auto"/>
        <w:contextualSpacing/>
        <w:jc w:val="both"/>
        <w:rPr>
          <w:rFonts w:asciiTheme="minorHAnsi" w:eastAsiaTheme="minorEastAsia" w:hAnsiTheme="minorHAnsi" w:cstheme="minorBidi"/>
          <w:color w:val="auto"/>
        </w:rPr>
      </w:pPr>
      <w:r w:rsidRPr="7C92C8FB">
        <w:rPr>
          <w:rFonts w:asciiTheme="minorHAnsi" w:eastAsiaTheme="minorEastAsia" w:hAnsiTheme="minorHAnsi" w:cstheme="minorBidi"/>
          <w:color w:val="auto"/>
        </w:rPr>
        <w:t>Applicants who have expressed an interest in the procurement will need to pre-qualify and must complete the P</w:t>
      </w:r>
      <w:r w:rsidR="00AA0D12" w:rsidRPr="7C92C8FB">
        <w:rPr>
          <w:rFonts w:asciiTheme="minorHAnsi" w:eastAsiaTheme="minorEastAsia" w:hAnsiTheme="minorHAnsi" w:cstheme="minorBidi"/>
          <w:color w:val="auto"/>
        </w:rPr>
        <w:t xml:space="preserve">rocurement </w:t>
      </w:r>
      <w:r w:rsidRPr="7C92C8FB">
        <w:rPr>
          <w:rFonts w:asciiTheme="minorHAnsi" w:eastAsiaTheme="minorEastAsia" w:hAnsiTheme="minorHAnsi" w:cstheme="minorBidi"/>
          <w:color w:val="auto"/>
        </w:rPr>
        <w:t>S</w:t>
      </w:r>
      <w:r w:rsidR="00AA0D12" w:rsidRPr="7C92C8FB">
        <w:rPr>
          <w:rFonts w:asciiTheme="minorHAnsi" w:eastAsiaTheme="minorEastAsia" w:hAnsiTheme="minorHAnsi" w:cstheme="minorBidi"/>
          <w:color w:val="auto"/>
        </w:rPr>
        <w:t>pecific Questionnaire (PSQ)</w:t>
      </w:r>
      <w:r w:rsidR="007004F8" w:rsidRPr="7C92C8FB">
        <w:rPr>
          <w:rFonts w:asciiTheme="minorHAnsi" w:eastAsiaTheme="minorEastAsia" w:hAnsiTheme="minorHAnsi" w:cstheme="minorBidi"/>
          <w:color w:val="auto"/>
        </w:rPr>
        <w:t xml:space="preserve"> and have registered their details on the Central Digital Portal (CDP) within </w:t>
      </w:r>
      <w:r w:rsidR="006376AF" w:rsidRPr="7C92C8FB">
        <w:rPr>
          <w:rFonts w:asciiTheme="minorHAnsi" w:eastAsiaTheme="minorEastAsia" w:hAnsiTheme="minorHAnsi" w:cstheme="minorBidi"/>
          <w:color w:val="auto"/>
        </w:rPr>
        <w:t xml:space="preserve">the </w:t>
      </w:r>
      <w:r w:rsidR="007004F8" w:rsidRPr="7C92C8FB">
        <w:rPr>
          <w:rFonts w:asciiTheme="minorHAnsi" w:eastAsiaTheme="minorEastAsia" w:hAnsiTheme="minorHAnsi" w:cstheme="minorBidi"/>
          <w:color w:val="auto"/>
        </w:rPr>
        <w:t>Find a Tender</w:t>
      </w:r>
      <w:r w:rsidR="006376AF" w:rsidRPr="7C92C8FB">
        <w:rPr>
          <w:rFonts w:asciiTheme="minorHAnsi" w:eastAsiaTheme="minorEastAsia" w:hAnsiTheme="minorHAnsi" w:cstheme="minorBidi"/>
          <w:color w:val="auto"/>
        </w:rPr>
        <w:t xml:space="preserve"> porta</w:t>
      </w:r>
      <w:r w:rsidR="008C2C8C" w:rsidRPr="7C92C8FB">
        <w:rPr>
          <w:rFonts w:asciiTheme="minorHAnsi" w:eastAsiaTheme="minorEastAsia" w:hAnsiTheme="minorHAnsi" w:cstheme="minorBidi"/>
          <w:color w:val="auto"/>
        </w:rPr>
        <w:t>l</w:t>
      </w:r>
      <w:r w:rsidR="006376AF" w:rsidRPr="7C92C8FB">
        <w:rPr>
          <w:rFonts w:asciiTheme="minorHAnsi" w:eastAsiaTheme="minorEastAsia" w:hAnsiTheme="minorHAnsi" w:cstheme="minorBidi"/>
          <w:color w:val="auto"/>
        </w:rPr>
        <w:t>.</w:t>
      </w:r>
    </w:p>
    <w:p w14:paraId="5295B640" w14:textId="4944EA68" w:rsidR="006F6101" w:rsidRPr="00066D94" w:rsidRDefault="006F6101" w:rsidP="00A91834">
      <w:pPr>
        <w:pStyle w:val="Normal1"/>
        <w:numPr>
          <w:ilvl w:val="2"/>
          <w:numId w:val="5"/>
        </w:numPr>
        <w:spacing w:before="120" w:after="120" w:line="360" w:lineRule="auto"/>
        <w:contextualSpacing/>
        <w:jc w:val="both"/>
        <w:rPr>
          <w:rFonts w:asciiTheme="minorHAnsi" w:eastAsiaTheme="minorEastAsia" w:hAnsiTheme="minorHAnsi" w:cstheme="minorBidi"/>
          <w:color w:val="auto"/>
        </w:rPr>
      </w:pPr>
      <w:r w:rsidRPr="7C92C8FB">
        <w:rPr>
          <w:rFonts w:asciiTheme="minorHAnsi" w:eastAsiaTheme="minorEastAsia" w:hAnsiTheme="minorHAnsi" w:cstheme="minorBidi"/>
          <w:color w:val="auto"/>
        </w:rPr>
        <w:t>The PS</w:t>
      </w:r>
      <w:r w:rsidR="00AA0D12" w:rsidRPr="7C92C8FB">
        <w:rPr>
          <w:rFonts w:asciiTheme="minorHAnsi" w:eastAsiaTheme="minorEastAsia" w:hAnsiTheme="minorHAnsi" w:cstheme="minorBidi"/>
          <w:color w:val="auto"/>
        </w:rPr>
        <w:t>Q</w:t>
      </w:r>
      <w:r w:rsidRPr="7C92C8FB">
        <w:rPr>
          <w:rFonts w:asciiTheme="minorHAnsi" w:eastAsiaTheme="minorEastAsia" w:hAnsiTheme="minorHAnsi" w:cstheme="minorBidi"/>
          <w:color w:val="auto"/>
        </w:rPr>
        <w:t xml:space="preserve"> sets out the information required by the authority in order to assess the suitability of applicants to perform the Services as well as their economic and financial standing and technical and professional ability.</w:t>
      </w:r>
    </w:p>
    <w:p w14:paraId="547DA6D7" w14:textId="77777777" w:rsidR="006F6101" w:rsidRPr="00066D94" w:rsidRDefault="006F6101" w:rsidP="00A91834">
      <w:pPr>
        <w:pStyle w:val="Normal1"/>
        <w:numPr>
          <w:ilvl w:val="2"/>
          <w:numId w:val="5"/>
        </w:numPr>
        <w:spacing w:before="120" w:after="120" w:line="360" w:lineRule="auto"/>
        <w:contextualSpacing/>
        <w:jc w:val="both"/>
        <w:rPr>
          <w:rFonts w:asciiTheme="minorHAnsi" w:eastAsiaTheme="minorEastAsia" w:hAnsiTheme="minorHAnsi" w:cstheme="minorBidi"/>
          <w:color w:val="auto"/>
        </w:rPr>
      </w:pPr>
      <w:r w:rsidRPr="7C92C8FB">
        <w:rPr>
          <w:rFonts w:asciiTheme="minorHAnsi" w:eastAsiaTheme="minorEastAsia" w:hAnsiTheme="minorHAnsi" w:cstheme="minorBidi"/>
          <w:color w:val="auto"/>
        </w:rPr>
        <w:t>Tenders will be evaluated based on the bidder’s written submission and proof of concept presentations.</w:t>
      </w:r>
    </w:p>
    <w:p w14:paraId="73766E07" w14:textId="24F2AFAA" w:rsidR="006F6101" w:rsidRDefault="006F6101" w:rsidP="00A91834">
      <w:pPr>
        <w:pStyle w:val="Normal1"/>
        <w:numPr>
          <w:ilvl w:val="2"/>
          <w:numId w:val="5"/>
        </w:numPr>
        <w:spacing w:before="120" w:after="120" w:line="360" w:lineRule="auto"/>
        <w:contextualSpacing/>
        <w:jc w:val="both"/>
        <w:rPr>
          <w:rFonts w:asciiTheme="minorHAnsi" w:eastAsiaTheme="minorEastAsia" w:hAnsiTheme="minorHAnsi" w:cstheme="minorBidi"/>
          <w:color w:val="auto"/>
        </w:rPr>
      </w:pPr>
      <w:r w:rsidRPr="7C92C8FB">
        <w:rPr>
          <w:rFonts w:asciiTheme="minorHAnsi" w:eastAsiaTheme="minorEastAsia" w:hAnsiTheme="minorHAnsi" w:cstheme="minorBidi"/>
          <w:color w:val="auto"/>
        </w:rPr>
        <w:t>LCIV reserves the right to limit the number of applicants that are invited to Stage 2 of the procurement to no more than 5 that have received the highest scores under section 3 of the PS</w:t>
      </w:r>
      <w:r w:rsidR="00AA0D12" w:rsidRPr="7C92C8FB">
        <w:rPr>
          <w:rFonts w:asciiTheme="minorHAnsi" w:eastAsiaTheme="minorEastAsia" w:hAnsiTheme="minorHAnsi" w:cstheme="minorBidi"/>
          <w:color w:val="auto"/>
        </w:rPr>
        <w:t>Q</w:t>
      </w:r>
      <w:r w:rsidRPr="7C92C8FB">
        <w:rPr>
          <w:rFonts w:asciiTheme="minorHAnsi" w:eastAsiaTheme="minorEastAsia" w:hAnsiTheme="minorHAnsi" w:cstheme="minorBidi"/>
          <w:color w:val="auto"/>
        </w:rPr>
        <w:t xml:space="preserve">. </w:t>
      </w:r>
    </w:p>
    <w:p w14:paraId="21680046" w14:textId="77777777" w:rsidR="006F6101" w:rsidRPr="00066D94" w:rsidRDefault="006F6101" w:rsidP="00A91834">
      <w:pPr>
        <w:pStyle w:val="Normal1"/>
        <w:spacing w:before="120" w:after="120" w:line="360" w:lineRule="auto"/>
        <w:ind w:left="-1004"/>
        <w:contextualSpacing/>
        <w:jc w:val="both"/>
        <w:rPr>
          <w:rFonts w:asciiTheme="minorHAnsi" w:eastAsiaTheme="minorEastAsia" w:hAnsiTheme="minorHAnsi" w:cstheme="minorBidi"/>
          <w:color w:val="auto"/>
        </w:rPr>
      </w:pPr>
    </w:p>
    <w:p w14:paraId="2DDF4F7A" w14:textId="3D9D318A" w:rsidR="006F6101" w:rsidRPr="00066D94" w:rsidRDefault="006F6101" w:rsidP="00A91834">
      <w:pPr>
        <w:pStyle w:val="Normal1"/>
        <w:numPr>
          <w:ilvl w:val="1"/>
          <w:numId w:val="5"/>
        </w:numPr>
        <w:spacing w:before="120" w:after="120" w:line="360" w:lineRule="auto"/>
        <w:contextualSpacing/>
        <w:jc w:val="both"/>
        <w:rPr>
          <w:rFonts w:asciiTheme="minorHAnsi" w:eastAsiaTheme="minorEastAsia" w:hAnsiTheme="minorHAnsi" w:cstheme="minorBidi"/>
          <w:b/>
          <w:color w:val="auto"/>
        </w:rPr>
      </w:pPr>
      <w:r w:rsidRPr="7C92C8FB">
        <w:rPr>
          <w:rFonts w:asciiTheme="minorHAnsi" w:eastAsiaTheme="minorEastAsia" w:hAnsiTheme="minorHAnsi" w:cstheme="minorBidi"/>
          <w:b/>
          <w:color w:val="auto"/>
        </w:rPr>
        <w:t xml:space="preserve">Stage 2: Tender </w:t>
      </w:r>
      <w:r w:rsidR="48B36768" w:rsidRPr="7C92C8FB">
        <w:rPr>
          <w:rFonts w:asciiTheme="minorHAnsi" w:eastAsiaTheme="minorEastAsia" w:hAnsiTheme="minorHAnsi" w:cstheme="minorBidi"/>
          <w:b/>
          <w:color w:val="auto"/>
        </w:rPr>
        <w:t>Stage</w:t>
      </w:r>
    </w:p>
    <w:p w14:paraId="6AF8D130" w14:textId="7EE9C42F" w:rsidR="006F6101" w:rsidRPr="00A91834" w:rsidRDefault="006F6101" w:rsidP="00A91834">
      <w:pPr>
        <w:pStyle w:val="Normal1"/>
        <w:numPr>
          <w:ilvl w:val="2"/>
          <w:numId w:val="5"/>
        </w:numPr>
        <w:spacing w:before="120" w:after="120" w:line="360" w:lineRule="auto"/>
        <w:contextualSpacing/>
        <w:jc w:val="both"/>
        <w:rPr>
          <w:rFonts w:asciiTheme="minorHAnsi" w:eastAsiaTheme="minorEastAsia" w:hAnsiTheme="minorHAnsi" w:cstheme="minorBidi"/>
          <w:color w:val="auto"/>
        </w:rPr>
      </w:pPr>
      <w:r w:rsidRPr="00A91834">
        <w:rPr>
          <w:rFonts w:asciiTheme="minorHAnsi" w:eastAsiaTheme="minorEastAsia" w:hAnsiTheme="minorHAnsi" w:cstheme="minorBidi"/>
          <w:color w:val="auto"/>
        </w:rPr>
        <w:t>The Authority will issue an ITT to applicants that are shortlisted to Stage 2 following the evaluation of the PS</w:t>
      </w:r>
      <w:r w:rsidR="00AA0D12" w:rsidRPr="00A91834">
        <w:rPr>
          <w:rFonts w:asciiTheme="minorHAnsi" w:eastAsiaTheme="minorEastAsia" w:hAnsiTheme="minorHAnsi" w:cstheme="minorBidi"/>
          <w:color w:val="auto"/>
        </w:rPr>
        <w:t>Q</w:t>
      </w:r>
      <w:r w:rsidRPr="00A91834">
        <w:rPr>
          <w:rFonts w:asciiTheme="minorHAnsi" w:eastAsiaTheme="minorEastAsia" w:hAnsiTheme="minorHAnsi" w:cstheme="minorBidi"/>
          <w:color w:val="auto"/>
        </w:rPr>
        <w:t xml:space="preserve"> responses.</w:t>
      </w:r>
    </w:p>
    <w:p w14:paraId="667DFE6B" w14:textId="77777777" w:rsidR="006F6101" w:rsidRPr="00BE0D00" w:rsidRDefault="006F6101" w:rsidP="00A91834">
      <w:pPr>
        <w:pStyle w:val="Normal1"/>
        <w:numPr>
          <w:ilvl w:val="2"/>
          <w:numId w:val="5"/>
        </w:numPr>
        <w:spacing w:before="120" w:after="120" w:line="360" w:lineRule="auto"/>
        <w:contextualSpacing/>
        <w:jc w:val="both"/>
        <w:rPr>
          <w:rFonts w:asciiTheme="minorHAnsi" w:eastAsiaTheme="minorEastAsia" w:hAnsiTheme="minorHAnsi" w:cstheme="minorBidi"/>
          <w:color w:val="auto"/>
        </w:rPr>
      </w:pPr>
      <w:r w:rsidRPr="00A91834">
        <w:rPr>
          <w:rFonts w:asciiTheme="minorHAnsi" w:eastAsiaTheme="minorEastAsia" w:hAnsiTheme="minorHAnsi" w:cstheme="minorBidi"/>
          <w:color w:val="auto"/>
        </w:rPr>
        <w:t>A draft ITT has been made available to applicants</w:t>
      </w:r>
      <w:r w:rsidRPr="7C92C8FB">
        <w:rPr>
          <w:rFonts w:asciiTheme="minorHAnsi" w:eastAsiaTheme="minorEastAsia" w:hAnsiTheme="minorHAnsi" w:cstheme="minorBidi"/>
          <w:color w:val="auto"/>
        </w:rPr>
        <w:t xml:space="preserve"> during Stage 1 of the procurement for information only. Applicants must not respond to the draft ITT during Stage 1 of the procurement.</w:t>
      </w:r>
    </w:p>
    <w:p w14:paraId="7D63539F" w14:textId="7D184870" w:rsidR="75D82C93" w:rsidRDefault="75D82C93" w:rsidP="00A91834">
      <w:pPr>
        <w:pStyle w:val="Normal1"/>
        <w:spacing w:before="120" w:after="120" w:line="360" w:lineRule="auto"/>
        <w:ind w:left="2160"/>
        <w:contextualSpacing/>
        <w:jc w:val="both"/>
        <w:rPr>
          <w:rFonts w:asciiTheme="minorHAnsi" w:eastAsiaTheme="minorEastAsia" w:hAnsiTheme="minorHAnsi" w:cstheme="minorBidi"/>
          <w:color w:val="auto"/>
        </w:rPr>
      </w:pPr>
    </w:p>
    <w:p w14:paraId="0244C549" w14:textId="676409E1" w:rsidR="12354DB0" w:rsidRDefault="12354DB0" w:rsidP="00A91834">
      <w:pPr>
        <w:pStyle w:val="Normal1"/>
        <w:numPr>
          <w:ilvl w:val="1"/>
          <w:numId w:val="5"/>
        </w:numPr>
        <w:spacing w:before="120" w:after="120" w:line="360" w:lineRule="auto"/>
        <w:contextualSpacing/>
        <w:jc w:val="both"/>
        <w:rPr>
          <w:rFonts w:asciiTheme="minorHAnsi" w:eastAsiaTheme="minorEastAsia" w:hAnsiTheme="minorHAnsi" w:cstheme="minorBidi"/>
          <w:b/>
          <w:color w:val="auto"/>
        </w:rPr>
      </w:pPr>
      <w:r w:rsidRPr="7C92C8FB">
        <w:rPr>
          <w:rFonts w:asciiTheme="minorHAnsi" w:eastAsiaTheme="minorEastAsia" w:hAnsiTheme="minorHAnsi" w:cstheme="minorBidi"/>
          <w:b/>
          <w:color w:val="auto"/>
        </w:rPr>
        <w:t>Award Stage</w:t>
      </w:r>
    </w:p>
    <w:p w14:paraId="461FA0AA" w14:textId="568EBD75" w:rsidR="12354DB0" w:rsidRPr="00A91834" w:rsidRDefault="12354DB0" w:rsidP="00A91834">
      <w:pPr>
        <w:pStyle w:val="Normal1"/>
        <w:numPr>
          <w:ilvl w:val="2"/>
          <w:numId w:val="5"/>
        </w:numPr>
        <w:spacing w:before="120" w:after="120" w:line="360" w:lineRule="auto"/>
        <w:contextualSpacing/>
        <w:jc w:val="both"/>
        <w:rPr>
          <w:rFonts w:asciiTheme="minorHAnsi" w:eastAsiaTheme="minorEastAsia" w:hAnsiTheme="minorHAnsi" w:cstheme="minorBidi"/>
          <w:color w:val="auto"/>
        </w:rPr>
      </w:pPr>
      <w:r w:rsidRPr="00A91834">
        <w:rPr>
          <w:rFonts w:asciiTheme="minorHAnsi" w:eastAsiaTheme="minorEastAsia" w:hAnsiTheme="minorHAnsi" w:cstheme="minorBidi"/>
          <w:color w:val="auto"/>
        </w:rPr>
        <w:t xml:space="preserve">The </w:t>
      </w:r>
      <w:r w:rsidR="2E05FF47" w:rsidRPr="00A91834">
        <w:rPr>
          <w:rFonts w:asciiTheme="minorHAnsi" w:eastAsiaTheme="minorEastAsia" w:hAnsiTheme="minorHAnsi" w:cstheme="minorBidi"/>
          <w:color w:val="auto"/>
        </w:rPr>
        <w:t>successful</w:t>
      </w:r>
      <w:r w:rsidRPr="00A91834">
        <w:rPr>
          <w:rFonts w:asciiTheme="minorHAnsi" w:eastAsiaTheme="minorEastAsia" w:hAnsiTheme="minorHAnsi" w:cstheme="minorBidi"/>
          <w:color w:val="auto"/>
        </w:rPr>
        <w:t xml:space="preserve"> bidder will be informed, </w:t>
      </w:r>
      <w:r w:rsidR="4591AADF" w:rsidRPr="00A91834">
        <w:rPr>
          <w:rFonts w:asciiTheme="minorHAnsi" w:eastAsiaTheme="minorEastAsia" w:hAnsiTheme="minorHAnsi" w:cstheme="minorBidi"/>
          <w:color w:val="auto"/>
        </w:rPr>
        <w:t>unsuccessful</w:t>
      </w:r>
      <w:r w:rsidRPr="00A91834">
        <w:rPr>
          <w:rFonts w:asciiTheme="minorHAnsi" w:eastAsiaTheme="minorEastAsia" w:hAnsiTheme="minorHAnsi" w:cstheme="minorBidi"/>
          <w:color w:val="auto"/>
        </w:rPr>
        <w:t xml:space="preserve"> bidders </w:t>
      </w:r>
      <w:proofErr w:type="gramStart"/>
      <w:r w:rsidRPr="00A91834">
        <w:rPr>
          <w:rFonts w:asciiTheme="minorHAnsi" w:eastAsiaTheme="minorEastAsia" w:hAnsiTheme="minorHAnsi" w:cstheme="minorBidi"/>
          <w:color w:val="auto"/>
        </w:rPr>
        <w:t>notified</w:t>
      </w:r>
      <w:proofErr w:type="gramEnd"/>
      <w:r w:rsidRPr="00A91834">
        <w:rPr>
          <w:rFonts w:asciiTheme="minorHAnsi" w:eastAsiaTheme="minorEastAsia" w:hAnsiTheme="minorHAnsi" w:cstheme="minorBidi"/>
          <w:color w:val="auto"/>
        </w:rPr>
        <w:t xml:space="preserve"> and, </w:t>
      </w:r>
      <w:r w:rsidR="0051320A">
        <w:rPr>
          <w:rFonts w:asciiTheme="minorHAnsi" w:eastAsiaTheme="minorEastAsia" w:hAnsiTheme="minorHAnsi" w:cstheme="minorBidi"/>
          <w:color w:val="auto"/>
        </w:rPr>
        <w:t>prior to the commencement</w:t>
      </w:r>
      <w:r w:rsidRPr="00A91834">
        <w:rPr>
          <w:rFonts w:asciiTheme="minorHAnsi" w:eastAsiaTheme="minorEastAsia" w:hAnsiTheme="minorHAnsi" w:cstheme="minorBidi"/>
          <w:color w:val="auto"/>
        </w:rPr>
        <w:t xml:space="preserve"> of the standstill period, the contract notice published.</w:t>
      </w:r>
    </w:p>
    <w:p w14:paraId="11B9C03D" w14:textId="77777777" w:rsidR="002A54DB" w:rsidRDefault="002A54DB" w:rsidP="00A91834">
      <w:pPr>
        <w:pStyle w:val="BodyText1"/>
        <w:ind w:left="357"/>
        <w:jc w:val="both"/>
      </w:pPr>
    </w:p>
    <w:p w14:paraId="1E1097A3" w14:textId="356F5124" w:rsidR="00D13322" w:rsidRDefault="178CD25B" w:rsidP="00DF644D">
      <w:pPr>
        <w:pStyle w:val="Heading1"/>
        <w:numPr>
          <w:ilvl w:val="0"/>
          <w:numId w:val="0"/>
        </w:numPr>
      </w:pPr>
      <w:bookmarkStart w:id="9" w:name="_Toc193095860"/>
      <w:r>
        <w:lastRenderedPageBreak/>
        <w:t xml:space="preserve">7. </w:t>
      </w:r>
      <w:r w:rsidR="002107B6">
        <w:t>Procurement timetable</w:t>
      </w:r>
      <w:bookmarkEnd w:id="9"/>
    </w:p>
    <w:p w14:paraId="7D9619E2" w14:textId="289DA3C7" w:rsidR="00F72F39" w:rsidRPr="00F809C4" w:rsidRDefault="0018563A" w:rsidP="00F809C4">
      <w:pPr>
        <w:pStyle w:val="Normal1"/>
        <w:spacing w:line="360" w:lineRule="auto"/>
        <w:jc w:val="both"/>
        <w:rPr>
          <w:rFonts w:asciiTheme="minorHAnsi" w:eastAsiaTheme="minorEastAsia" w:hAnsiTheme="minorHAnsi" w:cstheme="minorBidi"/>
        </w:rPr>
      </w:pPr>
      <w:r w:rsidRPr="00F809C4">
        <w:rPr>
          <w:rFonts w:asciiTheme="minorHAnsi" w:eastAsiaTheme="minorEastAsia" w:hAnsiTheme="minorHAnsi" w:cstheme="minorBidi"/>
        </w:rPr>
        <w:t xml:space="preserve">The timetable for the [remainder of the] Procurement is set out in the following table (the Procurement Timetable). Deadlines for the submission of responses to the Authority are shown in bold. Failure to meet these deadlines will result in a Supplier’s submission not being considered unless there are exceptional mitigating circumstances such as a technical failure in connection with the </w:t>
      </w:r>
      <w:r w:rsidR="006965BC" w:rsidRPr="00F809C4">
        <w:rPr>
          <w:rFonts w:asciiTheme="minorHAnsi" w:eastAsiaTheme="minorEastAsia" w:hAnsiTheme="minorHAnsi" w:cstheme="minorBidi"/>
        </w:rPr>
        <w:t>P</w:t>
      </w:r>
      <w:r w:rsidRPr="00F809C4">
        <w:rPr>
          <w:rFonts w:asciiTheme="minorHAnsi" w:eastAsiaTheme="minorEastAsia" w:hAnsiTheme="minorHAnsi" w:cstheme="minorBidi"/>
        </w:rPr>
        <w:t>ortal.</w:t>
      </w: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119"/>
        <w:gridCol w:w="6519"/>
      </w:tblGrid>
      <w:tr w:rsidR="0018563A" w:rsidRPr="00845A54" w14:paraId="66C58FA5" w14:textId="77777777" w:rsidTr="1DA7DE51">
        <w:trPr>
          <w:tblHeader/>
        </w:trPr>
        <w:tc>
          <w:tcPr>
            <w:tcW w:w="3119" w:type="dxa"/>
            <w:shd w:val="clear" w:color="auto" w:fill="BEDDFF" w:themeFill="accent2" w:themeFillTint="33"/>
          </w:tcPr>
          <w:p w14:paraId="026BF2DC" w14:textId="77777777" w:rsidR="0018563A" w:rsidRPr="00845A54" w:rsidRDefault="0018563A" w:rsidP="009E4F50">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Date(s) and time(s)</w:t>
            </w:r>
          </w:p>
        </w:tc>
        <w:tc>
          <w:tcPr>
            <w:tcW w:w="6519" w:type="dxa"/>
            <w:shd w:val="clear" w:color="auto" w:fill="BEDDFF" w:themeFill="accent2" w:themeFillTint="33"/>
          </w:tcPr>
          <w:p w14:paraId="025089DD" w14:textId="77777777" w:rsidR="0018563A" w:rsidRPr="00845A54" w:rsidRDefault="0018563A" w:rsidP="009E4F50">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Procurement activity</w:t>
            </w:r>
          </w:p>
        </w:tc>
      </w:tr>
      <w:tr w:rsidR="0018563A" w:rsidRPr="0018563A" w14:paraId="1AC4CDFD" w14:textId="77777777" w:rsidTr="1DA7DE51">
        <w:tc>
          <w:tcPr>
            <w:tcW w:w="3119" w:type="dxa"/>
          </w:tcPr>
          <w:p w14:paraId="44248BCC" w14:textId="4CFE8258" w:rsidR="0018563A" w:rsidRPr="00C749C7" w:rsidRDefault="00635953" w:rsidP="009E4F50">
            <w:pPr>
              <w:pStyle w:val="BodyText1"/>
              <w:spacing w:after="120"/>
              <w:rPr>
                <w:b/>
                <w:bCs/>
              </w:rPr>
            </w:pPr>
            <w:r>
              <w:rPr>
                <w:b/>
                <w:bCs/>
              </w:rPr>
              <w:t>31</w:t>
            </w:r>
            <w:r w:rsidRPr="00635953">
              <w:rPr>
                <w:b/>
                <w:bCs/>
                <w:vertAlign w:val="superscript"/>
              </w:rPr>
              <w:t>st</w:t>
            </w:r>
            <w:r>
              <w:rPr>
                <w:b/>
                <w:bCs/>
              </w:rPr>
              <w:t xml:space="preserve"> </w:t>
            </w:r>
            <w:r w:rsidR="00F26C66">
              <w:rPr>
                <w:b/>
                <w:bCs/>
              </w:rPr>
              <w:t>Mar</w:t>
            </w:r>
            <w:r w:rsidR="00CC5399">
              <w:rPr>
                <w:b/>
                <w:bCs/>
              </w:rPr>
              <w:t xml:space="preserve"> 25 12:00</w:t>
            </w:r>
          </w:p>
        </w:tc>
        <w:tc>
          <w:tcPr>
            <w:tcW w:w="6519" w:type="dxa"/>
          </w:tcPr>
          <w:p w14:paraId="4913E1A8" w14:textId="6136194B" w:rsidR="0018563A" w:rsidRPr="00635953" w:rsidRDefault="005C1E68" w:rsidP="009E4F50">
            <w:pPr>
              <w:pStyle w:val="BodyText1"/>
              <w:spacing w:after="120"/>
              <w:rPr>
                <w:rFonts w:eastAsiaTheme="minorEastAsia" w:cstheme="minorBidi"/>
                <w:color w:val="auto"/>
              </w:rPr>
            </w:pPr>
            <w:r w:rsidRPr="00635953">
              <w:rPr>
                <w:rFonts w:eastAsiaTheme="minorEastAsia" w:cstheme="minorBidi"/>
                <w:color w:val="auto"/>
              </w:rPr>
              <w:t>Issue of FTS Contract Notice, Contracts Finder Notice, th</w:t>
            </w:r>
            <w:r w:rsidR="008121B6" w:rsidRPr="00635953">
              <w:rPr>
                <w:rFonts w:eastAsiaTheme="minorEastAsia" w:cstheme="minorBidi"/>
                <w:color w:val="auto"/>
              </w:rPr>
              <w:t>e</w:t>
            </w:r>
            <w:r w:rsidRPr="00635953">
              <w:rPr>
                <w:rFonts w:eastAsiaTheme="minorEastAsia" w:cstheme="minorBidi"/>
                <w:color w:val="auto"/>
              </w:rPr>
              <w:t xml:space="preserve"> PSQ and draft ITT</w:t>
            </w:r>
          </w:p>
        </w:tc>
      </w:tr>
      <w:tr w:rsidR="0018563A" w:rsidRPr="0018563A" w14:paraId="37169254" w14:textId="77777777" w:rsidTr="1DA7DE51">
        <w:tc>
          <w:tcPr>
            <w:tcW w:w="3119" w:type="dxa"/>
          </w:tcPr>
          <w:p w14:paraId="0B1F223A" w14:textId="60410611" w:rsidR="0018563A" w:rsidRPr="00C749C7" w:rsidRDefault="00635953" w:rsidP="009E4F50">
            <w:pPr>
              <w:pStyle w:val="BodyText1"/>
              <w:spacing w:after="0"/>
              <w:rPr>
                <w:b/>
                <w:bCs/>
              </w:rPr>
            </w:pPr>
            <w:r>
              <w:rPr>
                <w:b/>
                <w:bCs/>
              </w:rPr>
              <w:t>28</w:t>
            </w:r>
            <w:r w:rsidRPr="00635953">
              <w:rPr>
                <w:b/>
                <w:bCs/>
                <w:vertAlign w:val="superscript"/>
              </w:rPr>
              <w:t>th</w:t>
            </w:r>
            <w:r w:rsidRPr="7318B200">
              <w:rPr>
                <w:b/>
                <w:bCs/>
              </w:rPr>
              <w:t xml:space="preserve"> </w:t>
            </w:r>
            <w:r w:rsidR="7DD4DE09" w:rsidRPr="7318B200">
              <w:rPr>
                <w:b/>
                <w:bCs/>
              </w:rPr>
              <w:t>Apr</w:t>
            </w:r>
            <w:r w:rsidR="7C04108C" w:rsidRPr="7318B200">
              <w:rPr>
                <w:b/>
                <w:bCs/>
              </w:rPr>
              <w:t xml:space="preserve"> 25 17:00</w:t>
            </w:r>
          </w:p>
        </w:tc>
        <w:tc>
          <w:tcPr>
            <w:tcW w:w="6519" w:type="dxa"/>
          </w:tcPr>
          <w:p w14:paraId="4470D134" w14:textId="3F9119BD" w:rsidR="0018563A" w:rsidRPr="00635953" w:rsidRDefault="005C1E68" w:rsidP="009E4F50">
            <w:pPr>
              <w:pStyle w:val="BodyText1"/>
              <w:spacing w:after="0"/>
              <w:rPr>
                <w:rFonts w:eastAsiaTheme="minorEastAsia" w:cstheme="minorBidi"/>
              </w:rPr>
            </w:pPr>
            <w:r w:rsidRPr="00635953">
              <w:rPr>
                <w:rFonts w:eastAsiaTheme="minorEastAsia" w:cstheme="minorBidi"/>
              </w:rPr>
              <w:t>Deadline for submission of PSQ responses</w:t>
            </w:r>
          </w:p>
        </w:tc>
      </w:tr>
      <w:tr w:rsidR="0018563A" w:rsidRPr="0018563A" w14:paraId="06FBADF4" w14:textId="77777777" w:rsidTr="1DA7DE51">
        <w:tc>
          <w:tcPr>
            <w:tcW w:w="3119" w:type="dxa"/>
          </w:tcPr>
          <w:p w14:paraId="77F88391" w14:textId="59B51640" w:rsidR="0018563A" w:rsidRPr="00C749C7" w:rsidRDefault="00635953" w:rsidP="009E4F50">
            <w:pPr>
              <w:pStyle w:val="BodyText1"/>
              <w:spacing w:after="0"/>
              <w:rPr>
                <w:b/>
                <w:bCs/>
              </w:rPr>
            </w:pPr>
            <w:r>
              <w:rPr>
                <w:b/>
                <w:bCs/>
              </w:rPr>
              <w:t>12</w:t>
            </w:r>
            <w:r>
              <w:rPr>
                <w:b/>
                <w:bCs/>
                <w:vertAlign w:val="superscript"/>
              </w:rPr>
              <w:t>th</w:t>
            </w:r>
            <w:r>
              <w:rPr>
                <w:b/>
                <w:bCs/>
              </w:rPr>
              <w:t xml:space="preserve"> </w:t>
            </w:r>
            <w:r w:rsidR="00380154">
              <w:rPr>
                <w:b/>
                <w:bCs/>
              </w:rPr>
              <w:t>May</w:t>
            </w:r>
            <w:r w:rsidR="005C1E68">
              <w:rPr>
                <w:b/>
                <w:bCs/>
              </w:rPr>
              <w:t xml:space="preserve"> 25 17:00</w:t>
            </w:r>
          </w:p>
        </w:tc>
        <w:tc>
          <w:tcPr>
            <w:tcW w:w="6519" w:type="dxa"/>
          </w:tcPr>
          <w:p w14:paraId="13DC56D4" w14:textId="1DD6CF3B" w:rsidR="0018563A" w:rsidRPr="00635953" w:rsidRDefault="005C1E68" w:rsidP="009E4F50">
            <w:pPr>
              <w:tabs>
                <w:tab w:val="left" w:pos="2751"/>
              </w:tabs>
              <w:ind w:left="57"/>
              <w:rPr>
                <w:rFonts w:eastAsiaTheme="minorEastAsia" w:cstheme="minorBidi"/>
              </w:rPr>
            </w:pPr>
            <w:r w:rsidRPr="00635953">
              <w:rPr>
                <w:rFonts w:eastAsiaTheme="minorEastAsia" w:cstheme="minorBidi"/>
              </w:rPr>
              <w:t>Evaluation of PSQ responses</w:t>
            </w:r>
          </w:p>
        </w:tc>
      </w:tr>
      <w:tr w:rsidR="0018563A" w:rsidRPr="0018563A" w14:paraId="798884F2" w14:textId="77777777" w:rsidTr="1DA7DE51">
        <w:tc>
          <w:tcPr>
            <w:tcW w:w="3119" w:type="dxa"/>
          </w:tcPr>
          <w:p w14:paraId="004D2031" w14:textId="01D67B12" w:rsidR="0018563A" w:rsidRPr="00C749C7" w:rsidRDefault="00635953" w:rsidP="009E4F50">
            <w:pPr>
              <w:pStyle w:val="BodyText1"/>
              <w:spacing w:after="0"/>
              <w:rPr>
                <w:b/>
                <w:bCs/>
              </w:rPr>
            </w:pPr>
            <w:r>
              <w:rPr>
                <w:b/>
                <w:bCs/>
              </w:rPr>
              <w:t>15</w:t>
            </w:r>
            <w:r w:rsidRPr="00635953">
              <w:rPr>
                <w:b/>
                <w:bCs/>
                <w:vertAlign w:val="superscript"/>
              </w:rPr>
              <w:t>th</w:t>
            </w:r>
            <w:r>
              <w:rPr>
                <w:b/>
                <w:bCs/>
              </w:rPr>
              <w:t xml:space="preserve"> </w:t>
            </w:r>
            <w:r w:rsidR="008E13AD">
              <w:rPr>
                <w:b/>
                <w:bCs/>
              </w:rPr>
              <w:t>May</w:t>
            </w:r>
            <w:r w:rsidR="00770687">
              <w:rPr>
                <w:b/>
                <w:bCs/>
              </w:rPr>
              <w:t xml:space="preserve"> 25 17:00</w:t>
            </w:r>
          </w:p>
        </w:tc>
        <w:tc>
          <w:tcPr>
            <w:tcW w:w="6519" w:type="dxa"/>
          </w:tcPr>
          <w:p w14:paraId="29D8B445" w14:textId="1AFD27F8" w:rsidR="0018563A" w:rsidRPr="0018563A" w:rsidRDefault="00770687" w:rsidP="009E4F50">
            <w:pPr>
              <w:tabs>
                <w:tab w:val="left" w:pos="2751"/>
              </w:tabs>
              <w:ind w:left="57"/>
              <w:rPr>
                <w:rFonts w:eastAsiaTheme="minorEastAsia" w:cstheme="minorBidi"/>
              </w:rPr>
            </w:pPr>
            <w:r w:rsidRPr="7C92C8FB">
              <w:rPr>
                <w:rFonts w:eastAsiaTheme="minorEastAsia" w:cstheme="minorBidi"/>
              </w:rPr>
              <w:t>Issue of ITT/notification to unsuccessful applicants</w:t>
            </w:r>
          </w:p>
        </w:tc>
      </w:tr>
      <w:tr w:rsidR="0018563A" w:rsidRPr="0018563A" w14:paraId="7BB8F3D1" w14:textId="77777777" w:rsidTr="1DA7DE51">
        <w:tc>
          <w:tcPr>
            <w:tcW w:w="3119" w:type="dxa"/>
          </w:tcPr>
          <w:p w14:paraId="056123E4" w14:textId="0B2728AF" w:rsidR="0018563A" w:rsidRPr="00C749C7" w:rsidRDefault="00635953" w:rsidP="009E4F50">
            <w:pPr>
              <w:pStyle w:val="BodyText1"/>
              <w:spacing w:after="0"/>
              <w:rPr>
                <w:b/>
                <w:bCs/>
              </w:rPr>
            </w:pPr>
            <w:r>
              <w:rPr>
                <w:b/>
                <w:bCs/>
              </w:rPr>
              <w:t>2</w:t>
            </w:r>
            <w:r w:rsidRPr="75D82C93">
              <w:rPr>
                <w:b/>
                <w:bCs/>
              </w:rPr>
              <w:t>2</w:t>
            </w:r>
            <w:r w:rsidRPr="00E54ABF">
              <w:rPr>
                <w:b/>
                <w:bCs/>
                <w:vertAlign w:val="superscript"/>
              </w:rPr>
              <w:t>nd</w:t>
            </w:r>
            <w:r>
              <w:rPr>
                <w:b/>
                <w:bCs/>
              </w:rPr>
              <w:t xml:space="preserve"> </w:t>
            </w:r>
            <w:r w:rsidR="00702243">
              <w:rPr>
                <w:b/>
                <w:bCs/>
              </w:rPr>
              <w:t>May</w:t>
            </w:r>
            <w:r w:rsidR="00770687">
              <w:rPr>
                <w:b/>
                <w:bCs/>
              </w:rPr>
              <w:t xml:space="preserve"> 25 17:00</w:t>
            </w:r>
          </w:p>
        </w:tc>
        <w:tc>
          <w:tcPr>
            <w:tcW w:w="6519" w:type="dxa"/>
          </w:tcPr>
          <w:p w14:paraId="7AAA8B8F" w14:textId="4ED79ED7" w:rsidR="0018563A" w:rsidRPr="00635953" w:rsidRDefault="00770687" w:rsidP="009E4F50">
            <w:pPr>
              <w:pStyle w:val="BodyText1"/>
              <w:spacing w:after="0"/>
              <w:rPr>
                <w:rFonts w:eastAsiaTheme="minorEastAsia" w:cstheme="minorBidi"/>
              </w:rPr>
            </w:pPr>
            <w:r w:rsidRPr="00635953">
              <w:rPr>
                <w:rFonts w:eastAsiaTheme="minorEastAsia" w:cstheme="minorBidi"/>
              </w:rPr>
              <w:t>Deadline for submission of clarification questions relating to the ITT</w:t>
            </w:r>
          </w:p>
        </w:tc>
      </w:tr>
      <w:tr w:rsidR="007977C4" w:rsidRPr="0018563A" w14:paraId="21CB6C89" w14:textId="77777777" w:rsidTr="1DA7DE51">
        <w:trPr>
          <w:trHeight w:val="300"/>
        </w:trPr>
        <w:tc>
          <w:tcPr>
            <w:tcW w:w="3119" w:type="dxa"/>
          </w:tcPr>
          <w:p w14:paraId="19181F61" w14:textId="62B070E4" w:rsidR="007977C4" w:rsidRPr="00C749C7" w:rsidRDefault="00E54ABF" w:rsidP="009E4F50">
            <w:pPr>
              <w:pStyle w:val="BodyText1"/>
              <w:spacing w:after="0"/>
              <w:rPr>
                <w:b/>
                <w:bCs/>
              </w:rPr>
            </w:pPr>
            <w:r>
              <w:rPr>
                <w:b/>
                <w:bCs/>
              </w:rPr>
              <w:t>9</w:t>
            </w:r>
            <w:r w:rsidRPr="00635953">
              <w:rPr>
                <w:b/>
                <w:bCs/>
                <w:vertAlign w:val="superscript"/>
              </w:rPr>
              <w:t>th</w:t>
            </w:r>
            <w:r>
              <w:rPr>
                <w:b/>
                <w:bCs/>
              </w:rPr>
              <w:t>June</w:t>
            </w:r>
            <w:r w:rsidR="00770687" w:rsidRPr="1DA7DE51">
              <w:rPr>
                <w:b/>
                <w:bCs/>
              </w:rPr>
              <w:t xml:space="preserve"> </w:t>
            </w:r>
            <w:r w:rsidR="39357EEA" w:rsidRPr="1DA7DE51">
              <w:rPr>
                <w:b/>
                <w:bCs/>
              </w:rPr>
              <w:t>25 17:00</w:t>
            </w:r>
          </w:p>
        </w:tc>
        <w:tc>
          <w:tcPr>
            <w:tcW w:w="6519" w:type="dxa"/>
          </w:tcPr>
          <w:p w14:paraId="4D78791F" w14:textId="50B68514" w:rsidR="007977C4" w:rsidRPr="0018563A" w:rsidRDefault="000E6E47" w:rsidP="009E4F50">
            <w:pPr>
              <w:pStyle w:val="BodyText1"/>
              <w:spacing w:after="0"/>
              <w:rPr>
                <w:rFonts w:eastAsiaTheme="minorEastAsia" w:cstheme="minorBidi"/>
              </w:rPr>
            </w:pPr>
            <w:r w:rsidRPr="00635953">
              <w:rPr>
                <w:rFonts w:eastAsiaTheme="minorEastAsia" w:cstheme="minorBidi"/>
              </w:rPr>
              <w:t>Deadline for submission of ITT</w:t>
            </w:r>
          </w:p>
        </w:tc>
      </w:tr>
      <w:tr w:rsidR="000E6E47" w:rsidRPr="0018563A" w14:paraId="46DC38BE" w14:textId="77777777" w:rsidTr="1DA7DE51">
        <w:trPr>
          <w:trHeight w:val="300"/>
        </w:trPr>
        <w:tc>
          <w:tcPr>
            <w:tcW w:w="3119" w:type="dxa"/>
          </w:tcPr>
          <w:p w14:paraId="20AA1C94" w14:textId="2BD507D5" w:rsidR="000E6E47" w:rsidRDefault="39357EEA" w:rsidP="009E4F50">
            <w:pPr>
              <w:pStyle w:val="BodyText1"/>
              <w:spacing w:after="0"/>
              <w:rPr>
                <w:b/>
                <w:bCs/>
              </w:rPr>
            </w:pPr>
            <w:r w:rsidRPr="1DA7DE51">
              <w:rPr>
                <w:b/>
                <w:bCs/>
              </w:rPr>
              <w:t xml:space="preserve">Week ending </w:t>
            </w:r>
            <w:r w:rsidR="00E54ABF">
              <w:rPr>
                <w:b/>
                <w:bCs/>
              </w:rPr>
              <w:t>2</w:t>
            </w:r>
            <w:r w:rsidR="00E54ABF" w:rsidRPr="1DA7DE51">
              <w:rPr>
                <w:b/>
                <w:bCs/>
              </w:rPr>
              <w:t>3</w:t>
            </w:r>
            <w:r w:rsidR="00E54ABF">
              <w:rPr>
                <w:b/>
                <w:bCs/>
                <w:vertAlign w:val="superscript"/>
              </w:rPr>
              <w:t>rd</w:t>
            </w:r>
            <w:r w:rsidR="00E54ABF" w:rsidRPr="1DA7DE51">
              <w:rPr>
                <w:b/>
                <w:bCs/>
              </w:rPr>
              <w:t xml:space="preserve"> </w:t>
            </w:r>
            <w:r w:rsidR="79D2C9A2" w:rsidRPr="1DA7DE51">
              <w:rPr>
                <w:b/>
                <w:bCs/>
              </w:rPr>
              <w:t>Jun</w:t>
            </w:r>
            <w:r w:rsidRPr="1DA7DE51">
              <w:rPr>
                <w:b/>
                <w:bCs/>
              </w:rPr>
              <w:t xml:space="preserve"> 25</w:t>
            </w:r>
          </w:p>
        </w:tc>
        <w:tc>
          <w:tcPr>
            <w:tcW w:w="6519" w:type="dxa"/>
          </w:tcPr>
          <w:p w14:paraId="39171DBA" w14:textId="4DF0677C" w:rsidR="000E6E47" w:rsidRDefault="000E6E47" w:rsidP="009E4F50">
            <w:pPr>
              <w:pStyle w:val="BodyText1"/>
              <w:spacing w:after="0"/>
              <w:rPr>
                <w:rFonts w:eastAsiaTheme="minorEastAsia" w:cstheme="minorBidi"/>
              </w:rPr>
            </w:pPr>
            <w:r w:rsidRPr="00635953">
              <w:rPr>
                <w:rFonts w:eastAsiaTheme="minorEastAsia" w:cstheme="minorBidi"/>
              </w:rPr>
              <w:t>Presentations</w:t>
            </w:r>
          </w:p>
        </w:tc>
      </w:tr>
      <w:tr w:rsidR="000E6E47" w:rsidRPr="0018563A" w14:paraId="3A295774" w14:textId="77777777" w:rsidTr="1DA7DE51">
        <w:trPr>
          <w:trHeight w:val="300"/>
        </w:trPr>
        <w:tc>
          <w:tcPr>
            <w:tcW w:w="3119" w:type="dxa"/>
          </w:tcPr>
          <w:p w14:paraId="55CD6A65" w14:textId="06431C3B" w:rsidR="000E6E47" w:rsidRDefault="00CB1B2A" w:rsidP="009E4F50">
            <w:pPr>
              <w:pStyle w:val="BodyText1"/>
              <w:spacing w:after="0"/>
              <w:rPr>
                <w:b/>
                <w:bCs/>
              </w:rPr>
            </w:pPr>
            <w:r>
              <w:rPr>
                <w:b/>
                <w:bCs/>
              </w:rPr>
              <w:t>23</w:t>
            </w:r>
            <w:r>
              <w:rPr>
                <w:b/>
                <w:bCs/>
                <w:vertAlign w:val="superscript"/>
              </w:rPr>
              <w:t>rd</w:t>
            </w:r>
            <w:r>
              <w:rPr>
                <w:b/>
                <w:bCs/>
              </w:rPr>
              <w:t xml:space="preserve"> </w:t>
            </w:r>
            <w:r w:rsidR="00DF1EDE">
              <w:rPr>
                <w:b/>
                <w:bCs/>
              </w:rPr>
              <w:t>Jun</w:t>
            </w:r>
            <w:r w:rsidR="00612AE0">
              <w:rPr>
                <w:b/>
                <w:bCs/>
              </w:rPr>
              <w:t xml:space="preserve"> 25 17:00</w:t>
            </w:r>
          </w:p>
        </w:tc>
        <w:tc>
          <w:tcPr>
            <w:tcW w:w="6519" w:type="dxa"/>
          </w:tcPr>
          <w:p w14:paraId="44779203" w14:textId="6F423D2B" w:rsidR="000E6E47" w:rsidRDefault="00612AE0" w:rsidP="009E4F50">
            <w:pPr>
              <w:pStyle w:val="BodyText1"/>
              <w:spacing w:after="0"/>
              <w:rPr>
                <w:rFonts w:eastAsiaTheme="minorEastAsia" w:cstheme="minorBidi"/>
              </w:rPr>
            </w:pPr>
            <w:r w:rsidRPr="00635953">
              <w:rPr>
                <w:rFonts w:eastAsiaTheme="minorEastAsia" w:cstheme="minorBidi"/>
              </w:rPr>
              <w:t>Evaluation of tenders</w:t>
            </w:r>
          </w:p>
        </w:tc>
      </w:tr>
      <w:tr w:rsidR="00612AE0" w:rsidRPr="0018563A" w14:paraId="127C7111" w14:textId="77777777" w:rsidTr="1DA7DE51">
        <w:trPr>
          <w:trHeight w:val="300"/>
        </w:trPr>
        <w:tc>
          <w:tcPr>
            <w:tcW w:w="3119" w:type="dxa"/>
          </w:tcPr>
          <w:p w14:paraId="7FB435AC" w14:textId="33ADCABA" w:rsidR="00612AE0" w:rsidRDefault="00CB1B2A" w:rsidP="00635953">
            <w:pPr>
              <w:pStyle w:val="BodyText1"/>
              <w:spacing w:after="0" w:line="259" w:lineRule="auto"/>
              <w:rPr>
                <w:b/>
                <w:bCs/>
              </w:rPr>
            </w:pPr>
            <w:r>
              <w:rPr>
                <w:b/>
                <w:bCs/>
              </w:rPr>
              <w:t>3</w:t>
            </w:r>
            <w:r w:rsidRPr="1DA7DE51">
              <w:rPr>
                <w:b/>
                <w:bCs/>
              </w:rPr>
              <w:t>0</w:t>
            </w:r>
            <w:r w:rsidRPr="1DA7DE51">
              <w:rPr>
                <w:b/>
                <w:bCs/>
                <w:vertAlign w:val="superscript"/>
              </w:rPr>
              <w:t>th</w:t>
            </w:r>
            <w:r w:rsidRPr="1DA7DE51">
              <w:rPr>
                <w:b/>
                <w:bCs/>
              </w:rPr>
              <w:t xml:space="preserve"> </w:t>
            </w:r>
            <w:r w:rsidR="2D57246B" w:rsidRPr="1DA7DE51">
              <w:rPr>
                <w:b/>
                <w:bCs/>
              </w:rPr>
              <w:t>Jun 25</w:t>
            </w:r>
          </w:p>
        </w:tc>
        <w:tc>
          <w:tcPr>
            <w:tcW w:w="6519" w:type="dxa"/>
          </w:tcPr>
          <w:p w14:paraId="3F7BFBEC" w14:textId="564A0973" w:rsidR="00612AE0" w:rsidRDefault="00C42F43" w:rsidP="009E4F50">
            <w:pPr>
              <w:pStyle w:val="BodyText1"/>
              <w:spacing w:after="0"/>
              <w:rPr>
                <w:rFonts w:eastAsiaTheme="minorEastAsia" w:cstheme="minorBidi"/>
              </w:rPr>
            </w:pPr>
            <w:r w:rsidRPr="00635953">
              <w:rPr>
                <w:rFonts w:eastAsiaTheme="minorEastAsia" w:cstheme="minorBidi"/>
              </w:rPr>
              <w:t>Notification of award decision and issue of standstill letters</w:t>
            </w:r>
          </w:p>
        </w:tc>
      </w:tr>
      <w:tr w:rsidR="00C42F43" w:rsidRPr="0018563A" w14:paraId="31448F86" w14:textId="77777777" w:rsidTr="1DA7DE51">
        <w:trPr>
          <w:trHeight w:val="300"/>
        </w:trPr>
        <w:tc>
          <w:tcPr>
            <w:tcW w:w="3119" w:type="dxa"/>
          </w:tcPr>
          <w:p w14:paraId="1C8629D7" w14:textId="18A08319" w:rsidR="00C42F43" w:rsidRDefault="00AE1E72" w:rsidP="009E4F50">
            <w:pPr>
              <w:pStyle w:val="BodyText1"/>
              <w:spacing w:after="0"/>
              <w:rPr>
                <w:b/>
                <w:bCs/>
              </w:rPr>
            </w:pPr>
            <w:r>
              <w:rPr>
                <w:b/>
                <w:bCs/>
              </w:rPr>
              <w:t>1</w:t>
            </w:r>
            <w:r w:rsidRPr="1DA7DE51">
              <w:rPr>
                <w:b/>
                <w:bCs/>
              </w:rPr>
              <w:t>4</w:t>
            </w:r>
            <w:r w:rsidRPr="00AE1E72">
              <w:rPr>
                <w:b/>
                <w:bCs/>
                <w:vertAlign w:val="superscript"/>
              </w:rPr>
              <w:t>th</w:t>
            </w:r>
            <w:r w:rsidRPr="1DA7DE51">
              <w:rPr>
                <w:b/>
                <w:bCs/>
              </w:rPr>
              <w:t xml:space="preserve"> </w:t>
            </w:r>
            <w:r w:rsidR="0E75FCA3" w:rsidRPr="1DA7DE51">
              <w:rPr>
                <w:b/>
                <w:bCs/>
              </w:rPr>
              <w:t>Ju</w:t>
            </w:r>
            <w:r w:rsidR="72E30DDE" w:rsidRPr="1DA7DE51">
              <w:rPr>
                <w:b/>
                <w:bCs/>
              </w:rPr>
              <w:t>l</w:t>
            </w:r>
            <w:r w:rsidR="0E75FCA3" w:rsidRPr="1DA7DE51">
              <w:rPr>
                <w:b/>
                <w:bCs/>
              </w:rPr>
              <w:t xml:space="preserve"> 25 17:00</w:t>
            </w:r>
          </w:p>
        </w:tc>
        <w:tc>
          <w:tcPr>
            <w:tcW w:w="6519" w:type="dxa"/>
          </w:tcPr>
          <w:p w14:paraId="61FFE6C2" w14:textId="71D2A11A" w:rsidR="00C42F43" w:rsidRDefault="00C42F43" w:rsidP="009E4F50">
            <w:pPr>
              <w:pStyle w:val="BodyText1"/>
              <w:spacing w:after="0"/>
              <w:rPr>
                <w:rFonts w:eastAsiaTheme="minorEastAsia" w:cstheme="minorBidi"/>
              </w:rPr>
            </w:pPr>
            <w:r w:rsidRPr="00635953">
              <w:rPr>
                <w:rFonts w:eastAsiaTheme="minorEastAsia" w:cstheme="minorBidi"/>
              </w:rPr>
              <w:t>Standstill period expiry, contract award notice published</w:t>
            </w:r>
          </w:p>
        </w:tc>
      </w:tr>
      <w:tr w:rsidR="00C42F43" w:rsidRPr="0018563A" w14:paraId="543715E4" w14:textId="77777777" w:rsidTr="1DA7DE51">
        <w:trPr>
          <w:trHeight w:val="300"/>
        </w:trPr>
        <w:tc>
          <w:tcPr>
            <w:tcW w:w="3119" w:type="dxa"/>
          </w:tcPr>
          <w:p w14:paraId="1B1F1895" w14:textId="77777777" w:rsidR="00C42F43" w:rsidRDefault="00C42F43" w:rsidP="009E4F50">
            <w:pPr>
              <w:pStyle w:val="BodyText1"/>
              <w:spacing w:after="0"/>
              <w:rPr>
                <w:b/>
                <w:bCs/>
              </w:rPr>
            </w:pPr>
          </w:p>
        </w:tc>
        <w:tc>
          <w:tcPr>
            <w:tcW w:w="6519" w:type="dxa"/>
          </w:tcPr>
          <w:p w14:paraId="12FECE25" w14:textId="77777777" w:rsidR="00C42F43" w:rsidRDefault="00C42F43" w:rsidP="009E4F50">
            <w:pPr>
              <w:pStyle w:val="BodyText1"/>
              <w:spacing w:after="0"/>
            </w:pPr>
          </w:p>
        </w:tc>
      </w:tr>
    </w:tbl>
    <w:p w14:paraId="0AB05BD8" w14:textId="4B529B14" w:rsidR="0018563A" w:rsidRDefault="002147DD" w:rsidP="00F809C4">
      <w:pPr>
        <w:pStyle w:val="BodyText1"/>
        <w:jc w:val="both"/>
      </w:pPr>
      <w:r w:rsidRPr="002147DD">
        <w:t>Please note that the Authority reserves the right, in its absolute discretion, to amend the Procurement Timetable or extend any time period in connection with the Procurement. Any changes to the Procurement Timetable will be notified simultaneously to the Suppliers.</w:t>
      </w:r>
    </w:p>
    <w:p w14:paraId="0E5F53EE" w14:textId="77777777" w:rsidR="004C009C" w:rsidRDefault="004C009C">
      <w:pPr>
        <w:rPr>
          <w:b/>
          <w:color w:val="005ABB" w:themeColor="accent2"/>
          <w:sz w:val="50"/>
          <w:szCs w:val="50"/>
        </w:rPr>
      </w:pPr>
      <w:bookmarkStart w:id="10" w:name="_Toc193095861"/>
      <w:r>
        <w:rPr>
          <w:b/>
          <w:color w:val="005ABB" w:themeColor="accent2"/>
          <w:sz w:val="50"/>
          <w:szCs w:val="50"/>
        </w:rPr>
        <w:br w:type="page"/>
      </w:r>
    </w:p>
    <w:p w14:paraId="7CB6D53D" w14:textId="77777777" w:rsidR="004C009C" w:rsidRDefault="0C1113CD" w:rsidP="004C009C">
      <w:pPr>
        <w:pStyle w:val="BodyText1"/>
        <w:rPr>
          <w:b/>
          <w:color w:val="005ABB" w:themeColor="accent2"/>
          <w:sz w:val="50"/>
          <w:szCs w:val="50"/>
        </w:rPr>
      </w:pPr>
      <w:r w:rsidRPr="004C009C">
        <w:rPr>
          <w:b/>
          <w:color w:val="005ABB" w:themeColor="accent2"/>
          <w:sz w:val="50"/>
          <w:szCs w:val="50"/>
        </w:rPr>
        <w:lastRenderedPageBreak/>
        <w:t xml:space="preserve">8. </w:t>
      </w:r>
      <w:r w:rsidR="002147DD" w:rsidRPr="004C009C">
        <w:rPr>
          <w:b/>
          <w:color w:val="005ABB" w:themeColor="accent2"/>
          <w:sz w:val="50"/>
          <w:szCs w:val="50"/>
        </w:rPr>
        <w:t>Service Levels, Service Credits and</w:t>
      </w:r>
      <w:r w:rsidR="00F22687" w:rsidRPr="004C009C">
        <w:rPr>
          <w:b/>
          <w:color w:val="005ABB" w:themeColor="accent2"/>
          <w:sz w:val="50"/>
          <w:szCs w:val="50"/>
        </w:rPr>
        <w:t> </w:t>
      </w:r>
      <w:r w:rsidR="002147DD" w:rsidRPr="004C009C">
        <w:rPr>
          <w:b/>
          <w:color w:val="005ABB" w:themeColor="accent2"/>
          <w:sz w:val="50"/>
          <w:szCs w:val="50"/>
        </w:rPr>
        <w:t>KPIs</w:t>
      </w:r>
      <w:bookmarkEnd w:id="10"/>
    </w:p>
    <w:p w14:paraId="1DD3B0A5" w14:textId="7E11675A" w:rsidR="003F17F7" w:rsidRPr="00C111D0" w:rsidRDefault="00E334B3" w:rsidP="00C111D0">
      <w:pPr>
        <w:pStyle w:val="BodyText1"/>
        <w:spacing w:line="360" w:lineRule="auto"/>
        <w:jc w:val="both"/>
        <w:rPr>
          <w:rFonts w:eastAsiaTheme="minorEastAsia" w:cstheme="minorBidi"/>
          <w:lang w:eastAsia="en-US"/>
        </w:rPr>
      </w:pPr>
      <w:r w:rsidRPr="004C009C">
        <w:rPr>
          <w:rFonts w:eastAsiaTheme="minorEastAsia" w:cstheme="minorBidi"/>
          <w:lang w:eastAsia="en-US"/>
        </w:rPr>
        <w:t>The</w:t>
      </w:r>
      <w:r w:rsidRPr="00C111D0">
        <w:rPr>
          <w:rFonts w:eastAsiaTheme="minorEastAsia" w:cstheme="minorBidi"/>
          <w:lang w:eastAsia="en-US"/>
        </w:rPr>
        <w:t xml:space="preserve"> appointed Supplier will </w:t>
      </w:r>
      <w:r w:rsidR="00080A2F" w:rsidRPr="00C111D0">
        <w:rPr>
          <w:rFonts w:eastAsiaTheme="minorEastAsia" w:cstheme="minorBidi"/>
          <w:lang w:eastAsia="en-US"/>
        </w:rPr>
        <w:t xml:space="preserve">be required to work to </w:t>
      </w:r>
      <w:r w:rsidR="004F061D" w:rsidRPr="00C111D0">
        <w:rPr>
          <w:rFonts w:eastAsiaTheme="minorEastAsia" w:cstheme="minorBidi"/>
          <w:lang w:eastAsia="en-US"/>
        </w:rPr>
        <w:t>timelines</w:t>
      </w:r>
      <w:r w:rsidR="00AC60B5" w:rsidRPr="00C111D0">
        <w:rPr>
          <w:rFonts w:eastAsiaTheme="minorEastAsia" w:cstheme="minorBidi"/>
          <w:lang w:eastAsia="en-US"/>
        </w:rPr>
        <w:t xml:space="preserve"> agreed with London CIV</w:t>
      </w:r>
      <w:r w:rsidR="00F648B4" w:rsidRPr="00C111D0">
        <w:rPr>
          <w:rFonts w:eastAsiaTheme="minorEastAsia" w:cstheme="minorBidi"/>
          <w:lang w:eastAsia="en-US"/>
        </w:rPr>
        <w:t xml:space="preserve"> for each modelling and asset allocation </w:t>
      </w:r>
      <w:r w:rsidR="001B24A5" w:rsidRPr="00C111D0">
        <w:rPr>
          <w:rFonts w:eastAsiaTheme="minorEastAsia" w:cstheme="minorBidi"/>
          <w:lang w:eastAsia="en-US"/>
        </w:rPr>
        <w:t xml:space="preserve">project undertaken for London CIV or its Partner Funds. </w:t>
      </w:r>
      <w:r w:rsidR="004F061D" w:rsidRPr="00C111D0">
        <w:rPr>
          <w:rFonts w:eastAsiaTheme="minorEastAsia" w:cstheme="minorBidi"/>
          <w:lang w:eastAsia="en-US"/>
        </w:rPr>
        <w:t xml:space="preserve">Project plans will </w:t>
      </w:r>
      <w:r w:rsidR="001D5D99" w:rsidRPr="00C111D0">
        <w:rPr>
          <w:rFonts w:eastAsiaTheme="minorEastAsia" w:cstheme="minorBidi"/>
          <w:lang w:eastAsia="en-US"/>
        </w:rPr>
        <w:t xml:space="preserve">specify data gathering requirements, </w:t>
      </w:r>
      <w:r w:rsidR="008E6422" w:rsidRPr="00C111D0">
        <w:rPr>
          <w:rFonts w:eastAsiaTheme="minorEastAsia" w:cstheme="minorBidi"/>
          <w:lang w:eastAsia="en-US"/>
        </w:rPr>
        <w:t xml:space="preserve">deadlines for completion </w:t>
      </w:r>
      <w:r w:rsidR="00DE72A0" w:rsidRPr="00C111D0">
        <w:rPr>
          <w:rFonts w:eastAsiaTheme="minorEastAsia" w:cstheme="minorBidi"/>
          <w:lang w:eastAsia="en-US"/>
        </w:rPr>
        <w:t xml:space="preserve">and delivery of </w:t>
      </w:r>
      <w:r w:rsidR="008E6422" w:rsidRPr="00C111D0">
        <w:rPr>
          <w:rFonts w:eastAsiaTheme="minorEastAsia" w:cstheme="minorBidi"/>
          <w:lang w:eastAsia="en-US"/>
        </w:rPr>
        <w:t>modelling work,</w:t>
      </w:r>
      <w:r w:rsidR="00955341" w:rsidRPr="00C111D0">
        <w:rPr>
          <w:rFonts w:eastAsiaTheme="minorEastAsia" w:cstheme="minorBidi"/>
          <w:lang w:eastAsia="en-US"/>
        </w:rPr>
        <w:t xml:space="preserve"> plans for post</w:t>
      </w:r>
      <w:r w:rsidR="001C6076" w:rsidRPr="00C111D0">
        <w:rPr>
          <w:rFonts w:eastAsiaTheme="minorEastAsia" w:cstheme="minorBidi"/>
          <w:lang w:eastAsia="en-US"/>
        </w:rPr>
        <w:t>-</w:t>
      </w:r>
      <w:r w:rsidR="00955341" w:rsidRPr="00C111D0">
        <w:rPr>
          <w:rFonts w:eastAsiaTheme="minorEastAsia" w:cstheme="minorBidi"/>
          <w:lang w:eastAsia="en-US"/>
        </w:rPr>
        <w:t xml:space="preserve">delivery consultation with London CIV and/or its Partner Funds and </w:t>
      </w:r>
      <w:r w:rsidR="003F17F7" w:rsidRPr="00C111D0">
        <w:rPr>
          <w:rFonts w:eastAsiaTheme="minorEastAsia" w:cstheme="minorBidi"/>
          <w:lang w:eastAsia="en-US"/>
        </w:rPr>
        <w:t>the timeline for delivery of final reports.</w:t>
      </w:r>
    </w:p>
    <w:p w14:paraId="14B9EFD5" w14:textId="081B2431" w:rsidR="001D2378" w:rsidRPr="00C111D0" w:rsidRDefault="003F17F7" w:rsidP="00C111D0">
      <w:pPr>
        <w:pStyle w:val="BodyText1"/>
        <w:spacing w:line="360" w:lineRule="auto"/>
        <w:jc w:val="both"/>
        <w:rPr>
          <w:rFonts w:eastAsiaTheme="minorEastAsia" w:cstheme="minorBidi"/>
          <w:lang w:eastAsia="en-US"/>
        </w:rPr>
      </w:pPr>
      <w:r w:rsidRPr="00C111D0">
        <w:rPr>
          <w:rFonts w:eastAsiaTheme="minorEastAsia" w:cstheme="minorBidi"/>
          <w:lang w:eastAsia="en-US"/>
        </w:rPr>
        <w:t xml:space="preserve">London CIV and the appointed Supplier will </w:t>
      </w:r>
      <w:r w:rsidR="00211137" w:rsidRPr="00C111D0">
        <w:rPr>
          <w:rFonts w:eastAsiaTheme="minorEastAsia" w:cstheme="minorBidi"/>
          <w:lang w:eastAsia="en-US"/>
        </w:rPr>
        <w:t xml:space="preserve">agree a </w:t>
      </w:r>
      <w:r w:rsidR="001D2378" w:rsidRPr="00C111D0">
        <w:rPr>
          <w:rFonts w:eastAsiaTheme="minorEastAsia" w:cstheme="minorBidi"/>
          <w:lang w:eastAsia="en-US"/>
        </w:rPr>
        <w:t xml:space="preserve">framework project template which will </w:t>
      </w:r>
      <w:r w:rsidR="00F75AFF" w:rsidRPr="00C111D0">
        <w:rPr>
          <w:rFonts w:eastAsiaTheme="minorEastAsia" w:cstheme="minorBidi"/>
          <w:lang w:eastAsia="en-US"/>
        </w:rPr>
        <w:t xml:space="preserve">be </w:t>
      </w:r>
      <w:r w:rsidR="001D2378" w:rsidRPr="00C111D0">
        <w:rPr>
          <w:rFonts w:eastAsiaTheme="minorEastAsia" w:cstheme="minorBidi"/>
          <w:lang w:eastAsia="en-US"/>
        </w:rPr>
        <w:t>adapt</w:t>
      </w:r>
      <w:r w:rsidR="00F75AFF" w:rsidRPr="00C111D0">
        <w:rPr>
          <w:rFonts w:eastAsiaTheme="minorEastAsia" w:cstheme="minorBidi"/>
          <w:lang w:eastAsia="en-US"/>
        </w:rPr>
        <w:t>ed</w:t>
      </w:r>
      <w:r w:rsidR="001D2378" w:rsidRPr="00C111D0">
        <w:rPr>
          <w:rFonts w:eastAsiaTheme="minorEastAsia" w:cstheme="minorBidi"/>
          <w:lang w:eastAsia="en-US"/>
        </w:rPr>
        <w:t xml:space="preserve"> to the parameters of specific projects.</w:t>
      </w:r>
    </w:p>
    <w:p w14:paraId="1B0B7A3D" w14:textId="562A703F" w:rsidR="00E71F04" w:rsidRPr="00C111D0" w:rsidRDefault="001D2378" w:rsidP="00C111D0">
      <w:pPr>
        <w:pStyle w:val="BodyText1"/>
        <w:spacing w:line="360" w:lineRule="auto"/>
        <w:jc w:val="both"/>
        <w:rPr>
          <w:rFonts w:eastAsiaTheme="minorEastAsia" w:cstheme="minorBidi"/>
          <w:lang w:eastAsia="en-US"/>
        </w:rPr>
      </w:pPr>
      <w:r w:rsidRPr="00C111D0">
        <w:rPr>
          <w:rFonts w:eastAsiaTheme="minorEastAsia" w:cstheme="minorBidi"/>
          <w:lang w:eastAsia="en-US"/>
        </w:rPr>
        <w:t>London CIV and the appointed Supplier will</w:t>
      </w:r>
      <w:r w:rsidR="004972A9" w:rsidRPr="00C111D0">
        <w:rPr>
          <w:rFonts w:eastAsiaTheme="minorEastAsia" w:cstheme="minorBidi"/>
          <w:lang w:eastAsia="en-US"/>
        </w:rPr>
        <w:t xml:space="preserve"> put in place </w:t>
      </w:r>
      <w:r w:rsidR="00E745A5" w:rsidRPr="00C111D0">
        <w:rPr>
          <w:rFonts w:eastAsiaTheme="minorEastAsia" w:cstheme="minorBidi"/>
          <w:lang w:eastAsia="en-US"/>
        </w:rPr>
        <w:t xml:space="preserve">templates specifying data gathering requirements, modelling outputs and the </w:t>
      </w:r>
      <w:r w:rsidR="00E71F04" w:rsidRPr="00C111D0">
        <w:rPr>
          <w:rFonts w:eastAsiaTheme="minorEastAsia" w:cstheme="minorBidi"/>
          <w:lang w:eastAsia="en-US"/>
        </w:rPr>
        <w:t>format and content of final reports.</w:t>
      </w:r>
      <w:r w:rsidR="001B11AD" w:rsidRPr="00C111D0">
        <w:rPr>
          <w:rFonts w:eastAsiaTheme="minorEastAsia" w:cstheme="minorBidi"/>
          <w:lang w:eastAsia="en-US"/>
        </w:rPr>
        <w:t xml:space="preserve"> At a minimum, final reports </w:t>
      </w:r>
      <w:r w:rsidR="00716AD6" w:rsidRPr="00C111D0">
        <w:rPr>
          <w:rFonts w:eastAsiaTheme="minorEastAsia" w:cstheme="minorBidi"/>
          <w:lang w:eastAsia="en-US"/>
        </w:rPr>
        <w:t xml:space="preserve">will summarise optimal </w:t>
      </w:r>
      <w:r w:rsidR="00621363" w:rsidRPr="00C111D0">
        <w:rPr>
          <w:rFonts w:eastAsiaTheme="minorEastAsia" w:cstheme="minorBidi"/>
          <w:lang w:eastAsia="en-US"/>
        </w:rPr>
        <w:t>allocation ranges based on the strategic objectives and risk appetites of Partner Funds</w:t>
      </w:r>
      <w:r w:rsidR="00D92EA1" w:rsidRPr="00C111D0">
        <w:rPr>
          <w:rFonts w:eastAsiaTheme="minorEastAsia" w:cstheme="minorBidi"/>
          <w:lang w:eastAsia="en-US"/>
        </w:rPr>
        <w:t xml:space="preserve"> and </w:t>
      </w:r>
      <w:r w:rsidR="0057162C" w:rsidRPr="00C111D0">
        <w:rPr>
          <w:rFonts w:eastAsiaTheme="minorEastAsia" w:cstheme="minorBidi"/>
          <w:lang w:eastAsia="en-US"/>
        </w:rPr>
        <w:t>appropriate performance targets and benchmarks</w:t>
      </w:r>
      <w:r w:rsidR="00E640C7" w:rsidRPr="00C111D0">
        <w:rPr>
          <w:rFonts w:eastAsiaTheme="minorEastAsia" w:cstheme="minorBidi"/>
          <w:lang w:eastAsia="en-US"/>
        </w:rPr>
        <w:t>.</w:t>
      </w:r>
    </w:p>
    <w:p w14:paraId="46659B59" w14:textId="3E2FF44C" w:rsidR="00977BBE" w:rsidRPr="00C111D0" w:rsidRDefault="00977BBE" w:rsidP="00C111D0">
      <w:pPr>
        <w:pStyle w:val="BodyText1"/>
        <w:spacing w:line="360" w:lineRule="auto"/>
        <w:jc w:val="both"/>
        <w:rPr>
          <w:rFonts w:eastAsiaTheme="minorEastAsia" w:cstheme="minorBidi"/>
          <w:lang w:eastAsia="en-US"/>
        </w:rPr>
      </w:pPr>
      <w:r w:rsidRPr="00C111D0">
        <w:rPr>
          <w:rFonts w:eastAsiaTheme="minorEastAsia" w:cstheme="minorBidi"/>
          <w:lang w:eastAsia="en-US"/>
        </w:rPr>
        <w:t xml:space="preserve">The appointed </w:t>
      </w:r>
      <w:r w:rsidR="001C6076" w:rsidRPr="00C111D0">
        <w:rPr>
          <w:rFonts w:eastAsiaTheme="minorEastAsia" w:cstheme="minorBidi"/>
          <w:lang w:eastAsia="en-US"/>
        </w:rPr>
        <w:t>S</w:t>
      </w:r>
      <w:r w:rsidRPr="00C111D0">
        <w:rPr>
          <w:rFonts w:eastAsiaTheme="minorEastAsia" w:cstheme="minorBidi"/>
          <w:lang w:eastAsia="en-US"/>
        </w:rPr>
        <w:t xml:space="preserve">upplier will be expected to </w:t>
      </w:r>
      <w:r w:rsidR="00035B8C" w:rsidRPr="00C111D0">
        <w:rPr>
          <w:rFonts w:eastAsiaTheme="minorEastAsia" w:cstheme="minorBidi"/>
          <w:lang w:eastAsia="en-US"/>
        </w:rPr>
        <w:t xml:space="preserve">share research into new investment ideas or products that </w:t>
      </w:r>
      <w:r w:rsidR="006917FD" w:rsidRPr="00C111D0">
        <w:rPr>
          <w:rFonts w:eastAsiaTheme="minorEastAsia" w:cstheme="minorBidi"/>
          <w:lang w:eastAsia="en-US"/>
        </w:rPr>
        <w:t>might be appropriate to the achievement of the strategic objectives of the Partner Funds.</w:t>
      </w:r>
    </w:p>
    <w:p w14:paraId="2649F1C6" w14:textId="7A37B69D" w:rsidR="00190CC6" w:rsidRPr="00C111D0" w:rsidRDefault="00746415" w:rsidP="00C111D0">
      <w:pPr>
        <w:pStyle w:val="BodyText1"/>
        <w:spacing w:line="360" w:lineRule="auto"/>
        <w:jc w:val="both"/>
        <w:rPr>
          <w:rFonts w:eastAsiaTheme="minorEastAsia" w:cstheme="minorBidi"/>
          <w:lang w:eastAsia="en-US"/>
        </w:rPr>
      </w:pPr>
      <w:r w:rsidRPr="00C111D0">
        <w:rPr>
          <w:rFonts w:eastAsiaTheme="minorEastAsia" w:cstheme="minorBidi"/>
          <w:lang w:eastAsia="en-US"/>
        </w:rPr>
        <w:t xml:space="preserve">London CIV </w:t>
      </w:r>
      <w:r w:rsidR="00257FCE" w:rsidRPr="00C111D0">
        <w:rPr>
          <w:rFonts w:eastAsiaTheme="minorEastAsia" w:cstheme="minorBidi"/>
          <w:lang w:eastAsia="en-US"/>
        </w:rPr>
        <w:t xml:space="preserve">will conduct a </w:t>
      </w:r>
      <w:r w:rsidR="004232F4" w:rsidRPr="00C111D0">
        <w:rPr>
          <w:rFonts w:eastAsiaTheme="minorEastAsia" w:cstheme="minorBidi"/>
          <w:lang w:eastAsia="en-US"/>
        </w:rPr>
        <w:t xml:space="preserve">review of the services provided by the </w:t>
      </w:r>
      <w:r w:rsidR="00F910F1" w:rsidRPr="00C111D0">
        <w:rPr>
          <w:rFonts w:eastAsiaTheme="minorEastAsia" w:cstheme="minorBidi"/>
          <w:lang w:eastAsia="en-US"/>
        </w:rPr>
        <w:t>appointed Supplier on a quarterly basis in the first year of the contract, and semi-annually for the remaining term of the contract. The focus of these reviews will be on:</w:t>
      </w:r>
    </w:p>
    <w:p w14:paraId="2CBF467A" w14:textId="11D9F84E" w:rsidR="000A6DCF" w:rsidRPr="00786797" w:rsidRDefault="007A2844" w:rsidP="00786797">
      <w:pPr>
        <w:pStyle w:val="BodyText1"/>
        <w:numPr>
          <w:ilvl w:val="0"/>
          <w:numId w:val="14"/>
        </w:numPr>
        <w:spacing w:line="360" w:lineRule="auto"/>
        <w:jc w:val="both"/>
        <w:rPr>
          <w:rFonts w:eastAsiaTheme="minorEastAsia" w:cstheme="minorBidi"/>
          <w:lang w:eastAsia="en-US"/>
        </w:rPr>
      </w:pPr>
      <w:r w:rsidRPr="00786797">
        <w:rPr>
          <w:rFonts w:eastAsiaTheme="minorEastAsia" w:cstheme="minorBidi"/>
          <w:lang w:eastAsia="en-US"/>
        </w:rPr>
        <w:t xml:space="preserve">The quality of execution of the </w:t>
      </w:r>
      <w:r w:rsidR="000A6DCF" w:rsidRPr="00786797">
        <w:rPr>
          <w:rFonts w:eastAsiaTheme="minorEastAsia" w:cstheme="minorBidi"/>
          <w:lang w:eastAsia="en-US"/>
        </w:rPr>
        <w:t>contracted services</w:t>
      </w:r>
    </w:p>
    <w:p w14:paraId="5773AC5F" w14:textId="17BD79DF" w:rsidR="000A6DCF" w:rsidRPr="00786797" w:rsidRDefault="00F13F3B" w:rsidP="00786797">
      <w:pPr>
        <w:pStyle w:val="BodyText1"/>
        <w:numPr>
          <w:ilvl w:val="0"/>
          <w:numId w:val="14"/>
        </w:numPr>
        <w:spacing w:line="360" w:lineRule="auto"/>
        <w:jc w:val="both"/>
        <w:rPr>
          <w:rFonts w:eastAsiaTheme="minorEastAsia" w:cstheme="minorBidi"/>
          <w:lang w:eastAsia="en-US"/>
        </w:rPr>
      </w:pPr>
      <w:r w:rsidRPr="00786797">
        <w:rPr>
          <w:rFonts w:eastAsiaTheme="minorEastAsia" w:cstheme="minorBidi"/>
          <w:lang w:eastAsia="en-US"/>
        </w:rPr>
        <w:t>Performance against agreed project timelines</w:t>
      </w:r>
    </w:p>
    <w:p w14:paraId="2B249A10" w14:textId="77777777" w:rsidR="00B12F0D" w:rsidRDefault="00343A37" w:rsidP="003820B1">
      <w:pPr>
        <w:pStyle w:val="BodyText1"/>
        <w:numPr>
          <w:ilvl w:val="0"/>
          <w:numId w:val="14"/>
        </w:numPr>
        <w:spacing w:line="360" w:lineRule="auto"/>
        <w:jc w:val="both"/>
        <w:rPr>
          <w:rFonts w:eastAsiaTheme="minorEastAsia" w:cstheme="minorBidi"/>
          <w:lang w:eastAsia="en-US"/>
        </w:rPr>
      </w:pPr>
      <w:r w:rsidRPr="00786797">
        <w:rPr>
          <w:rFonts w:eastAsiaTheme="minorEastAsia" w:cstheme="minorBidi"/>
          <w:lang w:eastAsia="en-US"/>
        </w:rPr>
        <w:t>Quality and accuracy of modelling output and final reports</w:t>
      </w:r>
    </w:p>
    <w:p w14:paraId="0B9AA8A0" w14:textId="2EB6854D" w:rsidR="00B12F0D" w:rsidRDefault="00F13F3B" w:rsidP="003820B1">
      <w:pPr>
        <w:pStyle w:val="BodyText1"/>
        <w:numPr>
          <w:ilvl w:val="0"/>
          <w:numId w:val="14"/>
        </w:numPr>
        <w:spacing w:line="360" w:lineRule="auto"/>
        <w:jc w:val="both"/>
        <w:rPr>
          <w:rFonts w:eastAsiaTheme="minorEastAsia" w:cstheme="minorBidi"/>
          <w:lang w:eastAsia="en-US"/>
        </w:rPr>
      </w:pPr>
      <w:r w:rsidRPr="00786797">
        <w:rPr>
          <w:rFonts w:eastAsiaTheme="minorEastAsia" w:cstheme="minorBidi"/>
          <w:lang w:eastAsia="en-US"/>
        </w:rPr>
        <w:t xml:space="preserve">Quality of </w:t>
      </w:r>
      <w:r w:rsidR="00881557" w:rsidRPr="00786797">
        <w:rPr>
          <w:rFonts w:eastAsiaTheme="minorEastAsia" w:cstheme="minorBidi"/>
          <w:lang w:eastAsia="en-US"/>
        </w:rPr>
        <w:t>the Supplier’s interaction with London CIV</w:t>
      </w:r>
      <w:r w:rsidR="00343A37" w:rsidRPr="00786797">
        <w:rPr>
          <w:rFonts w:eastAsiaTheme="minorEastAsia" w:cstheme="minorBidi"/>
          <w:lang w:eastAsia="en-US"/>
        </w:rPr>
        <w:t xml:space="preserve"> and/or its Partner Funds</w:t>
      </w:r>
    </w:p>
    <w:p w14:paraId="2275FD32" w14:textId="38EF3253" w:rsidR="005B536C" w:rsidRPr="00B12F0D" w:rsidRDefault="000D47FE" w:rsidP="00B12F0D">
      <w:pPr>
        <w:pStyle w:val="BodyText1"/>
        <w:spacing w:line="360" w:lineRule="auto"/>
        <w:jc w:val="both"/>
        <w:rPr>
          <w:rFonts w:eastAsiaTheme="minorEastAsia" w:cstheme="minorBidi"/>
          <w:lang w:eastAsia="en-US"/>
        </w:rPr>
      </w:pPr>
      <w:r w:rsidRPr="00B12F0D">
        <w:rPr>
          <w:rFonts w:eastAsiaTheme="minorEastAsia" w:cstheme="minorBidi"/>
          <w:lang w:eastAsia="en-US"/>
        </w:rPr>
        <w:t>In</w:t>
      </w:r>
      <w:r w:rsidR="003668AD" w:rsidRPr="00B12F0D">
        <w:rPr>
          <w:rFonts w:eastAsiaTheme="minorEastAsia" w:cstheme="minorBidi"/>
          <w:lang w:eastAsia="en-US"/>
        </w:rPr>
        <w:t xml:space="preserve"> the event of </w:t>
      </w:r>
      <w:r w:rsidR="00050366" w:rsidRPr="00B12F0D">
        <w:rPr>
          <w:rFonts w:eastAsiaTheme="minorEastAsia" w:cstheme="minorBidi"/>
          <w:lang w:eastAsia="en-US"/>
        </w:rPr>
        <w:t xml:space="preserve">any Critical KPI </w:t>
      </w:r>
      <w:r w:rsidR="006932D7">
        <w:rPr>
          <w:rFonts w:eastAsiaTheme="minorEastAsia" w:cstheme="minorBidi"/>
          <w:lang w:eastAsia="en-US"/>
        </w:rPr>
        <w:t>f</w:t>
      </w:r>
      <w:r w:rsidR="00050366" w:rsidRPr="00B12F0D">
        <w:rPr>
          <w:rFonts w:eastAsiaTheme="minorEastAsia" w:cstheme="minorBidi"/>
          <w:lang w:eastAsia="en-US"/>
        </w:rPr>
        <w:t xml:space="preserve">ailures or persistent </w:t>
      </w:r>
      <w:r w:rsidR="003668AD" w:rsidRPr="00B12F0D">
        <w:rPr>
          <w:rFonts w:eastAsiaTheme="minorEastAsia" w:cstheme="minorBidi"/>
          <w:lang w:eastAsia="en-US"/>
        </w:rPr>
        <w:t>poor performance</w:t>
      </w:r>
      <w:r w:rsidR="0056152B" w:rsidRPr="00B12F0D">
        <w:rPr>
          <w:rFonts w:eastAsiaTheme="minorEastAsia" w:cstheme="minorBidi"/>
          <w:lang w:eastAsia="en-US"/>
        </w:rPr>
        <w:t xml:space="preserve"> </w:t>
      </w:r>
      <w:r w:rsidR="00EE3771" w:rsidRPr="00B12F0D">
        <w:rPr>
          <w:rFonts w:eastAsiaTheme="minorEastAsia" w:cstheme="minorBidi"/>
          <w:lang w:eastAsia="en-US"/>
        </w:rPr>
        <w:t xml:space="preserve">against KPIs, London CIV reserves the right to terminate </w:t>
      </w:r>
      <w:r w:rsidR="007E3873" w:rsidRPr="00B12F0D">
        <w:rPr>
          <w:rFonts w:eastAsiaTheme="minorEastAsia" w:cstheme="minorBidi"/>
          <w:lang w:eastAsia="en-US"/>
        </w:rPr>
        <w:t>the contract</w:t>
      </w:r>
      <w:r w:rsidR="00D409C5" w:rsidRPr="00B12F0D">
        <w:rPr>
          <w:rFonts w:eastAsiaTheme="minorEastAsia" w:cstheme="minorBidi"/>
          <w:lang w:eastAsia="en-US"/>
        </w:rPr>
        <w:t xml:space="preserve"> with one months’ </w:t>
      </w:r>
      <w:r w:rsidR="00462B41" w:rsidRPr="00B12F0D">
        <w:rPr>
          <w:rFonts w:eastAsiaTheme="minorEastAsia" w:cstheme="minorBidi"/>
          <w:lang w:eastAsia="en-US"/>
        </w:rPr>
        <w:t xml:space="preserve">prior written notice. </w:t>
      </w:r>
      <w:r w:rsidR="00870BC2" w:rsidRPr="00B12F0D">
        <w:rPr>
          <w:rFonts w:eastAsiaTheme="minorEastAsia" w:cstheme="minorBidi"/>
          <w:lang w:eastAsia="en-US"/>
        </w:rPr>
        <w:t xml:space="preserve">Service Credits will </w:t>
      </w:r>
      <w:r w:rsidR="00C20655" w:rsidRPr="00B12F0D">
        <w:rPr>
          <w:rFonts w:eastAsiaTheme="minorEastAsia" w:cstheme="minorBidi"/>
          <w:lang w:eastAsia="en-US"/>
        </w:rPr>
        <w:t xml:space="preserve">be applied in accordance with the provisions of </w:t>
      </w:r>
      <w:r w:rsidR="00104F85" w:rsidRPr="00B12F0D">
        <w:rPr>
          <w:rFonts w:eastAsiaTheme="minorEastAsia" w:cstheme="minorBidi"/>
          <w:lang w:eastAsia="en-US"/>
        </w:rPr>
        <w:t xml:space="preserve">Schedule 10 </w:t>
      </w:r>
      <w:r w:rsidR="004834B5" w:rsidRPr="00B12F0D">
        <w:rPr>
          <w:rFonts w:eastAsiaTheme="minorEastAsia" w:cstheme="minorBidi"/>
          <w:lang w:eastAsia="en-US"/>
        </w:rPr>
        <w:t>to the Award Form</w:t>
      </w:r>
      <w:r w:rsidR="00274093" w:rsidRPr="00B12F0D">
        <w:rPr>
          <w:rFonts w:eastAsiaTheme="minorEastAsia" w:cstheme="minorBidi"/>
          <w:lang w:eastAsia="en-US"/>
        </w:rPr>
        <w:t>.</w:t>
      </w:r>
    </w:p>
    <w:p w14:paraId="7DCCF522" w14:textId="74679382" w:rsidR="002147DD" w:rsidRPr="002147DD" w:rsidRDefault="16A62A38" w:rsidP="00DF644D">
      <w:pPr>
        <w:pStyle w:val="Heading1"/>
        <w:numPr>
          <w:ilvl w:val="0"/>
          <w:numId w:val="0"/>
        </w:numPr>
      </w:pPr>
      <w:bookmarkStart w:id="11" w:name="_Toc193095862"/>
      <w:r>
        <w:lastRenderedPageBreak/>
        <w:t xml:space="preserve">9. </w:t>
      </w:r>
      <w:r w:rsidR="002147DD">
        <w:t>Key dependencies</w:t>
      </w:r>
      <w:bookmarkEnd w:id="11"/>
    </w:p>
    <w:p w14:paraId="3AE50463" w14:textId="250A2411" w:rsidR="002147DD" w:rsidRDefault="348690F9" w:rsidP="00493867">
      <w:pPr>
        <w:pStyle w:val="BodyText1"/>
        <w:spacing w:after="0" w:line="360" w:lineRule="auto"/>
        <w:jc w:val="both"/>
      </w:pPr>
      <w:r>
        <w:t xml:space="preserve">The volume of work </w:t>
      </w:r>
      <w:r w:rsidR="39CD3EEE">
        <w:t>completed under this contract will depend on London CIV entering into cont</w:t>
      </w:r>
      <w:r w:rsidR="0ECCFD3A">
        <w:t>ra</w:t>
      </w:r>
      <w:r w:rsidR="39CD3EEE">
        <w:t xml:space="preserve">cts with its Partner Funds. We anticipate that </w:t>
      </w:r>
      <w:r w:rsidR="5C9F7848">
        <w:t xml:space="preserve">Partner Funds will contract with London CIV for the provision of asset class modelling and allocation services in </w:t>
      </w:r>
      <w:r w:rsidR="07F00449">
        <w:t xml:space="preserve">stages over </w:t>
      </w:r>
      <w:r w:rsidR="6BD3AA2A">
        <w:t>the term of the contract.</w:t>
      </w:r>
    </w:p>
    <w:p w14:paraId="7F7C79B7" w14:textId="77777777" w:rsidR="00347099" w:rsidRPr="00493867" w:rsidRDefault="00347099" w:rsidP="00493867">
      <w:pPr>
        <w:pStyle w:val="BodyText1"/>
        <w:spacing w:after="0" w:line="360" w:lineRule="auto"/>
        <w:jc w:val="both"/>
        <w:rPr>
          <w:rFonts w:ascii="Lato Light" w:hAnsi="Lato Light"/>
          <w:sz w:val="22"/>
          <w:szCs w:val="22"/>
        </w:rPr>
      </w:pPr>
    </w:p>
    <w:p w14:paraId="7B2ABB9F" w14:textId="730B19E8" w:rsidR="00FE0FB9" w:rsidRDefault="00680C2E" w:rsidP="00493867">
      <w:pPr>
        <w:pStyle w:val="BodyText1"/>
        <w:spacing w:after="0" w:line="360" w:lineRule="auto"/>
        <w:jc w:val="both"/>
      </w:pPr>
      <w:r>
        <w:t>The appointed Supplier will be required to demons</w:t>
      </w:r>
      <w:r w:rsidR="00923C45">
        <w:t xml:space="preserve">trate their ability to scale up </w:t>
      </w:r>
      <w:r w:rsidR="00D45575">
        <w:t xml:space="preserve">the </w:t>
      </w:r>
      <w:r w:rsidR="00844966">
        <w:t>delivery of contracted services</w:t>
      </w:r>
      <w:r w:rsidR="00032597">
        <w:t xml:space="preserve"> as London CIV enters into new agreements with </w:t>
      </w:r>
      <w:r w:rsidR="00FE7E48">
        <w:t>Partner Fund</w:t>
      </w:r>
      <w:r w:rsidR="00032597">
        <w:t>s.</w:t>
      </w:r>
    </w:p>
    <w:p w14:paraId="69780FE3" w14:textId="77777777" w:rsidR="00493867" w:rsidRPr="00493867" w:rsidDel="00F0703F" w:rsidRDefault="00493867" w:rsidP="00493867">
      <w:pPr>
        <w:pStyle w:val="BodyText1"/>
        <w:spacing w:after="0" w:line="360" w:lineRule="auto"/>
        <w:jc w:val="both"/>
        <w:rPr>
          <w:rFonts w:ascii="Lato Light" w:hAnsi="Lato Light"/>
          <w:sz w:val="22"/>
          <w:szCs w:val="22"/>
        </w:rPr>
      </w:pPr>
    </w:p>
    <w:p w14:paraId="5DD02951" w14:textId="579C0079" w:rsidR="002147DD" w:rsidRDefault="00FE0FB9" w:rsidP="00493867">
      <w:pPr>
        <w:pStyle w:val="BodyText1"/>
        <w:spacing w:after="0" w:line="360" w:lineRule="auto"/>
        <w:jc w:val="both"/>
      </w:pPr>
      <w:r>
        <w:t xml:space="preserve">The delivery of services under this contract relies on the availability of actuarial and other </w:t>
      </w:r>
      <w:r w:rsidR="007F359A">
        <w:t xml:space="preserve">data from Partner Funds. London CIV undertakes to </w:t>
      </w:r>
      <w:r w:rsidR="00476625">
        <w:t xml:space="preserve">work with Partner Funds to </w:t>
      </w:r>
      <w:r w:rsidR="00BA72B0">
        <w:t xml:space="preserve">source this data </w:t>
      </w:r>
      <w:r w:rsidR="00E21294">
        <w:t>within the timelines agreed in project plans</w:t>
      </w:r>
      <w:r w:rsidR="00F62CF4" w:rsidRPr="00493867">
        <w:t xml:space="preserve"> and in a format agreed with the </w:t>
      </w:r>
      <w:r w:rsidR="00C90120">
        <w:t>appointed Supplier</w:t>
      </w:r>
      <w:r w:rsidR="00E21294">
        <w:t xml:space="preserve">. London CIV cannot guarantee the accuracy of data supplied </w:t>
      </w:r>
      <w:r w:rsidR="00032597">
        <w:t>by Partner Funds</w:t>
      </w:r>
    </w:p>
    <w:p w14:paraId="15CDF526" w14:textId="546E2D94" w:rsidR="002147DD" w:rsidRPr="002147DD" w:rsidRDefault="167B1678" w:rsidP="00DF644D">
      <w:pPr>
        <w:pStyle w:val="Heading1"/>
        <w:numPr>
          <w:ilvl w:val="0"/>
          <w:numId w:val="0"/>
        </w:numPr>
      </w:pPr>
      <w:bookmarkStart w:id="12" w:name="_Toc193095863"/>
      <w:r>
        <w:lastRenderedPageBreak/>
        <w:t xml:space="preserve">10. </w:t>
      </w:r>
      <w:r w:rsidR="002147DD">
        <w:t>Contract terms</w:t>
      </w:r>
      <w:bookmarkEnd w:id="12"/>
    </w:p>
    <w:p w14:paraId="19427BCA" w14:textId="5841F76C" w:rsidR="002147DD" w:rsidRPr="00170C6F" w:rsidRDefault="00F91F3D" w:rsidP="00033CD1">
      <w:pPr>
        <w:pStyle w:val="BodyText1"/>
        <w:spacing w:after="0" w:line="360" w:lineRule="auto"/>
        <w:jc w:val="both"/>
      </w:pPr>
      <w:r>
        <w:t xml:space="preserve">The CCS Mid-tier contract </w:t>
      </w:r>
      <w:r w:rsidR="0093038B">
        <w:t xml:space="preserve">and certain schedules, as listed on the </w:t>
      </w:r>
      <w:r w:rsidR="00F477DF">
        <w:t xml:space="preserve">draft </w:t>
      </w:r>
      <w:r w:rsidR="0093038B">
        <w:t xml:space="preserve">contract award document, </w:t>
      </w:r>
      <w:r>
        <w:t>will be utilised for this engagement</w:t>
      </w:r>
      <w:r w:rsidR="000F6CDF">
        <w:t>.</w:t>
      </w:r>
    </w:p>
    <w:p w14:paraId="12023A62" w14:textId="48C8811E" w:rsidR="002147DD" w:rsidRPr="002147DD" w:rsidRDefault="0A9DC5A4" w:rsidP="00DF644D">
      <w:pPr>
        <w:pStyle w:val="Heading1"/>
        <w:numPr>
          <w:ilvl w:val="0"/>
          <w:numId w:val="0"/>
        </w:numPr>
      </w:pPr>
      <w:bookmarkStart w:id="13" w:name="_Toc193095864"/>
      <w:r>
        <w:lastRenderedPageBreak/>
        <w:t xml:space="preserve">11. </w:t>
      </w:r>
      <w:r w:rsidR="002147DD">
        <w:t>How to respond to this opportunity</w:t>
      </w:r>
      <w:bookmarkEnd w:id="13"/>
    </w:p>
    <w:p w14:paraId="7A8687CE" w14:textId="30D20522" w:rsidR="002147DD" w:rsidRDefault="00BB1360" w:rsidP="00B003D3">
      <w:pPr>
        <w:pStyle w:val="BodyText1"/>
        <w:spacing w:after="0" w:line="360" w:lineRule="auto"/>
        <w:jc w:val="both"/>
      </w:pPr>
      <w:r>
        <w:t xml:space="preserve">Responses should be made via email to </w:t>
      </w:r>
      <w:hyperlink r:id="rId17">
        <w:r w:rsidR="00564EF6" w:rsidRPr="7C92C8FB">
          <w:rPr>
            <w:rStyle w:val="Hyperlink"/>
          </w:rPr>
          <w:t>procurement@londonciv.org.uk</w:t>
        </w:r>
      </w:hyperlink>
      <w:r w:rsidR="00564EF6">
        <w:t xml:space="preserve"> Responses in printed form will not be accepted.</w:t>
      </w:r>
    </w:p>
    <w:p w14:paraId="1614F19C" w14:textId="63103C22" w:rsidR="00DF644D" w:rsidRPr="008B2806" w:rsidRDefault="4C004805" w:rsidP="00470B13">
      <w:pPr>
        <w:pStyle w:val="Heading1"/>
        <w:numPr>
          <w:ilvl w:val="0"/>
          <w:numId w:val="0"/>
        </w:numPr>
      </w:pPr>
      <w:bookmarkStart w:id="14" w:name="_Toc193095865"/>
      <w:r>
        <w:lastRenderedPageBreak/>
        <w:t xml:space="preserve">12. </w:t>
      </w:r>
      <w:r w:rsidR="00DF644D" w:rsidRPr="008B2806">
        <w:t>Requests for clarification</w:t>
      </w:r>
      <w:bookmarkEnd w:id="14"/>
      <w:r w:rsidR="00DF644D" w:rsidRPr="008B2806">
        <w:t xml:space="preserve"> </w:t>
      </w:r>
    </w:p>
    <w:p w14:paraId="72125AAD" w14:textId="6E4D7606" w:rsidR="00960ACE" w:rsidRDefault="00DF644D" w:rsidP="003E3D85">
      <w:pPr>
        <w:pStyle w:val="BodyText1"/>
        <w:spacing w:after="0" w:line="360" w:lineRule="auto"/>
        <w:jc w:val="both"/>
      </w:pPr>
      <w:r>
        <w:t xml:space="preserve">Any requests for clarification relating to the Procurement must be submitted via </w:t>
      </w:r>
      <w:r w:rsidR="00564EF6">
        <w:t>email</w:t>
      </w:r>
      <w:r>
        <w:t xml:space="preserve">, no later than the deadline in the Procurement </w:t>
      </w:r>
      <w:r w:rsidR="006965BC">
        <w:t>T</w:t>
      </w:r>
      <w:r>
        <w:t xml:space="preserve">imetable at paragraph </w:t>
      </w:r>
      <w:r w:rsidR="003E3D85">
        <w:t>7</w:t>
      </w:r>
      <w:r>
        <w:t xml:space="preserve"> above to allow the Authority sufficient time to respond prior to the closing date for receipt of submissions. The Authority will endeavour to respond to requests for clarification submitted in accordance with these requirements as soon as possible.</w:t>
      </w:r>
    </w:p>
    <w:p w14:paraId="3C85A63E" w14:textId="10DA045B" w:rsidR="00DF644D" w:rsidRDefault="00DF644D" w:rsidP="003E3D85">
      <w:pPr>
        <w:pStyle w:val="BodyText1"/>
        <w:spacing w:after="0" w:line="360" w:lineRule="auto"/>
        <w:jc w:val="both"/>
      </w:pPr>
    </w:p>
    <w:p w14:paraId="6E4777AE" w14:textId="16E5D986" w:rsidR="00DF644D" w:rsidRDefault="00DF644D" w:rsidP="003E3D85">
      <w:pPr>
        <w:pStyle w:val="BodyText1"/>
        <w:spacing w:after="0" w:line="360" w:lineRule="auto"/>
        <w:jc w:val="both"/>
      </w:pPr>
      <w:r>
        <w:t xml:space="preserve">The Authority reserves the right not to answer any requests for clarification submitted after the deadline set out in the </w:t>
      </w:r>
      <w:r w:rsidR="006965BC">
        <w:t>Procurement Timet</w:t>
      </w:r>
      <w:r>
        <w:t>able at paragraph [1</w:t>
      </w:r>
      <w:r w:rsidR="001D5311">
        <w:t>8</w:t>
      </w:r>
      <w:r>
        <w:t xml:space="preserve">] above or submitted via any means other than </w:t>
      </w:r>
      <w:r w:rsidR="001D5311">
        <w:t>via email</w:t>
      </w:r>
      <w:r>
        <w:t>.</w:t>
      </w:r>
    </w:p>
    <w:p w14:paraId="4EC2EC0D" w14:textId="77777777" w:rsidR="00960ACE" w:rsidRDefault="00960ACE" w:rsidP="003E3D85">
      <w:pPr>
        <w:pStyle w:val="BodyText1"/>
        <w:spacing w:after="0" w:line="360" w:lineRule="auto"/>
        <w:jc w:val="both"/>
      </w:pPr>
    </w:p>
    <w:p w14:paraId="46C74246" w14:textId="4D13D88F" w:rsidR="00DF644D" w:rsidRDefault="00DF644D" w:rsidP="003E3D85">
      <w:pPr>
        <w:pStyle w:val="BodyText1"/>
        <w:spacing w:after="0" w:line="360" w:lineRule="auto"/>
        <w:jc w:val="both"/>
      </w:pPr>
      <w:r>
        <w:t xml:space="preserve">If Suppliers identify a technical issue with the </w:t>
      </w:r>
      <w:r w:rsidR="001D5311">
        <w:t>procurement email address</w:t>
      </w:r>
      <w:r>
        <w:t>, they should contact the Authority without delay via the following contact point at:</w:t>
      </w:r>
    </w:p>
    <w:p w14:paraId="65465F34" w14:textId="14683A2A" w:rsidR="00DF644D" w:rsidRDefault="001D5311" w:rsidP="003E3D85">
      <w:pPr>
        <w:pStyle w:val="BodyText1"/>
        <w:spacing w:after="0" w:line="360" w:lineRule="auto"/>
        <w:ind w:left="720"/>
        <w:jc w:val="both"/>
      </w:pPr>
      <w:r>
        <w:t>Ian Inglis</w:t>
      </w:r>
      <w:r w:rsidR="6C6C8429">
        <w:t>, Chief Technology &amp; Security Officer</w:t>
      </w:r>
    </w:p>
    <w:p w14:paraId="57BF3DAF" w14:textId="059E9604" w:rsidR="00DF644D" w:rsidRDefault="009333B9" w:rsidP="003E3D85">
      <w:pPr>
        <w:pStyle w:val="BodyText1"/>
        <w:spacing w:after="0" w:line="360" w:lineRule="auto"/>
        <w:ind w:left="720"/>
        <w:jc w:val="both"/>
      </w:pPr>
      <w:hyperlink r:id="rId18" w:history="1">
        <w:r w:rsidRPr="00CC5FAC">
          <w:rPr>
            <w:rStyle w:val="Hyperlink"/>
          </w:rPr>
          <w:t>ian.inglis@londonciv.org.uk</w:t>
        </w:r>
      </w:hyperlink>
    </w:p>
    <w:p w14:paraId="11C82E2E" w14:textId="77777777" w:rsidR="009333B9" w:rsidRDefault="009333B9" w:rsidP="003E3D85">
      <w:pPr>
        <w:pStyle w:val="BodyText1"/>
        <w:spacing w:after="0" w:line="360" w:lineRule="auto"/>
        <w:jc w:val="both"/>
      </w:pPr>
    </w:p>
    <w:p w14:paraId="0680CAB4" w14:textId="77777777" w:rsidR="005768FC" w:rsidRDefault="00DF644D" w:rsidP="003E3D85">
      <w:pPr>
        <w:pStyle w:val="BodyText1"/>
        <w:spacing w:after="0" w:line="360" w:lineRule="auto"/>
        <w:jc w:val="both"/>
      </w:pPr>
      <w:r>
        <w:t>Where the Authority considers any requests for clarification to be relevant to the proper functioning of the Procurement, it will transmit to all other Suppliers (without reference to the identity of the Supplier which submitted the clarification question) the clarification question raised and the Authority's response, with the exception of those deemed confidential as provided below.</w:t>
      </w:r>
    </w:p>
    <w:p w14:paraId="5EAE3CB6" w14:textId="0AD6A194" w:rsidR="00DF644D" w:rsidRDefault="00DF644D" w:rsidP="003E3D85">
      <w:pPr>
        <w:pStyle w:val="BodyText1"/>
        <w:spacing w:after="0" w:line="360" w:lineRule="auto"/>
        <w:jc w:val="both"/>
      </w:pPr>
    </w:p>
    <w:p w14:paraId="6521C977" w14:textId="77777777" w:rsidR="00FB3CBD" w:rsidRDefault="00DF644D" w:rsidP="003E3D85">
      <w:pPr>
        <w:pStyle w:val="BodyText1"/>
        <w:spacing w:after="0" w:line="360" w:lineRule="auto"/>
        <w:jc w:val="both"/>
      </w:pPr>
      <w:r>
        <w:t>If a Supplier considers that its request for clarification should be treated as confidential and not disclosed to other Suppliers, it must communicate this and the reason why to the Authority at the time of the submission of that clarification request. The Authority will advise the Supplier in advance of providing the clarification response if it considers that all or any part of the request for clarification cannot be treated as confidential and will provide an opportunity for the Supplier to withdraw such aspects of the request for clarification.</w:t>
      </w:r>
    </w:p>
    <w:p w14:paraId="5D5BFFA9" w14:textId="67017192" w:rsidR="00DF644D" w:rsidRDefault="00DF644D" w:rsidP="003E3D85">
      <w:pPr>
        <w:pStyle w:val="BodyText1"/>
        <w:spacing w:after="0" w:line="360" w:lineRule="auto"/>
        <w:jc w:val="both"/>
      </w:pPr>
    </w:p>
    <w:p w14:paraId="05D039E5" w14:textId="77777777" w:rsidR="003E3D85" w:rsidRDefault="00DF644D" w:rsidP="003E3D85">
      <w:pPr>
        <w:pStyle w:val="BodyText1"/>
        <w:spacing w:after="0" w:line="360" w:lineRule="auto"/>
        <w:jc w:val="both"/>
      </w:pPr>
      <w:r>
        <w:t xml:space="preserve">In such circumstances, the Supplier may either submit an amended request for the clarification to be treated as confidential, which would be considered by the Authority in the </w:t>
      </w:r>
      <w:r>
        <w:lastRenderedPageBreak/>
        <w:t>same manner as the original request or raise a new request to be treated as a non-confidential request for clarification.</w:t>
      </w:r>
    </w:p>
    <w:p w14:paraId="2D6BE5AA" w14:textId="3D6EE0D4" w:rsidR="00DF644D" w:rsidRDefault="00DF644D" w:rsidP="003E3D85">
      <w:pPr>
        <w:pStyle w:val="BodyText1"/>
        <w:spacing w:after="0" w:line="360" w:lineRule="auto"/>
        <w:jc w:val="both"/>
      </w:pPr>
    </w:p>
    <w:p w14:paraId="1F567A7C" w14:textId="77777777" w:rsidR="00DF644D" w:rsidRPr="00DF644D" w:rsidRDefault="00DF644D" w:rsidP="003E3D85">
      <w:pPr>
        <w:pStyle w:val="BodyText1"/>
        <w:spacing w:after="0" w:line="360" w:lineRule="auto"/>
        <w:jc w:val="both"/>
      </w:pPr>
      <w:r>
        <w:t>It is the responsibility of each Supplier to monitor all clarifications issued by the Authority. The Authority accepts no liability for any Supplier's failure to keep abreast of clarifications issued.</w:t>
      </w:r>
    </w:p>
    <w:p w14:paraId="53A5A4B6" w14:textId="6D318635" w:rsidR="002147DD" w:rsidRPr="002147DD" w:rsidRDefault="3D2A3240" w:rsidP="00DF644D">
      <w:pPr>
        <w:pStyle w:val="Heading1"/>
        <w:numPr>
          <w:ilvl w:val="0"/>
          <w:numId w:val="0"/>
        </w:numPr>
      </w:pPr>
      <w:bookmarkStart w:id="15" w:name="_Toc193095866"/>
      <w:r>
        <w:lastRenderedPageBreak/>
        <w:t xml:space="preserve">13. </w:t>
      </w:r>
      <w:r w:rsidR="6DDF4A5C">
        <w:t>The assessment process and award criteria</w:t>
      </w:r>
      <w:bookmarkEnd w:id="15"/>
    </w:p>
    <w:p w14:paraId="3577AF36" w14:textId="2671425B" w:rsidR="002D257E" w:rsidRPr="003E3D85" w:rsidRDefault="00016E39" w:rsidP="006932D7">
      <w:pPr>
        <w:pStyle w:val="BodyText1"/>
        <w:jc w:val="both"/>
        <w:rPr>
          <w:rFonts w:ascii="Lato Light" w:hAnsi="Lato Light"/>
          <w:sz w:val="22"/>
          <w:szCs w:val="22"/>
        </w:rPr>
      </w:pPr>
      <w:r>
        <w:t>The assessment process will involve the following stages:</w:t>
      </w:r>
    </w:p>
    <w:p w14:paraId="56A90ED8" w14:textId="0F7459B8" w:rsidR="00016E39" w:rsidRPr="003E3D85" w:rsidRDefault="00016E39" w:rsidP="006932D7">
      <w:pPr>
        <w:pStyle w:val="BodyText1"/>
        <w:numPr>
          <w:ilvl w:val="0"/>
          <w:numId w:val="12"/>
        </w:numPr>
        <w:jc w:val="both"/>
        <w:rPr>
          <w:rFonts w:ascii="Lato Light" w:hAnsi="Lato Light"/>
          <w:sz w:val="22"/>
          <w:szCs w:val="22"/>
        </w:rPr>
      </w:pPr>
      <w:r>
        <w:t>Verification that the submission is complete and compliant with the</w:t>
      </w:r>
      <w:r w:rsidR="00281D88">
        <w:t xml:space="preserve"> Authority’s instructions</w:t>
      </w:r>
      <w:r w:rsidR="00412380" w:rsidRPr="003E3D85">
        <w:t>.</w:t>
      </w:r>
    </w:p>
    <w:p w14:paraId="2BB7013E" w14:textId="60F56633" w:rsidR="00281D88" w:rsidRDefault="00F66342" w:rsidP="006932D7">
      <w:pPr>
        <w:pStyle w:val="BodyText1"/>
        <w:numPr>
          <w:ilvl w:val="0"/>
          <w:numId w:val="12"/>
        </w:numPr>
        <w:jc w:val="both"/>
        <w:rPr>
          <w:rFonts w:ascii="Lato Light" w:hAnsi="Lato Light"/>
          <w:sz w:val="22"/>
          <w:szCs w:val="22"/>
        </w:rPr>
      </w:pPr>
      <w:r>
        <w:t>Ver</w:t>
      </w:r>
      <w:r w:rsidR="004E03CF">
        <w:t xml:space="preserve">ification that suppliers have </w:t>
      </w:r>
      <w:r w:rsidR="004E03CF" w:rsidRPr="003E3D85">
        <w:t xml:space="preserve">robust processes in place to derive capital markets risk and return assumptions for the full range of public and private markets asset classes and to model and optimise these </w:t>
      </w:r>
      <w:r w:rsidR="00AF7C88" w:rsidRPr="003E3D85">
        <w:t>inputs</w:t>
      </w:r>
      <w:r w:rsidR="00412380" w:rsidRPr="003E3D85">
        <w:t>.</w:t>
      </w:r>
    </w:p>
    <w:p w14:paraId="3F9AD679" w14:textId="2C2A9E40" w:rsidR="00C514CF" w:rsidRPr="004E03CF" w:rsidRDefault="00C514CF" w:rsidP="006932D7">
      <w:pPr>
        <w:pStyle w:val="BodyText1"/>
        <w:numPr>
          <w:ilvl w:val="0"/>
          <w:numId w:val="12"/>
        </w:numPr>
        <w:jc w:val="both"/>
        <w:rPr>
          <w:rFonts w:ascii="Lato Light" w:hAnsi="Lato Light"/>
          <w:sz w:val="22"/>
          <w:szCs w:val="22"/>
        </w:rPr>
      </w:pPr>
      <w:r>
        <w:t xml:space="preserve">Verification that suppliers </w:t>
      </w:r>
      <w:r w:rsidR="0038018F">
        <w:t>can pro</w:t>
      </w:r>
      <w:r w:rsidR="00601E77">
        <w:t xml:space="preserve">vide the services </w:t>
      </w:r>
      <w:r w:rsidR="00F81D84">
        <w:t xml:space="preserve">in a way which is not inconsistent </w:t>
      </w:r>
      <w:r w:rsidR="00DC78C2">
        <w:t xml:space="preserve">with the Buyer’s </w:t>
      </w:r>
      <w:r w:rsidR="000349F1">
        <w:t>Responsible Investment and Stewar</w:t>
      </w:r>
      <w:r w:rsidR="00085040">
        <w:t>dship Policies (as amended from time to time).</w:t>
      </w:r>
    </w:p>
    <w:p w14:paraId="485BF1E9" w14:textId="6884D714" w:rsidR="004E03CF" w:rsidRPr="003E3D85" w:rsidRDefault="004E03CF" w:rsidP="006932D7">
      <w:pPr>
        <w:pStyle w:val="BodyText1"/>
        <w:numPr>
          <w:ilvl w:val="0"/>
          <w:numId w:val="12"/>
        </w:numPr>
        <w:jc w:val="both"/>
        <w:rPr>
          <w:rFonts w:ascii="Lato Light" w:hAnsi="Lato Light"/>
          <w:sz w:val="22"/>
          <w:szCs w:val="22"/>
        </w:rPr>
      </w:pPr>
      <w:r>
        <w:t>Scoring of the following award criteria:</w:t>
      </w:r>
    </w:p>
    <w:p w14:paraId="40AA9279" w14:textId="44C87209" w:rsidR="000F3181" w:rsidRDefault="0088218A" w:rsidP="006932D7">
      <w:pPr>
        <w:pStyle w:val="BodyText1"/>
        <w:numPr>
          <w:ilvl w:val="0"/>
          <w:numId w:val="11"/>
        </w:numPr>
        <w:jc w:val="both"/>
        <w:rPr>
          <w:rFonts w:ascii="Lato Light" w:hAnsi="Lato Light"/>
          <w:sz w:val="22"/>
          <w:szCs w:val="22"/>
        </w:rPr>
      </w:pPr>
      <w:r>
        <w:t xml:space="preserve">Quality of </w:t>
      </w:r>
      <w:r w:rsidR="00EE4B2D">
        <w:t xml:space="preserve">inputs used to generate </w:t>
      </w:r>
      <w:r w:rsidR="008E27FD">
        <w:t xml:space="preserve">asset class </w:t>
      </w:r>
      <w:r w:rsidR="006E0CE2">
        <w:t>assumptions</w:t>
      </w:r>
      <w:r w:rsidR="005F05FC">
        <w:t xml:space="preserve">, and </w:t>
      </w:r>
      <w:r w:rsidR="00D74A50">
        <w:t xml:space="preserve">quality of techniques used to </w:t>
      </w:r>
      <w:r w:rsidR="005F05FC">
        <w:t>model and optimise outputs under different scenarios:</w:t>
      </w:r>
      <w:r w:rsidR="00D74A50">
        <w:t xml:space="preserve"> </w:t>
      </w:r>
      <w:r w:rsidR="00002F8B">
        <w:t>3</w:t>
      </w:r>
      <w:r w:rsidR="008E27FD">
        <w:t>0</w:t>
      </w:r>
      <w:r w:rsidR="0071084F">
        <w:t>%</w:t>
      </w:r>
    </w:p>
    <w:p w14:paraId="620D26B9" w14:textId="4A4C8FD4" w:rsidR="001D5B62" w:rsidRDefault="001D5B62" w:rsidP="006932D7">
      <w:pPr>
        <w:pStyle w:val="BodyText1"/>
        <w:numPr>
          <w:ilvl w:val="0"/>
          <w:numId w:val="11"/>
        </w:numPr>
        <w:jc w:val="both"/>
        <w:rPr>
          <w:rFonts w:ascii="Lato Light" w:hAnsi="Lato Light"/>
          <w:sz w:val="22"/>
          <w:szCs w:val="22"/>
        </w:rPr>
      </w:pPr>
      <w:r w:rsidRPr="003E3D85">
        <w:t xml:space="preserve">Experience and track record of delivering </w:t>
      </w:r>
      <w:r w:rsidR="00910968" w:rsidRPr="003E3D85">
        <w:t>asset class modelling and allocation services to LGPS and other institutional investors:</w:t>
      </w:r>
      <w:r w:rsidR="0071084F" w:rsidRPr="003E3D85">
        <w:t xml:space="preserve"> 20%</w:t>
      </w:r>
    </w:p>
    <w:p w14:paraId="788500CE" w14:textId="4710837E" w:rsidR="00002F8B" w:rsidRPr="00FE471F" w:rsidRDefault="00002F8B" w:rsidP="006932D7">
      <w:pPr>
        <w:pStyle w:val="BodyText1"/>
        <w:numPr>
          <w:ilvl w:val="0"/>
          <w:numId w:val="11"/>
        </w:numPr>
        <w:jc w:val="both"/>
        <w:rPr>
          <w:rFonts w:ascii="Lato Light" w:hAnsi="Lato Light"/>
          <w:sz w:val="22"/>
          <w:szCs w:val="22"/>
        </w:rPr>
      </w:pPr>
      <w:r w:rsidRPr="003E3D85">
        <w:t>Method of delivery of services to London CIV and its Partner Funds, and capacity to scale up the service to cover the full range of London CIV clients: 25%</w:t>
      </w:r>
    </w:p>
    <w:p w14:paraId="172A05B2" w14:textId="5DB11C32" w:rsidR="008B4137" w:rsidRDefault="008B4137" w:rsidP="006932D7">
      <w:pPr>
        <w:pStyle w:val="BodyText1"/>
        <w:numPr>
          <w:ilvl w:val="0"/>
          <w:numId w:val="11"/>
        </w:numPr>
        <w:jc w:val="both"/>
        <w:rPr>
          <w:rFonts w:ascii="Lato Light" w:hAnsi="Lato Light"/>
          <w:sz w:val="22"/>
          <w:szCs w:val="22"/>
        </w:rPr>
      </w:pPr>
      <w:r w:rsidRPr="003E3D85">
        <w:t>Ability to incorporate best practice in responsible investment into the asset allocation process. Ability to integrate climate scenarios into the process:</w:t>
      </w:r>
      <w:r w:rsidR="0071084F" w:rsidRPr="003E3D85">
        <w:t xml:space="preserve"> </w:t>
      </w:r>
      <w:r w:rsidR="00002F8B" w:rsidRPr="003E3D85">
        <w:t>10</w:t>
      </w:r>
      <w:r w:rsidR="0071084F" w:rsidRPr="003E3D85">
        <w:t>%</w:t>
      </w:r>
    </w:p>
    <w:p w14:paraId="66866E39" w14:textId="4B93FB2E" w:rsidR="007339DA" w:rsidRDefault="00195CA7" w:rsidP="006932D7">
      <w:pPr>
        <w:pStyle w:val="BodyText1"/>
        <w:numPr>
          <w:ilvl w:val="0"/>
          <w:numId w:val="11"/>
        </w:numPr>
        <w:jc w:val="both"/>
        <w:rPr>
          <w:rFonts w:ascii="Lato Light" w:hAnsi="Lato Light"/>
          <w:sz w:val="22"/>
          <w:szCs w:val="22"/>
        </w:rPr>
      </w:pPr>
      <w:r w:rsidRPr="003E3D85">
        <w:t xml:space="preserve">Cost of providing the </w:t>
      </w:r>
      <w:r w:rsidR="0071084F" w:rsidRPr="003E3D85">
        <w:t xml:space="preserve">services: </w:t>
      </w:r>
      <w:r w:rsidR="002D1803" w:rsidRPr="003E3D85">
        <w:t>15</w:t>
      </w:r>
      <w:r w:rsidR="0071084F" w:rsidRPr="003E3D85">
        <w:t>%</w:t>
      </w:r>
      <w:r w:rsidR="001240EE" w:rsidRPr="003E3D85">
        <w:t>.</w:t>
      </w:r>
      <w:r w:rsidR="00C0227C" w:rsidRPr="003E3D85">
        <w:t xml:space="preserve"> </w:t>
      </w:r>
    </w:p>
    <w:p w14:paraId="16CB73C7" w14:textId="77777777" w:rsidR="00224CE8" w:rsidRDefault="00224CE8" w:rsidP="008B5F7E">
      <w:pPr>
        <w:pStyle w:val="BodyText1"/>
        <w:spacing w:after="0"/>
        <w:jc w:val="both"/>
      </w:pPr>
      <w:r>
        <w:t xml:space="preserve">London CIV reserves the right to refine specific award criteria during the Procurement. </w:t>
      </w:r>
    </w:p>
    <w:p w14:paraId="742C1558" w14:textId="77777777" w:rsidR="001E5C69" w:rsidRPr="008519EC" w:rsidRDefault="001E5C69" w:rsidP="008B5F7E">
      <w:pPr>
        <w:pStyle w:val="BodyText1"/>
        <w:spacing w:after="0"/>
        <w:jc w:val="both"/>
        <w:rPr>
          <w:rFonts w:ascii="Lato Light" w:hAnsi="Lato Light"/>
          <w:sz w:val="22"/>
          <w:szCs w:val="22"/>
        </w:rPr>
      </w:pPr>
    </w:p>
    <w:p w14:paraId="03EBE94D" w14:textId="7DC3BFE3" w:rsidR="008936A7" w:rsidRDefault="008936A7" w:rsidP="008B5F7E">
      <w:pPr>
        <w:pStyle w:val="BodyText1"/>
        <w:spacing w:after="0"/>
        <w:jc w:val="both"/>
      </w:pPr>
      <w:r w:rsidRPr="003E3D85">
        <w:t xml:space="preserve">The assessment criteria will be </w:t>
      </w:r>
      <w:r w:rsidR="008C3C24" w:rsidRPr="003E3D85">
        <w:t xml:space="preserve">scored individually and aggregated into a composite </w:t>
      </w:r>
      <w:r w:rsidR="005475C5" w:rsidRPr="003E3D85">
        <w:t>score used to rank potential suppliers.</w:t>
      </w:r>
    </w:p>
    <w:p w14:paraId="429CDD53" w14:textId="77777777" w:rsidR="001E5C69" w:rsidRDefault="001E5C69" w:rsidP="008B5F7E">
      <w:pPr>
        <w:pStyle w:val="BodyText1"/>
        <w:spacing w:after="0"/>
        <w:jc w:val="both"/>
        <w:rPr>
          <w:rFonts w:ascii="Lato Light" w:hAnsi="Lato Light"/>
          <w:sz w:val="22"/>
          <w:szCs w:val="22"/>
        </w:rPr>
      </w:pPr>
    </w:p>
    <w:p w14:paraId="72A6F839" w14:textId="59FB1647" w:rsidR="00DD22F2" w:rsidRDefault="00DD22F2" w:rsidP="008B5F7E">
      <w:pPr>
        <w:pStyle w:val="BodyText1"/>
        <w:spacing w:after="0"/>
        <w:jc w:val="both"/>
      </w:pPr>
      <w:r w:rsidRPr="003E3D85">
        <w:t xml:space="preserve">London </w:t>
      </w:r>
      <w:r w:rsidR="00F80506" w:rsidRPr="003E3D85">
        <w:t>C</w:t>
      </w:r>
      <w:r w:rsidRPr="003E3D85">
        <w:t xml:space="preserve">IV will inform </w:t>
      </w:r>
      <w:r w:rsidR="00F80506" w:rsidRPr="003E3D85">
        <w:t>Suppliers of the outcome of the assessment</w:t>
      </w:r>
      <w:r w:rsidR="00F81C86" w:rsidRPr="003E3D85">
        <w:t xml:space="preserve"> of their submissions and the composite score achieved by the </w:t>
      </w:r>
      <w:r w:rsidR="00CA5445" w:rsidRPr="003E3D85">
        <w:t>winning Supplier.</w:t>
      </w:r>
      <w:r w:rsidR="00F80506" w:rsidRPr="003E3D85">
        <w:t xml:space="preserve"> </w:t>
      </w:r>
    </w:p>
    <w:p w14:paraId="1615DB26" w14:textId="77777777" w:rsidR="001E5C69" w:rsidRDefault="001E5C69" w:rsidP="008B5F7E">
      <w:pPr>
        <w:pStyle w:val="BodyText1"/>
        <w:spacing w:after="0"/>
        <w:jc w:val="both"/>
        <w:rPr>
          <w:rFonts w:ascii="Lato Light" w:hAnsi="Lato Light"/>
          <w:sz w:val="22"/>
          <w:szCs w:val="22"/>
        </w:rPr>
      </w:pPr>
    </w:p>
    <w:p w14:paraId="3FC1CF62" w14:textId="77777777" w:rsidR="00C50F60" w:rsidRDefault="005475C5" w:rsidP="008B5F7E">
      <w:pPr>
        <w:pStyle w:val="BodyText1"/>
        <w:spacing w:after="0"/>
        <w:jc w:val="both"/>
      </w:pPr>
      <w:r w:rsidRPr="003E3D85">
        <w:t xml:space="preserve">London CIV </w:t>
      </w:r>
      <w:r w:rsidR="004B1212" w:rsidRPr="003E3D85">
        <w:t xml:space="preserve">reserves the right </w:t>
      </w:r>
      <w:r w:rsidR="00215280" w:rsidRPr="003E3D85">
        <w:t xml:space="preserve">to seek clarification from Suppliers </w:t>
      </w:r>
      <w:r w:rsidR="008E222C" w:rsidRPr="003E3D85">
        <w:t>where information submitted appears to be incomplete or erroneous or where specific elements or documents are missing.</w:t>
      </w:r>
    </w:p>
    <w:p w14:paraId="2FBFAD40" w14:textId="77777777" w:rsidR="001E5C69" w:rsidRDefault="001E5C69" w:rsidP="008B5F7E">
      <w:pPr>
        <w:pStyle w:val="BodyText1"/>
        <w:spacing w:after="0"/>
        <w:jc w:val="both"/>
        <w:rPr>
          <w:rFonts w:ascii="Lato Light" w:hAnsi="Lato Light"/>
          <w:sz w:val="22"/>
          <w:szCs w:val="22"/>
        </w:rPr>
      </w:pPr>
    </w:p>
    <w:p w14:paraId="650D9A0C" w14:textId="77777777" w:rsidR="0063289B" w:rsidRDefault="00C50F60" w:rsidP="008B5F7E">
      <w:pPr>
        <w:pStyle w:val="BodyText1"/>
        <w:spacing w:after="0"/>
        <w:jc w:val="both"/>
        <w:rPr>
          <w:rFonts w:ascii="Lato Light" w:hAnsi="Lato Light"/>
          <w:sz w:val="22"/>
          <w:szCs w:val="22"/>
        </w:rPr>
      </w:pPr>
      <w:r w:rsidRPr="003E3D85">
        <w:t>London CIV reserves the right to request that Suppliers submit, supplement</w:t>
      </w:r>
      <w:r w:rsidR="0063289B" w:rsidRPr="003E3D85">
        <w:t>, clarify or complete the information or documentation provided.</w:t>
      </w:r>
    </w:p>
    <w:p w14:paraId="43520F37" w14:textId="4426E213" w:rsidR="002147DD" w:rsidRPr="00133337" w:rsidRDefault="002147DD" w:rsidP="00DF644D">
      <w:pPr>
        <w:pStyle w:val="Heading1"/>
        <w:numPr>
          <w:ilvl w:val="0"/>
          <w:numId w:val="0"/>
        </w:numPr>
      </w:pPr>
      <w:bookmarkStart w:id="16" w:name="_Toc193095867"/>
      <w:r>
        <w:lastRenderedPageBreak/>
        <w:t>Appendix A: Procurement terms and conditions</w:t>
      </w:r>
      <w:bookmarkEnd w:id="16"/>
    </w:p>
    <w:p w14:paraId="3E1E8BCB" w14:textId="77777777" w:rsidR="00DF644D" w:rsidRPr="002D5063" w:rsidRDefault="00DF644D" w:rsidP="005963DA">
      <w:pPr>
        <w:pStyle w:val="Heading2"/>
        <w:numPr>
          <w:ilvl w:val="0"/>
          <w:numId w:val="0"/>
        </w:numPr>
      </w:pPr>
      <w:bookmarkStart w:id="17" w:name="_Toc193095868"/>
      <w:r w:rsidRPr="002D5063">
        <w:t>Procedural requirements</w:t>
      </w:r>
      <w:bookmarkEnd w:id="17"/>
    </w:p>
    <w:p w14:paraId="34E5CA48" w14:textId="77777777" w:rsidR="00DF644D" w:rsidRDefault="00DF644D" w:rsidP="00514717">
      <w:pPr>
        <w:pStyle w:val="BodyText1"/>
        <w:numPr>
          <w:ilvl w:val="0"/>
          <w:numId w:val="6"/>
        </w:numPr>
        <w:ind w:left="357" w:hanging="357"/>
        <w:jc w:val="both"/>
      </w:pPr>
      <w:r>
        <w:t>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Authority’s sole discretion.</w:t>
      </w:r>
    </w:p>
    <w:p w14:paraId="6E8DF655" w14:textId="77777777" w:rsidR="00DF644D" w:rsidRDefault="00DF644D" w:rsidP="00514717">
      <w:pPr>
        <w:pStyle w:val="Heading2"/>
        <w:numPr>
          <w:ilvl w:val="0"/>
          <w:numId w:val="0"/>
        </w:numPr>
        <w:jc w:val="both"/>
      </w:pPr>
      <w:bookmarkStart w:id="18" w:name="_Toc193095869"/>
      <w:r>
        <w:t>Central Digital Platform</w:t>
      </w:r>
      <w:bookmarkEnd w:id="18"/>
    </w:p>
    <w:p w14:paraId="57301456" w14:textId="77777777" w:rsidR="00DF644D" w:rsidRDefault="00DF644D" w:rsidP="00514717">
      <w:pPr>
        <w:pStyle w:val="BodyText1"/>
        <w:numPr>
          <w:ilvl w:val="0"/>
          <w:numId w:val="6"/>
        </w:numPr>
        <w:ind w:left="357" w:hanging="357"/>
        <w:jc w:val="both"/>
      </w:pPr>
      <w:r>
        <w:t xml:space="preserve">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the Authority immediately if it is unable to register on the Central Digital Platform and/or provide accurate and up-to-date information via the Central Digital Platform. </w:t>
      </w:r>
    </w:p>
    <w:p w14:paraId="6A891203" w14:textId="77777777" w:rsidR="00DF644D" w:rsidRDefault="00DF644D" w:rsidP="00514717">
      <w:pPr>
        <w:pStyle w:val="Heading3"/>
        <w:jc w:val="both"/>
      </w:pPr>
      <w:r>
        <w:t>Transparency</w:t>
      </w:r>
    </w:p>
    <w:p w14:paraId="2784F713" w14:textId="77777777" w:rsidR="00DF644D" w:rsidRDefault="00DF644D" w:rsidP="00514717">
      <w:pPr>
        <w:pStyle w:val="BodyText1"/>
        <w:numPr>
          <w:ilvl w:val="0"/>
          <w:numId w:val="6"/>
        </w:numPr>
        <w:ind w:left="357" w:hanging="357"/>
        <w:jc w:val="both"/>
      </w:pPr>
      <w:r>
        <w:t xml:space="preserve">Suppliers should note that, in accordance with general transparency obligations and procurement law obligations under the Act, the Authority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Authority taking steps without consultation with Suppliers. Where required under the Act, a copy of the contract will be published (subject to making any reasonable and proportionate redactions permitted under the Act). </w:t>
      </w:r>
    </w:p>
    <w:p w14:paraId="330762A7" w14:textId="04B28841" w:rsidR="00DF644D" w:rsidRDefault="006965BC" w:rsidP="00514717">
      <w:pPr>
        <w:pStyle w:val="BodyText1"/>
        <w:numPr>
          <w:ilvl w:val="0"/>
          <w:numId w:val="6"/>
        </w:numPr>
        <w:ind w:left="357" w:hanging="357"/>
        <w:jc w:val="both"/>
      </w:pPr>
      <w:r>
        <w:t>[</w:t>
      </w:r>
      <w:r w:rsidR="00DF644D">
        <w:t>All central government departments and their executive agencies and non-departmental public bodies are subject to controls and reporting within government. In particular, they report to various government bodies including but not limited to the Cabinet Office and HM Treasury for all expenditure. The Authority reserves its absolute right to share within government any of the documentation/information submitted by Suppliers during this Procurement (including any information that a Supplier considers to be confidential and/or commercially sensitive).</w:t>
      </w:r>
      <w:r>
        <w:t>]</w:t>
      </w:r>
    </w:p>
    <w:p w14:paraId="3D6076D6" w14:textId="77777777" w:rsidR="00DF644D" w:rsidRDefault="00DF644D" w:rsidP="00514717">
      <w:pPr>
        <w:pStyle w:val="BodyText1"/>
        <w:numPr>
          <w:ilvl w:val="0"/>
          <w:numId w:val="6"/>
        </w:numPr>
        <w:ind w:left="357" w:hanging="357"/>
        <w:jc w:val="both"/>
      </w:pPr>
      <w:r>
        <w:t>Where required, the Authority will disclose on a confidential basis any information it receives from Suppliers during the Procurement to any third party engaged by the Authority for the specific purpose of assessing or assisting the Authority in assessing the Supplier’s submission. In providing such information the Supplier consents to such disclosure.</w:t>
      </w:r>
    </w:p>
    <w:p w14:paraId="38BBC53C" w14:textId="77777777" w:rsidR="00DF644D" w:rsidRDefault="00DF644D" w:rsidP="002039BF">
      <w:pPr>
        <w:pStyle w:val="Heading2"/>
        <w:numPr>
          <w:ilvl w:val="0"/>
          <w:numId w:val="0"/>
        </w:numPr>
        <w:jc w:val="both"/>
      </w:pPr>
      <w:bookmarkStart w:id="19" w:name="_Toc193095870"/>
      <w:r>
        <w:lastRenderedPageBreak/>
        <w:t>Modifying the Procurement</w:t>
      </w:r>
      <w:bookmarkEnd w:id="19"/>
    </w:p>
    <w:p w14:paraId="168A724E" w14:textId="77777777" w:rsidR="00DF644D" w:rsidRDefault="00DF644D" w:rsidP="002039BF">
      <w:pPr>
        <w:pStyle w:val="BodyText1"/>
        <w:numPr>
          <w:ilvl w:val="0"/>
          <w:numId w:val="6"/>
        </w:numPr>
        <w:ind w:left="357" w:hanging="357"/>
        <w:jc w:val="both"/>
      </w:pPr>
      <w:r>
        <w:t>Neither the Tender Notice, this document nor any information given as part of the Procurement shall be regarded as a commitment or representation on the part of the Authority (or any other person) to enter into a contractual agreement.</w:t>
      </w:r>
    </w:p>
    <w:p w14:paraId="584FD634" w14:textId="77777777" w:rsidR="00DF644D" w:rsidRDefault="00DF644D" w:rsidP="002039BF">
      <w:pPr>
        <w:pStyle w:val="BodyText1"/>
        <w:numPr>
          <w:ilvl w:val="0"/>
          <w:numId w:val="6"/>
        </w:numPr>
        <w:ind w:left="357" w:hanging="357"/>
        <w:jc w:val="both"/>
      </w:pPr>
      <w:r>
        <w:t>The Authority reserves the right to cancel the Procurement at any point and/or to choose not to award any contract [or lot] as a result of this Procurement. [Any decision by the Authority not to award a lot does not prevent the Authority from awarding the remaining lots].</w:t>
      </w:r>
    </w:p>
    <w:p w14:paraId="09D967C1" w14:textId="77777777" w:rsidR="00DF644D" w:rsidRDefault="00DF644D" w:rsidP="002039BF">
      <w:pPr>
        <w:pStyle w:val="BodyText1"/>
        <w:numPr>
          <w:ilvl w:val="0"/>
          <w:numId w:val="6"/>
        </w:numPr>
        <w:ind w:left="357" w:hanging="357"/>
        <w:jc w:val="both"/>
      </w:pPr>
      <w:r>
        <w:t>Suppliers will remain responsible for all costs and expenses incurred by them, their staff, and their advisers or by any third party acting under their instructions in connection with this Procurement. For the avoidance of doubt, the Authority is not liable for any costs or expenditure resulting from any cancellation or amendment of this Procurement.</w:t>
      </w:r>
    </w:p>
    <w:p w14:paraId="746E08F0" w14:textId="77777777" w:rsidR="00DF644D" w:rsidRDefault="00DF644D" w:rsidP="002039BF">
      <w:pPr>
        <w:pStyle w:val="BodyText1"/>
        <w:numPr>
          <w:ilvl w:val="0"/>
          <w:numId w:val="6"/>
        </w:numPr>
        <w:ind w:left="357" w:hanging="357"/>
        <w:jc w:val="both"/>
      </w:pPr>
      <w:r>
        <w:t>The Authority reserves the right at any time:</w:t>
      </w:r>
    </w:p>
    <w:p w14:paraId="3C59D75F" w14:textId="76954C13" w:rsidR="00DF644D" w:rsidRDefault="00DF644D" w:rsidP="002039BF">
      <w:pPr>
        <w:pStyle w:val="BodyText1"/>
        <w:ind w:left="714" w:hanging="357"/>
        <w:jc w:val="both"/>
      </w:pPr>
      <w:r>
        <w:t>a.</w:t>
      </w:r>
      <w:r>
        <w:tab/>
        <w:t xml:space="preserve">to issue amendments, modifications or additional information to any documentation which forms part of this Procurement, including the Procurement terms and conditions contained in </w:t>
      </w:r>
      <w:r w:rsidR="00AB3299">
        <w:t xml:space="preserve">this </w:t>
      </w:r>
      <w:r>
        <w:t>Appendix A</w:t>
      </w:r>
    </w:p>
    <w:p w14:paraId="5DA83ED6" w14:textId="77777777" w:rsidR="00DF644D" w:rsidRDefault="00DF644D" w:rsidP="002039BF">
      <w:pPr>
        <w:pStyle w:val="BodyText1"/>
        <w:ind w:left="714" w:hanging="357"/>
        <w:jc w:val="both"/>
      </w:pPr>
      <w:r>
        <w:t>b.</w:t>
      </w:r>
      <w:r>
        <w:tab/>
        <w:t>to require a Supplier to clarify their proposal(s) and/or tender submission in writing and/or provide additional information – failure by a Supplier to respond adequately may result in their tender submission being rejected</w:t>
      </w:r>
    </w:p>
    <w:p w14:paraId="1A7F8417" w14:textId="77777777" w:rsidR="00DF644D" w:rsidRDefault="00DF644D" w:rsidP="002039BF">
      <w:pPr>
        <w:pStyle w:val="BodyText1"/>
        <w:ind w:left="714" w:hanging="357"/>
        <w:jc w:val="both"/>
      </w:pPr>
      <w:r>
        <w:t>c.</w:t>
      </w:r>
      <w:r>
        <w:tab/>
        <w:t xml:space="preserve">to alter the Procurement Timetable for this Procurement [including the right to award different lots at different times] </w:t>
      </w:r>
    </w:p>
    <w:p w14:paraId="28FB32DC" w14:textId="77777777" w:rsidR="00DF644D" w:rsidRDefault="00DF644D" w:rsidP="002039BF">
      <w:pPr>
        <w:pStyle w:val="BodyText1"/>
        <w:ind w:left="714" w:hanging="357"/>
        <w:jc w:val="both"/>
      </w:pPr>
      <w:r>
        <w:t>d.</w:t>
      </w:r>
      <w:r>
        <w:tab/>
        <w:t>to rewind and re-run any part of the Procurement on the same or alternative basis</w:t>
      </w:r>
    </w:p>
    <w:p w14:paraId="47DAE6DB" w14:textId="77777777" w:rsidR="00DF644D" w:rsidRDefault="00DF644D" w:rsidP="002039BF">
      <w:pPr>
        <w:pStyle w:val="BodyText1"/>
        <w:ind w:left="714" w:hanging="357"/>
        <w:jc w:val="both"/>
      </w:pPr>
      <w:r>
        <w:t>e.</w:t>
      </w:r>
      <w:r>
        <w:tab/>
        <w:t>to amend the Procurement as described herein, including the number of stages and the number of Suppliers to be selected at any stage</w:t>
      </w:r>
    </w:p>
    <w:p w14:paraId="33D73D98" w14:textId="77777777" w:rsidR="00DF644D" w:rsidRDefault="00DF644D" w:rsidP="002039BF">
      <w:pPr>
        <w:pStyle w:val="Heading2"/>
        <w:numPr>
          <w:ilvl w:val="0"/>
          <w:numId w:val="0"/>
        </w:numPr>
        <w:jc w:val="both"/>
      </w:pPr>
      <w:bookmarkStart w:id="20" w:name="_Toc193095871"/>
      <w:r>
        <w:t>Option to direct award</w:t>
      </w:r>
      <w:bookmarkEnd w:id="20"/>
    </w:p>
    <w:p w14:paraId="6362C87C" w14:textId="471AE1B0" w:rsidR="002D5063" w:rsidRPr="002D5063" w:rsidRDefault="00A71D93" w:rsidP="002039BF">
      <w:pPr>
        <w:pStyle w:val="BodyText1"/>
        <w:numPr>
          <w:ilvl w:val="0"/>
          <w:numId w:val="6"/>
        </w:numPr>
        <w:ind w:left="357" w:hanging="357"/>
        <w:jc w:val="both"/>
      </w:pPr>
      <w:r>
        <w:t xml:space="preserve"> The Authority does not expect to issue a direct award for this procurement</w:t>
      </w:r>
    </w:p>
    <w:p w14:paraId="5FB215D6" w14:textId="77777777" w:rsidR="00DF644D" w:rsidRDefault="00DF644D" w:rsidP="002039BF">
      <w:pPr>
        <w:pStyle w:val="Heading2"/>
        <w:numPr>
          <w:ilvl w:val="0"/>
          <w:numId w:val="0"/>
        </w:numPr>
        <w:jc w:val="both"/>
      </w:pPr>
      <w:bookmarkStart w:id="21" w:name="_Toc193095872"/>
      <w:r>
        <w:t>Confidentiality and publicity</w:t>
      </w:r>
      <w:bookmarkEnd w:id="21"/>
    </w:p>
    <w:p w14:paraId="4DFC95F2" w14:textId="77777777" w:rsidR="00DF644D" w:rsidRDefault="00DF644D" w:rsidP="002039BF">
      <w:pPr>
        <w:pStyle w:val="BodyText1"/>
        <w:numPr>
          <w:ilvl w:val="0"/>
          <w:numId w:val="6"/>
        </w:numPr>
        <w:ind w:left="357" w:hanging="357"/>
        <w:jc w:val="both"/>
      </w:pPr>
      <w:r>
        <w:t>Save to the extent made publicly available by the Authority,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Authority, provided that such person has given an undertaking prior to the receipt of the relevant information (and for the benefit of the Authority) to keep such information confidential.</w:t>
      </w:r>
    </w:p>
    <w:p w14:paraId="6E1151A2" w14:textId="77777777" w:rsidR="00DF644D" w:rsidRDefault="00DF644D" w:rsidP="002039BF">
      <w:pPr>
        <w:pStyle w:val="BodyText1"/>
        <w:numPr>
          <w:ilvl w:val="0"/>
          <w:numId w:val="6"/>
        </w:numPr>
        <w:ind w:left="357" w:hanging="357"/>
        <w:jc w:val="both"/>
      </w:pPr>
      <w:r>
        <w:t>Suppliers must not take part in any publicity activities with any part of the media about this Procurement without obtaining the express prior written agreement of the Authority.</w:t>
      </w:r>
      <w:r w:rsidR="003F6CC0">
        <w:t xml:space="preserve"> </w:t>
      </w:r>
      <w:r>
        <w:lastRenderedPageBreak/>
        <w:t>When requesting prior written agreement, Suppliers are required to detail the proposed media coverage including format and content of any publicity.</w:t>
      </w:r>
    </w:p>
    <w:p w14:paraId="2975A332" w14:textId="77777777" w:rsidR="00DF644D" w:rsidRDefault="00DF644D" w:rsidP="002039BF">
      <w:pPr>
        <w:pStyle w:val="Heading3"/>
        <w:jc w:val="both"/>
      </w:pPr>
      <w:r>
        <w:t>Non-disclosure agreement</w:t>
      </w:r>
    </w:p>
    <w:p w14:paraId="21028BDC" w14:textId="127B1F07" w:rsidR="00DF644D" w:rsidRDefault="00DF644D" w:rsidP="002039BF">
      <w:pPr>
        <w:pStyle w:val="BodyText1"/>
        <w:numPr>
          <w:ilvl w:val="0"/>
          <w:numId w:val="6"/>
        </w:numPr>
        <w:ind w:left="357" w:hanging="357"/>
        <w:jc w:val="both"/>
      </w:pPr>
      <w:r>
        <w:t xml:space="preserve">Suppliers shortlisted to participate in the [initial tender stage] of this Procurement </w:t>
      </w:r>
      <w:r w:rsidR="000F375B">
        <w:t xml:space="preserve">may </w:t>
      </w:r>
      <w:r>
        <w:t xml:space="preserve">be required to sign and return the non-disclosure agreement in accordance with the instructions provided therein. </w:t>
      </w:r>
      <w:r w:rsidR="00D2673A">
        <w:t xml:space="preserve">If required, a </w:t>
      </w:r>
      <w:r>
        <w:t xml:space="preserve">copy of the non-disclosure agreement </w:t>
      </w:r>
      <w:r w:rsidR="005B6F39">
        <w:t>w</w:t>
      </w:r>
      <w:r w:rsidR="00A137E3">
        <w:t xml:space="preserve">ill be provided alongside the </w:t>
      </w:r>
      <w:r w:rsidR="006F4334">
        <w:t>Invitation to Tender</w:t>
      </w:r>
      <w:r>
        <w:t>. Any Supplier that fails to comply with this requirement may be disqualified from the Procurement at the sole discretion of the Authority.</w:t>
      </w:r>
    </w:p>
    <w:p w14:paraId="79BC3077" w14:textId="77777777" w:rsidR="00DF644D" w:rsidRDefault="00DF644D" w:rsidP="002039BF">
      <w:pPr>
        <w:pStyle w:val="Heading3"/>
        <w:jc w:val="both"/>
      </w:pPr>
      <w:r>
        <w:t xml:space="preserve">Freedom of information and environmental information </w:t>
      </w:r>
    </w:p>
    <w:p w14:paraId="439C3240" w14:textId="77777777" w:rsidR="00DF644D" w:rsidRDefault="00DF644D" w:rsidP="002039BF">
      <w:pPr>
        <w:pStyle w:val="BodyText1"/>
        <w:numPr>
          <w:ilvl w:val="0"/>
          <w:numId w:val="6"/>
        </w:numPr>
        <w:ind w:left="357" w:hanging="357"/>
        <w:jc w:val="both"/>
      </w:pPr>
      <w:r>
        <w:t xml:space="preserve">The Authority is subject to the Freedom of Information Act 2000 (FOIA) and the Environmental Information Regulations 2004 (EIR). All information submitted to the Authority may be disclosed in response to a request made pursuant to the FOIA or the EIR. </w:t>
      </w:r>
    </w:p>
    <w:p w14:paraId="5A40A62D" w14:textId="77777777" w:rsidR="00DF644D" w:rsidRDefault="00DF644D" w:rsidP="002039BF">
      <w:pPr>
        <w:pStyle w:val="BodyText1"/>
        <w:numPr>
          <w:ilvl w:val="0"/>
          <w:numId w:val="6"/>
        </w:numPr>
        <w:ind w:left="357" w:hanging="357"/>
        <w:jc w:val="both"/>
      </w:pPr>
      <w:r>
        <w:t>In respect of any information submitted by a Supplier that it considers to be commercially sensitive, the Supplier should:</w:t>
      </w:r>
    </w:p>
    <w:p w14:paraId="7D33FFE2" w14:textId="77777777" w:rsidR="00DF644D" w:rsidRDefault="00DF644D" w:rsidP="002039BF">
      <w:pPr>
        <w:pStyle w:val="BodyText1"/>
        <w:ind w:left="714" w:hanging="357"/>
        <w:jc w:val="both"/>
      </w:pPr>
      <w:r>
        <w:t>a.</w:t>
      </w:r>
      <w:r>
        <w:tab/>
        <w:t>clearly identify which information is considered commercially sensitive and complete the table contained within Appendix H</w:t>
      </w:r>
    </w:p>
    <w:p w14:paraId="4EEC84C0" w14:textId="77777777" w:rsidR="00DF644D" w:rsidRDefault="00DF644D" w:rsidP="00587ABF">
      <w:pPr>
        <w:pStyle w:val="BodyText1"/>
        <w:ind w:left="714" w:hanging="357"/>
        <w:jc w:val="both"/>
      </w:pPr>
      <w:r>
        <w:t>b.</w:t>
      </w:r>
      <w:r>
        <w:tab/>
      </w:r>
      <w:proofErr w:type="gramStart"/>
      <w:r>
        <w:t>explain</w:t>
      </w:r>
      <w:proofErr w:type="gramEnd"/>
      <w:r>
        <w:t xml:space="preserve"> the potential implications of disclosure of such information </w:t>
      </w:r>
    </w:p>
    <w:p w14:paraId="62AD9922" w14:textId="77777777" w:rsidR="00DF644D" w:rsidRDefault="00DF644D" w:rsidP="00587ABF">
      <w:pPr>
        <w:pStyle w:val="BodyText1"/>
        <w:ind w:left="714" w:hanging="357"/>
        <w:jc w:val="both"/>
      </w:pPr>
      <w:r>
        <w:t>c.</w:t>
      </w:r>
      <w:r>
        <w:tab/>
      </w:r>
      <w:proofErr w:type="gramStart"/>
      <w:r>
        <w:t>provide</w:t>
      </w:r>
      <w:proofErr w:type="gramEnd"/>
      <w:r>
        <w:t xml:space="preserve"> an estimate of the period of time for which the Supplier considers that such information will remain commercially sensitive</w:t>
      </w:r>
    </w:p>
    <w:p w14:paraId="38D88FF5" w14:textId="77777777" w:rsidR="00DF644D" w:rsidRDefault="00DF644D" w:rsidP="00587ABF">
      <w:pPr>
        <w:pStyle w:val="BodyText1"/>
        <w:numPr>
          <w:ilvl w:val="0"/>
          <w:numId w:val="6"/>
        </w:numPr>
        <w:ind w:left="357" w:hanging="357"/>
        <w:jc w:val="both"/>
      </w:pPr>
      <w:r>
        <w:t>The Authority will endeavour to:</w:t>
      </w:r>
    </w:p>
    <w:p w14:paraId="67178557" w14:textId="77777777" w:rsidR="00DF644D" w:rsidRDefault="00DF644D" w:rsidP="00587ABF">
      <w:pPr>
        <w:pStyle w:val="BodyText1"/>
        <w:ind w:left="714" w:hanging="357"/>
        <w:jc w:val="both"/>
      </w:pPr>
      <w:r>
        <w:t>a.</w:t>
      </w:r>
      <w:r>
        <w:tab/>
      </w:r>
      <w:proofErr w:type="gramStart"/>
      <w:r>
        <w:t>hold</w:t>
      </w:r>
      <w:proofErr w:type="gramEnd"/>
      <w:r>
        <w:t xml:space="preserve"> confidential all information submitted by a Supplier that it identifies as being commercially sensitive</w:t>
      </w:r>
    </w:p>
    <w:p w14:paraId="0C63448F" w14:textId="77777777" w:rsidR="00DF644D" w:rsidRDefault="00DF644D" w:rsidP="00587ABF">
      <w:pPr>
        <w:pStyle w:val="BodyText1"/>
        <w:ind w:left="714" w:hanging="357"/>
        <w:jc w:val="both"/>
      </w:pPr>
      <w:r>
        <w:t>b.</w:t>
      </w:r>
      <w:r>
        <w:tab/>
      </w:r>
      <w:proofErr w:type="gramStart"/>
      <w:r>
        <w:t>consult</w:t>
      </w:r>
      <w:proofErr w:type="gramEnd"/>
      <w:r>
        <w:t xml:space="preserve"> with a Supplier about commercially sensitive information before making a decision on any FOIA requests and EIR requests received </w:t>
      </w:r>
    </w:p>
    <w:p w14:paraId="5749CF48" w14:textId="77777777" w:rsidR="00DF644D" w:rsidRDefault="00DF644D" w:rsidP="00587ABF">
      <w:pPr>
        <w:pStyle w:val="BodyText1"/>
        <w:numPr>
          <w:ilvl w:val="0"/>
          <w:numId w:val="6"/>
        </w:numPr>
        <w:ind w:left="357" w:hanging="357"/>
        <w:jc w:val="both"/>
      </w:pPr>
      <w:r>
        <w:t>Suppliers should note, however, that the final decision on any FOIA request and EIR request rests with the Authority, subject to applicable law. Even where information is identified as commercially sensitive, unless an exemption/exception provided for under the FOIA/EIR is applicable, the Authority will be obliged to disclose that information in response to a request. Accordingly, the Authority cannot guarantee that any information marked ‘commercially sensitive’ will not be disclosed.</w:t>
      </w:r>
    </w:p>
    <w:p w14:paraId="45A1D2E0" w14:textId="77777777" w:rsidR="00DF644D" w:rsidRDefault="00DF644D" w:rsidP="00587ABF">
      <w:pPr>
        <w:pStyle w:val="Heading2"/>
        <w:numPr>
          <w:ilvl w:val="0"/>
          <w:numId w:val="0"/>
        </w:numPr>
        <w:jc w:val="both"/>
      </w:pPr>
      <w:bookmarkStart w:id="22" w:name="_Toc193095873"/>
      <w:r>
        <w:t>Requirements on sub-contractors and consortium</w:t>
      </w:r>
      <w:bookmarkEnd w:id="22"/>
    </w:p>
    <w:p w14:paraId="6C23AD6B" w14:textId="77777777" w:rsidR="00DF644D" w:rsidRDefault="00DF644D" w:rsidP="00587ABF">
      <w:pPr>
        <w:pStyle w:val="BodyText1"/>
        <w:numPr>
          <w:ilvl w:val="0"/>
          <w:numId w:val="6"/>
        </w:numPr>
        <w:ind w:left="357" w:hanging="357"/>
        <w:jc w:val="both"/>
      </w:pPr>
      <w:r>
        <w:t>If requested to do so by the Authority, a Supplier will be required to enter into a legal arrangement with other members of a consortium or with any parties which are relied on in order to satisfy the conditions of participation relating to this Procurement (in accordance with section 72 of the Act). Acceptance of this request shall be considered a mandatory requirement and failure to accept the same may result in the Supplier’s exclusion from the Procurement.</w:t>
      </w:r>
    </w:p>
    <w:p w14:paraId="2FC0DE1A" w14:textId="77777777" w:rsidR="00DF644D" w:rsidRDefault="00DF644D" w:rsidP="00587ABF">
      <w:pPr>
        <w:pStyle w:val="Heading2"/>
        <w:numPr>
          <w:ilvl w:val="0"/>
          <w:numId w:val="0"/>
        </w:numPr>
        <w:jc w:val="both"/>
      </w:pPr>
      <w:bookmarkStart w:id="23" w:name="_Toc193095874"/>
      <w:r>
        <w:lastRenderedPageBreak/>
        <w:t>Parent company guarantee or other securities</w:t>
      </w:r>
      <w:bookmarkEnd w:id="23"/>
    </w:p>
    <w:p w14:paraId="15156B6E" w14:textId="2C036127" w:rsidR="00DF644D" w:rsidRDefault="00DF644D" w:rsidP="00587ABF">
      <w:pPr>
        <w:pStyle w:val="BodyText1"/>
        <w:numPr>
          <w:ilvl w:val="0"/>
          <w:numId w:val="6"/>
        </w:numPr>
        <w:ind w:left="357" w:hanging="357"/>
        <w:jc w:val="both"/>
      </w:pPr>
      <w:r>
        <w:t>The Authority reserves the right to require a parent company guarantee or alternative equivalent form of security should the Supplier be successful in this Procurement.</w:t>
      </w:r>
    </w:p>
    <w:p w14:paraId="71C72895" w14:textId="77777777" w:rsidR="00DF644D" w:rsidRDefault="00DF644D" w:rsidP="00587ABF">
      <w:pPr>
        <w:pStyle w:val="BodyText1"/>
        <w:numPr>
          <w:ilvl w:val="0"/>
          <w:numId w:val="6"/>
        </w:numPr>
        <w:ind w:left="357" w:hanging="357"/>
        <w:jc w:val="both"/>
      </w:pPr>
      <w:r>
        <w:t>Where the Supplier’s parent company is incorporated outside the United Kingdom, the Authority will require a legal opinion from an independent firm of lawyers practising in that jurisdiction (at the Supplier’s own cost and expense) as to the capacity/authority of the parent company to enter into the parent company guarantee and the enforceability of the terms of the parent company guarantee in the relevant overseas jurisdiction.</w:t>
      </w:r>
    </w:p>
    <w:p w14:paraId="006CE33B" w14:textId="77777777" w:rsidR="00DF644D" w:rsidRDefault="00DF644D" w:rsidP="00587ABF">
      <w:pPr>
        <w:pStyle w:val="BodyText1"/>
        <w:numPr>
          <w:ilvl w:val="0"/>
          <w:numId w:val="6"/>
        </w:numPr>
        <w:ind w:left="357" w:hanging="357"/>
        <w:jc w:val="both"/>
      </w:pPr>
      <w:r>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6C55EEBA" w14:textId="77777777" w:rsidR="00DF644D" w:rsidRDefault="00DF644D" w:rsidP="00587ABF">
      <w:pPr>
        <w:pStyle w:val="Heading2"/>
        <w:numPr>
          <w:ilvl w:val="0"/>
          <w:numId w:val="0"/>
        </w:numPr>
        <w:jc w:val="both"/>
      </w:pPr>
      <w:bookmarkStart w:id="24" w:name="_Toc193095875"/>
      <w:r>
        <w:t>Non-collusion, non-canvassing</w:t>
      </w:r>
      <w:bookmarkEnd w:id="24"/>
    </w:p>
    <w:p w14:paraId="37B43A6D" w14:textId="77777777" w:rsidR="00DF644D" w:rsidRDefault="00DF644D" w:rsidP="00587ABF">
      <w:pPr>
        <w:pStyle w:val="BodyText1"/>
        <w:numPr>
          <w:ilvl w:val="0"/>
          <w:numId w:val="6"/>
        </w:numPr>
        <w:ind w:left="357" w:hanging="357"/>
        <w:jc w:val="both"/>
      </w:pPr>
      <w:r>
        <w:t>Any attempt by a Supplier or their advisers to influence the Procurement in any way may result in the exclusion of the Supplier, without prejudice to any other civil or legal remedies available to the Authority and without prejudice to any criminal liability that such conduct by a Supplier may attract.</w:t>
      </w:r>
    </w:p>
    <w:p w14:paraId="18323959" w14:textId="77777777" w:rsidR="00DF644D" w:rsidRDefault="00DF644D" w:rsidP="00587ABF">
      <w:pPr>
        <w:pStyle w:val="BodyText1"/>
        <w:numPr>
          <w:ilvl w:val="0"/>
          <w:numId w:val="6"/>
        </w:numPr>
        <w:ind w:left="357" w:hanging="357"/>
        <w:jc w:val="both"/>
      </w:pPr>
      <w:r>
        <w:t>Specifically, Suppliers must not directly or indirectly at any time:</w:t>
      </w:r>
    </w:p>
    <w:p w14:paraId="59CEC553" w14:textId="77777777" w:rsidR="00DF644D" w:rsidRDefault="00DF644D" w:rsidP="00587ABF">
      <w:pPr>
        <w:pStyle w:val="BodyText1"/>
        <w:ind w:left="714" w:hanging="357"/>
        <w:jc w:val="both"/>
      </w:pPr>
      <w:r>
        <w:t>a.</w:t>
      </w:r>
      <w:r>
        <w:tab/>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6C74F19E" w14:textId="77777777" w:rsidR="00DF644D" w:rsidRDefault="00DF644D" w:rsidP="00587ABF">
      <w:pPr>
        <w:pStyle w:val="BodyText1"/>
        <w:ind w:left="714" w:hanging="357"/>
        <w:jc w:val="both"/>
      </w:pPr>
      <w:r>
        <w:t>b.</w:t>
      </w:r>
      <w:r>
        <w:tab/>
      </w:r>
      <w:proofErr w:type="gramStart"/>
      <w:r>
        <w:t>enter</w:t>
      </w:r>
      <w:proofErr w:type="gramEnd"/>
      <w:r>
        <w:t xml:space="preserve"> into any agreement or arrangement with any other person as to the form or content of any other submission or offer to pay any sum of money or valuable consideration to any person to effect changes to the form or content of any other submission</w:t>
      </w:r>
    </w:p>
    <w:p w14:paraId="5D662CE3" w14:textId="77777777" w:rsidR="00DF644D" w:rsidRDefault="00DF644D" w:rsidP="00587ABF">
      <w:pPr>
        <w:pStyle w:val="BodyText1"/>
        <w:ind w:left="714" w:hanging="357"/>
        <w:jc w:val="both"/>
      </w:pPr>
      <w:r>
        <w:t>c.</w:t>
      </w:r>
      <w:r>
        <w:tab/>
      </w:r>
      <w:proofErr w:type="gramStart"/>
      <w:r>
        <w:t>enter</w:t>
      </w:r>
      <w:proofErr w:type="gramEnd"/>
      <w:r>
        <w:t xml:space="preserve"> into any agreement or arrangement with any other person that has the effect of prohibiting or excluding that person from submitting a response in this Procurement</w:t>
      </w:r>
    </w:p>
    <w:p w14:paraId="33D4EF49" w14:textId="77777777" w:rsidR="00DF644D" w:rsidRDefault="00DF644D" w:rsidP="00587ABF">
      <w:pPr>
        <w:pStyle w:val="BodyText1"/>
        <w:ind w:left="714" w:hanging="357"/>
        <w:jc w:val="both"/>
      </w:pPr>
      <w:r>
        <w:t>d.</w:t>
      </w:r>
      <w:r>
        <w:tab/>
      </w:r>
      <w:proofErr w:type="gramStart"/>
      <w:r>
        <w:t>canvass</w:t>
      </w:r>
      <w:proofErr w:type="gramEnd"/>
      <w:r>
        <w:t xml:space="preserve"> any employees, members or agents of the Authority in relation to this Procurement</w:t>
      </w:r>
    </w:p>
    <w:p w14:paraId="0AEC8FCD" w14:textId="77777777" w:rsidR="00DF644D" w:rsidRDefault="00DF644D" w:rsidP="00587ABF">
      <w:pPr>
        <w:pStyle w:val="BodyText1"/>
        <w:ind w:left="714" w:hanging="357"/>
        <w:jc w:val="both"/>
      </w:pPr>
      <w:r>
        <w:t>e.</w:t>
      </w:r>
      <w:r>
        <w:tab/>
      </w:r>
      <w:proofErr w:type="gramStart"/>
      <w:r>
        <w:t>attempt</w:t>
      </w:r>
      <w:proofErr w:type="gramEnd"/>
      <w:r>
        <w:t xml:space="preserve"> to obtain information from any of the employees, members or agents of the Authority or their advisors concerning another Supplier or submission</w:t>
      </w:r>
    </w:p>
    <w:p w14:paraId="30555B81" w14:textId="77777777" w:rsidR="00DF644D" w:rsidRDefault="00DF644D" w:rsidP="00587ABF">
      <w:pPr>
        <w:pStyle w:val="BodyText1"/>
        <w:ind w:left="714" w:hanging="357"/>
        <w:jc w:val="both"/>
      </w:pPr>
      <w:r>
        <w:t>f.</w:t>
      </w:r>
      <w:r>
        <w:tab/>
      </w:r>
      <w:proofErr w:type="gramStart"/>
      <w:r>
        <w:t>carry</w:t>
      </w:r>
      <w:proofErr w:type="gramEnd"/>
      <w:r>
        <w:t xml:space="preserve"> out any other co-operation or collusion with another Supplier or any other person which the Authority considers capable of undermining fair competition</w:t>
      </w:r>
    </w:p>
    <w:p w14:paraId="55A427E6" w14:textId="77777777" w:rsidR="00DF644D" w:rsidRDefault="00DF644D" w:rsidP="00587ABF">
      <w:pPr>
        <w:pStyle w:val="BodyText1"/>
        <w:numPr>
          <w:ilvl w:val="0"/>
          <w:numId w:val="6"/>
        </w:numPr>
        <w:ind w:left="357" w:hanging="357"/>
        <w:jc w:val="both"/>
      </w:pPr>
      <w:r>
        <w:t xml:space="preserve">Suppliers are required to complete and return Appendix G (Certificate of non-collusion and non-canvassing) noting that the Authority will be entitled to rely on the information provided in the certificate. </w:t>
      </w:r>
    </w:p>
    <w:p w14:paraId="159B79B3" w14:textId="77777777" w:rsidR="00DF644D" w:rsidRDefault="00DF644D" w:rsidP="00587ABF">
      <w:pPr>
        <w:pStyle w:val="Heading3"/>
        <w:jc w:val="both"/>
      </w:pPr>
      <w:r>
        <w:lastRenderedPageBreak/>
        <w:t>Conflicts of interest</w:t>
      </w:r>
    </w:p>
    <w:p w14:paraId="08988506" w14:textId="5E7A5C3A" w:rsidR="00DF644D" w:rsidRDefault="00DF644D" w:rsidP="00587ABF">
      <w:pPr>
        <w:pStyle w:val="BodyText1"/>
        <w:numPr>
          <w:ilvl w:val="0"/>
          <w:numId w:val="6"/>
        </w:numPr>
        <w:ind w:left="357" w:hanging="357"/>
        <w:jc w:val="both"/>
      </w:pPr>
      <w:r>
        <w:t>Suppliers are responsible for ensuring that no actual, potential or perceived conflicts of interest (within the meaning of the Act) exist between themselves and the Authority or its advisers.</w:t>
      </w:r>
      <w:r w:rsidR="003F6CC0">
        <w:t xml:space="preserve"> </w:t>
      </w:r>
      <w:r>
        <w:t xml:space="preserve">Suppliers must notify the Authority immediately of any actual, potential or perceived conflict of interest. </w:t>
      </w:r>
    </w:p>
    <w:p w14:paraId="5E33E51C" w14:textId="77777777" w:rsidR="00DF644D" w:rsidRDefault="00DF644D" w:rsidP="00587ABF">
      <w:pPr>
        <w:pStyle w:val="BodyText1"/>
        <w:numPr>
          <w:ilvl w:val="0"/>
          <w:numId w:val="6"/>
        </w:numPr>
        <w:ind w:left="357" w:hanging="357"/>
        <w:jc w:val="both"/>
      </w:pPr>
      <w:r>
        <w:t>In the event of any actual, potential or perceived conflict of interest, the Authority shall in its absolute discretion decide on the appropriate course of action. The Authority reserves the right to:</w:t>
      </w:r>
    </w:p>
    <w:p w14:paraId="07E94A47" w14:textId="77777777" w:rsidR="00DF644D" w:rsidRDefault="00DF644D" w:rsidP="00587ABF">
      <w:pPr>
        <w:pStyle w:val="BodyText1"/>
        <w:ind w:left="714" w:hanging="357"/>
        <w:jc w:val="both"/>
      </w:pPr>
      <w:r>
        <w:t>a.</w:t>
      </w:r>
      <w:r>
        <w:tab/>
      </w:r>
      <w:proofErr w:type="gramStart"/>
      <w:r>
        <w:t>exclude</w:t>
      </w:r>
      <w:proofErr w:type="gramEnd"/>
      <w:r>
        <w:t xml:space="preserve"> any Supplier that fails to notify the Authority of an actual, potential or perceived conflict of interest, or where an actual conflict of interest exists</w:t>
      </w:r>
    </w:p>
    <w:p w14:paraId="1BD336E0" w14:textId="77777777" w:rsidR="00DF644D" w:rsidRDefault="00DF644D" w:rsidP="00587ABF">
      <w:pPr>
        <w:pStyle w:val="BodyText1"/>
        <w:ind w:left="714" w:hanging="357"/>
        <w:jc w:val="both"/>
      </w:pPr>
      <w:r>
        <w:t>b.</w:t>
      </w:r>
      <w:r>
        <w:tab/>
      </w:r>
      <w:proofErr w:type="gramStart"/>
      <w:r>
        <w:t>request</w:t>
      </w:r>
      <w:proofErr w:type="gramEnd"/>
      <w:r>
        <w:t xml:space="preserve"> further information from any Supplier and require any Supplier to take reasonable steps to mitigate a conflict of interest. This may include requiring any Supplier to enter into a specific conflict of interest agreement with the Authority. Failure to do so may result in the Supplier being excluded from participating in, or progressing as part of, the Procurement process </w:t>
      </w:r>
    </w:p>
    <w:p w14:paraId="10ECE1E1" w14:textId="77777777" w:rsidR="00DF644D" w:rsidRDefault="00DF644D" w:rsidP="00587ABF">
      <w:pPr>
        <w:pStyle w:val="BodyText1"/>
        <w:numPr>
          <w:ilvl w:val="0"/>
          <w:numId w:val="6"/>
        </w:numPr>
        <w:ind w:left="357" w:hanging="357"/>
        <w:jc w:val="both"/>
      </w:pPr>
      <w:r>
        <w:t xml:space="preserve">The Authority strongly encourages Suppliers to contact the Authority as soon as possible using the Portal should it have any concerns regarding actual, potential or perceived conflicts of interest. </w:t>
      </w:r>
    </w:p>
    <w:p w14:paraId="6AA2388C" w14:textId="77777777" w:rsidR="00DF644D" w:rsidRDefault="00DF644D" w:rsidP="00587ABF">
      <w:pPr>
        <w:pStyle w:val="Heading3"/>
        <w:jc w:val="both"/>
      </w:pPr>
      <w:r>
        <w:t>Conflict assessments</w:t>
      </w:r>
    </w:p>
    <w:p w14:paraId="6C603B75" w14:textId="77777777" w:rsidR="00DF644D" w:rsidRDefault="00DF644D" w:rsidP="00587ABF">
      <w:pPr>
        <w:pStyle w:val="BodyText1"/>
        <w:numPr>
          <w:ilvl w:val="0"/>
          <w:numId w:val="6"/>
        </w:numPr>
        <w:ind w:left="357" w:hanging="357"/>
        <w:jc w:val="both"/>
      </w:pPr>
      <w:r>
        <w:t>The Authority confirms that, prior to the issue of the Tender Notice in this Procurement, a conflict assessment has been prepared in accordance with the Act.</w:t>
      </w:r>
    </w:p>
    <w:p w14:paraId="42D5E739" w14:textId="77777777" w:rsidR="00DF644D" w:rsidRDefault="00DF644D" w:rsidP="00587ABF">
      <w:pPr>
        <w:pStyle w:val="Heading3"/>
        <w:jc w:val="both"/>
      </w:pPr>
      <w:r>
        <w:t xml:space="preserve">Intellectual property </w:t>
      </w:r>
    </w:p>
    <w:p w14:paraId="231448F4" w14:textId="77777777" w:rsidR="00DF644D" w:rsidRDefault="00DF644D" w:rsidP="00587ABF">
      <w:pPr>
        <w:pStyle w:val="BodyText1"/>
        <w:numPr>
          <w:ilvl w:val="0"/>
          <w:numId w:val="6"/>
        </w:numPr>
        <w:ind w:left="357" w:hanging="357"/>
        <w:jc w:val="both"/>
      </w:pPr>
      <w:r>
        <w:t>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purpose of preparing a submission) without the prior written consent of the Authority. All documentation supplied by the Authority in relation to this Procurement must be returned or destroyed on demand, without any copies being retained by Suppliers.</w:t>
      </w:r>
    </w:p>
    <w:p w14:paraId="00208B87" w14:textId="6E0FBBC1" w:rsidR="00DF644D" w:rsidRDefault="00DF644D" w:rsidP="006C2DAD">
      <w:pPr>
        <w:pStyle w:val="Heading3"/>
        <w:jc w:val="both"/>
      </w:pPr>
      <w:r>
        <w:t>Anti-competitive behaviour</w:t>
      </w:r>
    </w:p>
    <w:p w14:paraId="7B9569D8" w14:textId="77777777" w:rsidR="00DF644D" w:rsidRDefault="00DF644D" w:rsidP="00587ABF">
      <w:pPr>
        <w:pStyle w:val="BodyText1"/>
        <w:numPr>
          <w:ilvl w:val="0"/>
          <w:numId w:val="6"/>
        </w:numPr>
        <w:ind w:left="357" w:hanging="357"/>
        <w:jc w:val="both"/>
      </w:pPr>
      <w: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2E0A7F54" w14:textId="77777777" w:rsidR="00DF644D" w:rsidRDefault="00DF644D" w:rsidP="00587ABF">
      <w:pPr>
        <w:pStyle w:val="BodyText1"/>
        <w:numPr>
          <w:ilvl w:val="0"/>
          <w:numId w:val="6"/>
        </w:numPr>
        <w:ind w:left="357" w:hanging="357"/>
        <w:jc w:val="both"/>
      </w:pPr>
      <w:r>
        <w:t xml:space="preserve">Any evidence of anti-competitive behaviour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63C384F7" w14:textId="3A052931" w:rsidR="00DF644D" w:rsidRDefault="00DF644D" w:rsidP="00587ABF">
      <w:pPr>
        <w:pStyle w:val="BodyText1"/>
        <w:numPr>
          <w:ilvl w:val="0"/>
          <w:numId w:val="6"/>
        </w:numPr>
        <w:ind w:left="357" w:hanging="357"/>
        <w:jc w:val="both"/>
      </w:pPr>
      <w:r>
        <w:lastRenderedPageBreak/>
        <w:t>Suppliers should note that anti-competitive behaviour may result in the Supplier being excluded from bidding for contracts under Schedule 7, Paragraph 7 of the Act. Where a relevant decision has been made by the Competition and Markets Authority under the C</w:t>
      </w:r>
      <w:r w:rsidR="003F648F">
        <w:t xml:space="preserve">ompetition </w:t>
      </w:r>
      <w:r>
        <w:t>A</w:t>
      </w:r>
      <w:r w:rsidR="003F648F">
        <w:t>ct</w:t>
      </w:r>
      <w:r>
        <w:t xml:space="preserve"> 1998, the Supplier may also be excluded from bidding for contracts under Schedule 6, paragraph 41 and may be added to the debarment list and/or be liable for civil and/or criminal penalties.</w:t>
      </w:r>
    </w:p>
    <w:p w14:paraId="5ED0F48F" w14:textId="77777777" w:rsidR="00DF644D" w:rsidRDefault="00DF644D" w:rsidP="00587ABF">
      <w:pPr>
        <w:pStyle w:val="Heading3"/>
        <w:jc w:val="both"/>
      </w:pPr>
      <w:r>
        <w:t xml:space="preserve">Contract </w:t>
      </w:r>
    </w:p>
    <w:p w14:paraId="11430352" w14:textId="77777777" w:rsidR="00DF644D" w:rsidRDefault="00DF644D" w:rsidP="00587ABF">
      <w:pPr>
        <w:pStyle w:val="BodyText1"/>
        <w:numPr>
          <w:ilvl w:val="0"/>
          <w:numId w:val="6"/>
        </w:numPr>
        <w:ind w:left="357" w:hanging="357"/>
        <w:jc w:val="both"/>
      </w:pPr>
      <w:r>
        <w:t xml:space="preserve">A tender submission is an offer to enter into a contract on the terms of the contents of the submission. Notification of an award decision does not constitute acceptance by the Authority. Any document submitted by a Supplier shall only have contractual effect when it is contained within an executed written contract. </w:t>
      </w:r>
    </w:p>
    <w:p w14:paraId="52E30D72" w14:textId="1ECE4296" w:rsidR="00DF644D" w:rsidRDefault="00DF644D" w:rsidP="00587ABF">
      <w:pPr>
        <w:pStyle w:val="BodyText1"/>
        <w:numPr>
          <w:ilvl w:val="0"/>
          <w:numId w:val="6"/>
        </w:numPr>
        <w:ind w:left="357" w:hanging="357"/>
        <w:jc w:val="both"/>
      </w:pPr>
      <w:r>
        <w:t xml:space="preserve">The Supplier’s final tender submission must remain valid for acceptance for a period of </w:t>
      </w:r>
      <w:r w:rsidR="008F4BB9">
        <w:t xml:space="preserve">120 </w:t>
      </w:r>
      <w:r>
        <w:t xml:space="preserve">days from the date of its submission or until any procurement challenge/s have been resolved. </w:t>
      </w:r>
    </w:p>
    <w:p w14:paraId="6B87B224" w14:textId="77777777" w:rsidR="00DF644D" w:rsidRDefault="00DF644D" w:rsidP="00587ABF">
      <w:pPr>
        <w:pStyle w:val="Heading3"/>
        <w:jc w:val="both"/>
      </w:pPr>
      <w:r>
        <w:t xml:space="preserve">Supplier withdrawal </w:t>
      </w:r>
    </w:p>
    <w:p w14:paraId="4FCA0637" w14:textId="74144374" w:rsidR="00DF644D" w:rsidRDefault="00DF644D" w:rsidP="00587ABF">
      <w:pPr>
        <w:pStyle w:val="BodyText1"/>
        <w:numPr>
          <w:ilvl w:val="0"/>
          <w:numId w:val="6"/>
        </w:numPr>
        <w:ind w:left="357" w:hanging="357"/>
        <w:jc w:val="both"/>
      </w:pPr>
      <w:r>
        <w:t xml:space="preserve">Suppliers may withdraw from the Procurement at any time before the [final tender] submission deadline by providing written notification to the Authority [via </w:t>
      </w:r>
      <w:r w:rsidR="7817148E">
        <w:t>email</w:t>
      </w:r>
      <w:r>
        <w:t>].</w:t>
      </w:r>
    </w:p>
    <w:p w14:paraId="145D3E7B" w14:textId="1D1D3F58" w:rsidR="00DF644D" w:rsidRDefault="00DF644D" w:rsidP="00587ABF">
      <w:pPr>
        <w:pStyle w:val="BodyText1"/>
        <w:numPr>
          <w:ilvl w:val="0"/>
          <w:numId w:val="6"/>
        </w:numPr>
        <w:ind w:left="357" w:hanging="357"/>
        <w:jc w:val="both"/>
      </w:pPr>
      <w:r>
        <w:t>In the event that a Supplier withdraws from the Procurement prior to the submission deadline for initial tenders, the Authority reserves the right (but shall not be obliged) to invite the next highest ranked Supplier that submitted a valid response to the invitation to participate but which attained a score that was not sufficiently high for it to be shortlisted, to be re-instated in the Procurement and invited to submit an initial tender.</w:t>
      </w:r>
    </w:p>
    <w:p w14:paraId="5832A7A2" w14:textId="77777777" w:rsidR="00DF644D" w:rsidRDefault="00DF644D" w:rsidP="00587ABF">
      <w:pPr>
        <w:pStyle w:val="Heading3"/>
        <w:jc w:val="both"/>
      </w:pPr>
      <w:r>
        <w:t>Modifying your [final tender]</w:t>
      </w:r>
    </w:p>
    <w:p w14:paraId="2A55DF79" w14:textId="6FF3346B" w:rsidR="00DF644D" w:rsidRDefault="00DF644D" w:rsidP="00587ABF">
      <w:pPr>
        <w:pStyle w:val="BodyText1"/>
        <w:numPr>
          <w:ilvl w:val="0"/>
          <w:numId w:val="6"/>
        </w:numPr>
        <w:ind w:left="357" w:hanging="357"/>
        <w:jc w:val="both"/>
      </w:pPr>
      <w:r>
        <w:t>Suppliers may modify their submitted tenders prior to the submission deadline. (The Authority will not open tenders until after the submission deadline set out in the Procurement Timetable.)</w:t>
      </w:r>
    </w:p>
    <w:p w14:paraId="3B6AF4D5" w14:textId="77777777" w:rsidR="00DF644D" w:rsidRDefault="00DF644D" w:rsidP="00587ABF">
      <w:pPr>
        <w:pStyle w:val="Heading3"/>
        <w:jc w:val="both"/>
      </w:pPr>
      <w:r>
        <w:t>Supplier eligibility</w:t>
      </w:r>
    </w:p>
    <w:p w14:paraId="113F5AFC" w14:textId="77777777" w:rsidR="00DF644D" w:rsidRDefault="00DF644D" w:rsidP="00587ABF">
      <w:pPr>
        <w:pStyle w:val="BodyText1"/>
        <w:numPr>
          <w:ilvl w:val="0"/>
          <w:numId w:val="6"/>
        </w:numPr>
        <w:ind w:left="357" w:hanging="357"/>
        <w:jc w:val="both"/>
      </w:pPr>
      <w:r>
        <w:t>Suppliers are reminded that the eligibility requirements in this document, Tender Notice and all other associated tender documents apply to the Procurement at all times.</w:t>
      </w:r>
    </w:p>
    <w:p w14:paraId="46923396" w14:textId="77777777" w:rsidR="00DF644D" w:rsidRDefault="00DF644D" w:rsidP="00587ABF">
      <w:pPr>
        <w:pStyle w:val="BodyText1"/>
        <w:numPr>
          <w:ilvl w:val="0"/>
          <w:numId w:val="6"/>
        </w:numPr>
        <w:ind w:left="357" w:hanging="357"/>
        <w:jc w:val="both"/>
      </w:pPr>
      <w:r>
        <w:t>The Authority reserves the right to require any Supplier to provide such further information as the Authority may require (and for the avoidance of doubt, the Authority may make multiple requests) as to any issue addressed in the [ITP], including, but not limited to, the economic and financial standing of the Supplier at any stage of the Procurement and prior to the notification of the award decision and/or the award of the contract.</w:t>
      </w:r>
    </w:p>
    <w:p w14:paraId="71D1EA9D" w14:textId="77777777" w:rsidR="00DF644D" w:rsidRDefault="00DF644D" w:rsidP="00587ABF">
      <w:pPr>
        <w:pStyle w:val="BodyText1"/>
        <w:numPr>
          <w:ilvl w:val="0"/>
          <w:numId w:val="6"/>
        </w:numPr>
        <w:ind w:left="357" w:hanging="357"/>
        <w:jc w:val="both"/>
      </w:pPr>
      <w:r>
        <w:t xml:space="preserve">The Authority must be notified in writing via the Portal promptly of any changes in the information that the Supplier has provided in its response to this Procurement (including but not limited to arrangements in relation to any Associated Suppliers) at any point before the entry into the Contract so that the Authority may assess whether the Supplier continues to satisfy the relevant conditions of participation and should continue to qualify for participation in the Procurement. For the avoidance of doubt, the Authority reserves </w:t>
      </w:r>
      <w:r>
        <w:lastRenderedPageBreak/>
        <w:t>the right to take such action as it deems appropriate in the light of its assessment of the updated information, including (but not limited to) excluding the Supplier concerned from the Procurement.</w:t>
      </w:r>
    </w:p>
    <w:p w14:paraId="1D22832C" w14:textId="77777777" w:rsidR="00DF644D" w:rsidRDefault="00DF644D" w:rsidP="00587ABF">
      <w:pPr>
        <w:pStyle w:val="Heading3"/>
        <w:jc w:val="both"/>
      </w:pPr>
      <w:r>
        <w:t xml:space="preserve">Supplier warranties </w:t>
      </w:r>
    </w:p>
    <w:p w14:paraId="500EE54F" w14:textId="77777777" w:rsidR="00DF644D" w:rsidRDefault="00DF644D" w:rsidP="00587ABF">
      <w:pPr>
        <w:pStyle w:val="BodyText1"/>
        <w:numPr>
          <w:ilvl w:val="0"/>
          <w:numId w:val="6"/>
        </w:numPr>
        <w:ind w:left="357" w:hanging="357"/>
        <w:jc w:val="both"/>
      </w:pPr>
      <w:r>
        <w:t>In responding to this invitation, the Supplier warrants, represents and undertakes to the Authority that:</w:t>
      </w:r>
    </w:p>
    <w:p w14:paraId="667FD59F" w14:textId="77777777" w:rsidR="00DF644D" w:rsidRDefault="00DF644D" w:rsidP="00587ABF">
      <w:pPr>
        <w:pStyle w:val="BodyText1"/>
        <w:ind w:left="714" w:hanging="357"/>
        <w:jc w:val="both"/>
      </w:pPr>
      <w:r>
        <w:t>a.</w:t>
      </w:r>
      <w:r>
        <w:tab/>
        <w:t>it understands and has complied with the conditions set out in this document</w:t>
      </w:r>
    </w:p>
    <w:p w14:paraId="5133315E" w14:textId="77777777" w:rsidR="00DF644D" w:rsidRDefault="00DF644D" w:rsidP="00587ABF">
      <w:pPr>
        <w:pStyle w:val="BodyText1"/>
        <w:ind w:left="714" w:hanging="357"/>
        <w:jc w:val="both"/>
      </w:pPr>
      <w:r>
        <w:t>b.</w:t>
      </w:r>
      <w:r>
        <w:tab/>
        <w:t>all information, representations and other matters of fact communicated (whether in writing or otherwise) to the Authority by the Supplier, its staff or agents in connection with or arising out of the Procurement are true, complete and accurate in all respects, both as at the date communicated and as at the date of the submission of the response to this document</w:t>
      </w:r>
    </w:p>
    <w:p w14:paraId="33F9BF9C" w14:textId="77777777" w:rsidR="00DF644D" w:rsidRDefault="00DF644D" w:rsidP="00587ABF">
      <w:pPr>
        <w:pStyle w:val="BodyText1"/>
        <w:ind w:left="714" w:hanging="357"/>
        <w:jc w:val="both"/>
      </w:pPr>
      <w:r>
        <w:t>c.</w:t>
      </w:r>
      <w:r>
        <w:tab/>
        <w:t>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Authority (with the exception of any information which is expressly warranted by the Authority)</w:t>
      </w:r>
    </w:p>
    <w:p w14:paraId="0F38A30F" w14:textId="77777777" w:rsidR="00DF644D" w:rsidRDefault="00DF644D" w:rsidP="00587ABF">
      <w:pPr>
        <w:pStyle w:val="BodyText1"/>
        <w:ind w:left="714" w:hanging="357"/>
        <w:jc w:val="both"/>
      </w:pPr>
      <w:r>
        <w:t>d.</w:t>
      </w:r>
      <w:r>
        <w:tab/>
        <w:t xml:space="preserve">it has full power and authority to respond to this document and to perform the obligations in relation to the contract and will, if requested, promptly produce evidence of such to the Authority </w:t>
      </w:r>
    </w:p>
    <w:p w14:paraId="0AD432B2" w14:textId="77777777" w:rsidR="00DF644D" w:rsidRDefault="00DF644D" w:rsidP="00587ABF">
      <w:pPr>
        <w:pStyle w:val="BodyText1"/>
        <w:numPr>
          <w:ilvl w:val="0"/>
          <w:numId w:val="6"/>
        </w:numPr>
        <w:ind w:left="357" w:hanging="357"/>
        <w:jc w:val="both"/>
      </w:pPr>
      <w:r>
        <w:t>Suppliers should note that the potential consequences of providing incomplete, inaccurate or misleading information include that:</w:t>
      </w:r>
    </w:p>
    <w:p w14:paraId="09A98BA4" w14:textId="77777777" w:rsidR="00DF644D" w:rsidRDefault="00DF644D" w:rsidP="00587ABF">
      <w:pPr>
        <w:pStyle w:val="BodyText1"/>
        <w:ind w:left="714" w:hanging="357"/>
        <w:jc w:val="both"/>
      </w:pPr>
      <w:r>
        <w:t>a.</w:t>
      </w:r>
      <w:r>
        <w:tab/>
        <w:t>the Authority may exclude the Supplier from participating in this Procurement</w:t>
      </w:r>
    </w:p>
    <w:p w14:paraId="485ED62A" w14:textId="77777777" w:rsidR="00DF644D" w:rsidRDefault="00DF644D" w:rsidP="00587ABF">
      <w:pPr>
        <w:pStyle w:val="BodyText1"/>
        <w:ind w:left="714" w:hanging="357"/>
        <w:jc w:val="both"/>
      </w:pPr>
      <w:r>
        <w:t>b.</w:t>
      </w:r>
      <w:r>
        <w:tab/>
        <w:t>the Supplier may be excluded from bidding for contracts under Schedule 7, Paragraph 13 of the Act</w:t>
      </w:r>
    </w:p>
    <w:p w14:paraId="794ADCF3" w14:textId="77777777" w:rsidR="00DF644D" w:rsidRDefault="00DF644D" w:rsidP="00587ABF">
      <w:pPr>
        <w:pStyle w:val="BodyText1"/>
        <w:ind w:left="714" w:hanging="357"/>
        <w:jc w:val="both"/>
      </w:pPr>
      <w:r>
        <w:t>c.</w:t>
      </w:r>
      <w:r>
        <w:tab/>
        <w:t>the Authority may rescind any resulting contract under the Misrepresentation Act 1967 and may sue the Supplier for damages</w:t>
      </w:r>
    </w:p>
    <w:p w14:paraId="480B525C" w14:textId="77777777" w:rsidR="00DF644D" w:rsidRDefault="00DF644D" w:rsidP="00587ABF">
      <w:pPr>
        <w:pStyle w:val="BodyText1"/>
        <w:ind w:left="714" w:hanging="357"/>
        <w:jc w:val="both"/>
      </w:pPr>
      <w:r>
        <w:t>d.</w:t>
      </w:r>
      <w:r>
        <w:tab/>
        <w:t>if fraud or fraudulent intent can be proved, the Supplier may be prosecuted and convicted of the offence of fraud by false representation under section 2 of the Fraud Act 2006, which can carry a sentence of up to 10 years or a fine (or both) – if there is a conviction, then the Supplier may be excluded from bidding for contracts under Schedule 6, Paragraph 15 of the Act and may be added to the debarment list</w:t>
      </w:r>
    </w:p>
    <w:p w14:paraId="75636577" w14:textId="77777777" w:rsidR="00DF644D" w:rsidRDefault="00DF644D" w:rsidP="00587ABF">
      <w:pPr>
        <w:pStyle w:val="Heading3"/>
        <w:jc w:val="both"/>
      </w:pPr>
      <w:r>
        <w:t>Third parties</w:t>
      </w:r>
    </w:p>
    <w:p w14:paraId="01388277" w14:textId="77777777" w:rsidR="00DF644D" w:rsidRDefault="00DF644D" w:rsidP="00587ABF">
      <w:pPr>
        <w:pStyle w:val="BodyText1"/>
        <w:numPr>
          <w:ilvl w:val="0"/>
          <w:numId w:val="6"/>
        </w:numPr>
        <w:ind w:left="357" w:hanging="357"/>
        <w:jc w:val="both"/>
      </w:pPr>
      <w:r>
        <w:t>Nothing in these terms is intended to confer any rights on any third party under the Contracts (Rights of Third Parties) Act 1999. This does not affect any right or remedy of any person which exists or is available apart from that Act.</w:t>
      </w:r>
    </w:p>
    <w:p w14:paraId="6FF1C8D9" w14:textId="77777777" w:rsidR="00DF644D" w:rsidRDefault="00DF644D" w:rsidP="00587ABF">
      <w:pPr>
        <w:pStyle w:val="Heading3"/>
        <w:jc w:val="both"/>
      </w:pPr>
      <w:r>
        <w:lastRenderedPageBreak/>
        <w:t>Applicable law</w:t>
      </w:r>
    </w:p>
    <w:p w14:paraId="29B320D3" w14:textId="431C507F" w:rsidR="00DF644D" w:rsidRDefault="00DF644D" w:rsidP="00587ABF">
      <w:pPr>
        <w:pStyle w:val="BodyText1"/>
        <w:numPr>
          <w:ilvl w:val="0"/>
          <w:numId w:val="6"/>
        </w:numPr>
        <w:ind w:left="357" w:hanging="357"/>
        <w:jc w:val="both"/>
      </w:pPr>
      <w:r>
        <w:t>The law</w:t>
      </w:r>
      <w:r w:rsidR="00086B14">
        <w:t>s</w:t>
      </w:r>
      <w:r>
        <w:t xml:space="preserve"> of England </w:t>
      </w:r>
      <w:r w:rsidR="00086B14">
        <w:t>and Wales are</w:t>
      </w:r>
      <w:r>
        <w:t xml:space="preserve"> applicable to this Procurement. </w:t>
      </w:r>
    </w:p>
    <w:p w14:paraId="57FF048F" w14:textId="77777777" w:rsidR="002147DD" w:rsidRPr="00170C6F" w:rsidRDefault="00DF644D" w:rsidP="00587ABF">
      <w:pPr>
        <w:pStyle w:val="BodyText1"/>
        <w:numPr>
          <w:ilvl w:val="0"/>
          <w:numId w:val="6"/>
        </w:numPr>
        <w:ind w:left="357" w:hanging="357"/>
        <w:jc w:val="both"/>
      </w:pPr>
      <w:r>
        <w:t>Suppliers must agree to submit to the exclusive jurisdiction of the Courts of England and Wales in relation to any dispute arising out of or in connection with this Procurement.</w:t>
      </w:r>
    </w:p>
    <w:p w14:paraId="6D5ECDD8" w14:textId="77777777" w:rsidR="002147DD" w:rsidRPr="002147DD" w:rsidRDefault="002147DD" w:rsidP="00DF644D">
      <w:pPr>
        <w:pStyle w:val="Heading1"/>
        <w:numPr>
          <w:ilvl w:val="0"/>
          <w:numId w:val="0"/>
        </w:numPr>
      </w:pPr>
      <w:bookmarkStart w:id="25" w:name="_Toc193095877"/>
      <w:r>
        <w:lastRenderedPageBreak/>
        <w:t>Appendix B: The Authority’s detailed requirement</w:t>
      </w:r>
      <w:bookmarkEnd w:id="25"/>
    </w:p>
    <w:p w14:paraId="690BC6E3" w14:textId="77777777" w:rsidR="002147DD" w:rsidRDefault="002147DD" w:rsidP="002147DD">
      <w:pPr>
        <w:pStyle w:val="BodyText1"/>
      </w:pPr>
    </w:p>
    <w:p w14:paraId="41A1A171" w14:textId="20C1C5EF" w:rsidR="000215BB" w:rsidRDefault="009E5900" w:rsidP="003E3D85">
      <w:pPr>
        <w:pStyle w:val="BodyText1"/>
        <w:rPr>
          <w:rFonts w:ascii="Lato Light" w:hAnsi="Lato Light"/>
          <w:sz w:val="22"/>
          <w:szCs w:val="22"/>
        </w:rPr>
      </w:pPr>
      <w:r w:rsidRPr="003E3D85">
        <w:t xml:space="preserve">Suppliers </w:t>
      </w:r>
      <w:r w:rsidR="00B63557" w:rsidRPr="003E3D85">
        <w:t>are required to</w:t>
      </w:r>
      <w:r w:rsidR="000215BB" w:rsidRPr="003E3D85">
        <w:t>:</w:t>
      </w:r>
    </w:p>
    <w:p w14:paraId="7AEFDC9C" w14:textId="6891CAA2" w:rsidR="009E5900" w:rsidRPr="0014341E" w:rsidRDefault="00117B5C" w:rsidP="00D746A0">
      <w:pPr>
        <w:pStyle w:val="BodyText1"/>
        <w:numPr>
          <w:ilvl w:val="0"/>
          <w:numId w:val="15"/>
        </w:numPr>
        <w:jc w:val="both"/>
        <w:rPr>
          <w:rFonts w:ascii="Lato Light" w:hAnsi="Lato Light"/>
          <w:sz w:val="22"/>
          <w:szCs w:val="22"/>
        </w:rPr>
      </w:pPr>
      <w:r w:rsidRPr="003E3D85">
        <w:t xml:space="preserve">Work with </w:t>
      </w:r>
      <w:r w:rsidR="00AF74E9" w:rsidRPr="003E3D85">
        <w:t>London CIV</w:t>
      </w:r>
      <w:r w:rsidRPr="003E3D85">
        <w:t xml:space="preserve">, Partner Funds and their appointed representatives to collect detailed </w:t>
      </w:r>
      <w:r w:rsidR="009E5900" w:rsidRPr="003E3D85">
        <w:t xml:space="preserve">data for individual pension funds and </w:t>
      </w:r>
      <w:r w:rsidR="00074BC1" w:rsidRPr="003E3D85">
        <w:t>input it accurately into modelling tools.</w:t>
      </w:r>
    </w:p>
    <w:p w14:paraId="54514EE4" w14:textId="45262908" w:rsidR="00580D9D" w:rsidRDefault="00117B5C" w:rsidP="00D746A0">
      <w:pPr>
        <w:pStyle w:val="BodyText1"/>
        <w:numPr>
          <w:ilvl w:val="0"/>
          <w:numId w:val="15"/>
        </w:numPr>
        <w:jc w:val="both"/>
        <w:rPr>
          <w:rFonts w:ascii="Lato Light" w:hAnsi="Lato Light"/>
          <w:sz w:val="22"/>
          <w:szCs w:val="22"/>
        </w:rPr>
      </w:pPr>
      <w:r w:rsidRPr="003E3D85">
        <w:t>Use</w:t>
      </w:r>
      <w:r w:rsidR="000455BD" w:rsidRPr="003E3D85">
        <w:t xml:space="preserve"> robust processes to derive capital markets risk and return assumptions for the full range of public and private markets asset classes</w:t>
      </w:r>
      <w:r w:rsidR="00580D9D" w:rsidRPr="003E3D85">
        <w:t>.</w:t>
      </w:r>
    </w:p>
    <w:p w14:paraId="25315B8B" w14:textId="77777777" w:rsidR="002359DF" w:rsidRDefault="00DB6EFD" w:rsidP="00D746A0">
      <w:pPr>
        <w:pStyle w:val="BodyText1"/>
        <w:numPr>
          <w:ilvl w:val="0"/>
          <w:numId w:val="15"/>
        </w:numPr>
        <w:jc w:val="both"/>
        <w:rPr>
          <w:rFonts w:ascii="Lato Light" w:hAnsi="Lato Light"/>
          <w:sz w:val="22"/>
          <w:szCs w:val="22"/>
        </w:rPr>
      </w:pPr>
      <w:r w:rsidRPr="003E3D85">
        <w:t xml:space="preserve">Incorporate </w:t>
      </w:r>
      <w:r w:rsidR="00513F71" w:rsidRPr="003E3D85">
        <w:t>ESG risks and opportunities</w:t>
      </w:r>
      <w:r w:rsidR="00BB7BE0" w:rsidRPr="003E3D85">
        <w:t>, including clima</w:t>
      </w:r>
      <w:r w:rsidR="004A5958" w:rsidRPr="003E3D85">
        <w:t xml:space="preserve">te-related factors, into </w:t>
      </w:r>
      <w:r w:rsidR="00C12D22" w:rsidRPr="003E3D85">
        <w:t xml:space="preserve">processes used to generate </w:t>
      </w:r>
      <w:r w:rsidR="004A5958" w:rsidRPr="003E3D85">
        <w:t xml:space="preserve">risk and return </w:t>
      </w:r>
      <w:r w:rsidR="00C12D22" w:rsidRPr="003E3D85">
        <w:t>assumptions for asset classes</w:t>
      </w:r>
      <w:r w:rsidR="002359DF" w:rsidRPr="003E3D85">
        <w:t>.</w:t>
      </w:r>
    </w:p>
    <w:p w14:paraId="5103CF6A" w14:textId="410A7665" w:rsidR="009E5900" w:rsidRDefault="00117B5C" w:rsidP="00D746A0">
      <w:pPr>
        <w:pStyle w:val="BodyText1"/>
        <w:numPr>
          <w:ilvl w:val="0"/>
          <w:numId w:val="15"/>
        </w:numPr>
        <w:jc w:val="both"/>
        <w:rPr>
          <w:rFonts w:ascii="Lato Light" w:hAnsi="Lato Light"/>
          <w:sz w:val="22"/>
          <w:szCs w:val="22"/>
        </w:rPr>
      </w:pPr>
      <w:r w:rsidRPr="003E3D85">
        <w:t>M</w:t>
      </w:r>
      <w:r w:rsidR="009E5900" w:rsidRPr="003E3D85">
        <w:t>odel and optimise these inputs under different economic and capital markets scenarios.</w:t>
      </w:r>
    </w:p>
    <w:p w14:paraId="145FC8EC" w14:textId="43F4857F" w:rsidR="00117B5C" w:rsidRDefault="005C66CF" w:rsidP="00D746A0">
      <w:pPr>
        <w:pStyle w:val="BodyText1"/>
        <w:numPr>
          <w:ilvl w:val="0"/>
          <w:numId w:val="15"/>
        </w:numPr>
        <w:jc w:val="both"/>
        <w:rPr>
          <w:rFonts w:ascii="Lato Light" w:hAnsi="Lato Light"/>
          <w:sz w:val="22"/>
          <w:szCs w:val="22"/>
        </w:rPr>
      </w:pPr>
      <w:r w:rsidRPr="003E3D85">
        <w:t xml:space="preserve">Customise the output of the modelling and optimisation work to the </w:t>
      </w:r>
      <w:r w:rsidR="00D42962" w:rsidRPr="003E3D85">
        <w:t>risk tolerances and strategic objectives of individual Partner Funds</w:t>
      </w:r>
      <w:r w:rsidR="00D85B49" w:rsidRPr="003E3D85">
        <w:t>.</w:t>
      </w:r>
    </w:p>
    <w:p w14:paraId="52D28629" w14:textId="1639A310" w:rsidR="000D3323" w:rsidRDefault="00D85B49" w:rsidP="00D746A0">
      <w:pPr>
        <w:pStyle w:val="BodyText1"/>
        <w:numPr>
          <w:ilvl w:val="0"/>
          <w:numId w:val="15"/>
        </w:numPr>
        <w:jc w:val="both"/>
        <w:rPr>
          <w:rFonts w:ascii="Lato Light" w:hAnsi="Lato Light"/>
          <w:sz w:val="22"/>
          <w:szCs w:val="22"/>
        </w:rPr>
      </w:pPr>
      <w:r w:rsidRPr="003E3D85">
        <w:t xml:space="preserve">Generate accurate and </w:t>
      </w:r>
      <w:r w:rsidR="0095538F" w:rsidRPr="003E3D85">
        <w:t>clear</w:t>
      </w:r>
      <w:r w:rsidR="00EE777D" w:rsidRPr="003E3D85">
        <w:t xml:space="preserve"> </w:t>
      </w:r>
      <w:r w:rsidR="00AD4442" w:rsidRPr="003E3D85">
        <w:t xml:space="preserve">reports to </w:t>
      </w:r>
      <w:r w:rsidR="0098049B" w:rsidRPr="003E3D85">
        <w:t xml:space="preserve">support </w:t>
      </w:r>
      <w:r w:rsidR="000D3323" w:rsidRPr="003E3D85">
        <w:t xml:space="preserve">the review of modelling </w:t>
      </w:r>
      <w:r w:rsidR="00B907DD" w:rsidRPr="003E3D85">
        <w:t>o</w:t>
      </w:r>
      <w:r w:rsidR="000D3323" w:rsidRPr="003E3D85">
        <w:t>utput</w:t>
      </w:r>
      <w:r w:rsidR="0098049B" w:rsidRPr="003E3D85">
        <w:t xml:space="preserve"> with </w:t>
      </w:r>
      <w:r w:rsidR="00B37350" w:rsidRPr="003E3D85">
        <w:t>London CIV</w:t>
      </w:r>
      <w:r w:rsidR="0098049B" w:rsidRPr="003E3D85">
        <w:t xml:space="preserve"> and Par</w:t>
      </w:r>
      <w:r w:rsidR="000D3323" w:rsidRPr="003E3D85">
        <w:t>tner Funds.</w:t>
      </w:r>
    </w:p>
    <w:p w14:paraId="2F1763F2" w14:textId="77777777" w:rsidR="00181AAF" w:rsidRDefault="000D3323" w:rsidP="00D746A0">
      <w:pPr>
        <w:pStyle w:val="BodyText1"/>
        <w:numPr>
          <w:ilvl w:val="0"/>
          <w:numId w:val="15"/>
        </w:numPr>
        <w:jc w:val="both"/>
        <w:rPr>
          <w:rFonts w:ascii="Lato Light" w:hAnsi="Lato Light"/>
          <w:sz w:val="22"/>
          <w:szCs w:val="22"/>
        </w:rPr>
      </w:pPr>
      <w:r w:rsidRPr="003E3D85">
        <w:t xml:space="preserve">Adapt the </w:t>
      </w:r>
      <w:r w:rsidR="00B907DD" w:rsidRPr="003E3D85">
        <w:t xml:space="preserve">output </w:t>
      </w:r>
      <w:r w:rsidR="00B00B9D" w:rsidRPr="003E3D85">
        <w:t>if</w:t>
      </w:r>
      <w:r w:rsidR="00156207" w:rsidRPr="003E3D85">
        <w:t xml:space="preserve"> </w:t>
      </w:r>
      <w:r w:rsidR="00B00B9D" w:rsidRPr="003E3D85">
        <w:t xml:space="preserve">required to align it </w:t>
      </w:r>
      <w:r w:rsidR="0075349F" w:rsidRPr="003E3D85">
        <w:t xml:space="preserve">to Partner Fund risk profiles and </w:t>
      </w:r>
      <w:r w:rsidR="00353CA1" w:rsidRPr="003E3D85">
        <w:t xml:space="preserve">objectives </w:t>
      </w:r>
      <w:r w:rsidR="00B00B9D" w:rsidRPr="003E3D85">
        <w:t>an</w:t>
      </w:r>
      <w:r w:rsidR="00B907DD" w:rsidRPr="003E3D85">
        <w:t xml:space="preserve">d </w:t>
      </w:r>
      <w:r w:rsidR="0014599B" w:rsidRPr="003E3D85">
        <w:t>advise on</w:t>
      </w:r>
      <w:r w:rsidR="007C6699" w:rsidRPr="003E3D85">
        <w:t xml:space="preserve"> the </w:t>
      </w:r>
      <w:r w:rsidR="00353CA1" w:rsidRPr="003E3D85">
        <w:t>optimal strategic asset allocation</w:t>
      </w:r>
      <w:r w:rsidR="00181AAF" w:rsidRPr="003E3D85">
        <w:t>.</w:t>
      </w:r>
    </w:p>
    <w:p w14:paraId="32A2F503" w14:textId="6B6A3780" w:rsidR="00D41223" w:rsidRDefault="00675396" w:rsidP="00D746A0">
      <w:pPr>
        <w:pStyle w:val="BodyText1"/>
        <w:numPr>
          <w:ilvl w:val="0"/>
          <w:numId w:val="15"/>
        </w:numPr>
        <w:jc w:val="both"/>
        <w:rPr>
          <w:rFonts w:ascii="Lato Light" w:hAnsi="Lato Light"/>
          <w:sz w:val="22"/>
          <w:szCs w:val="22"/>
        </w:rPr>
      </w:pPr>
      <w:r w:rsidRPr="003E3D85">
        <w:t xml:space="preserve">Advise on appropriate performance targets and benchmarks for the </w:t>
      </w:r>
      <w:r w:rsidR="00D41223" w:rsidRPr="003E3D85">
        <w:t>asset classes</w:t>
      </w:r>
      <w:r w:rsidR="002E3CFA" w:rsidRPr="003E3D85">
        <w:t xml:space="preserve"> recommended in the strategic allocation plan</w:t>
      </w:r>
      <w:r w:rsidR="00D41223" w:rsidRPr="003E3D85">
        <w:t>.</w:t>
      </w:r>
    </w:p>
    <w:p w14:paraId="627E8AC0" w14:textId="10F4584D" w:rsidR="005B42F7" w:rsidRDefault="00B047E1" w:rsidP="00D746A0">
      <w:pPr>
        <w:pStyle w:val="BodyText1"/>
        <w:numPr>
          <w:ilvl w:val="0"/>
          <w:numId w:val="15"/>
        </w:numPr>
        <w:jc w:val="both"/>
        <w:rPr>
          <w:rFonts w:ascii="Lato Light" w:hAnsi="Lato Light"/>
          <w:sz w:val="22"/>
          <w:szCs w:val="22"/>
        </w:rPr>
      </w:pPr>
      <w:r w:rsidRPr="003E3D85">
        <w:t xml:space="preserve">Monitor Partner Fund portfolios </w:t>
      </w:r>
      <w:r w:rsidR="00172641" w:rsidRPr="003E3D85">
        <w:t>relative to the agreed strategic allocation</w:t>
      </w:r>
      <w:r w:rsidR="002E3CFA" w:rsidRPr="003E3D85">
        <w:t>s</w:t>
      </w:r>
      <w:r w:rsidR="00172641" w:rsidRPr="003E3D85">
        <w:t>.</w:t>
      </w:r>
    </w:p>
    <w:p w14:paraId="19D63303" w14:textId="2C586160" w:rsidR="004722A7" w:rsidRDefault="000F2B9B" w:rsidP="00D746A0">
      <w:pPr>
        <w:pStyle w:val="BodyText1"/>
        <w:numPr>
          <w:ilvl w:val="0"/>
          <w:numId w:val="15"/>
        </w:numPr>
        <w:jc w:val="both"/>
        <w:rPr>
          <w:rFonts w:ascii="Lato Light" w:hAnsi="Lato Light"/>
          <w:sz w:val="22"/>
          <w:szCs w:val="22"/>
        </w:rPr>
      </w:pPr>
      <w:r w:rsidRPr="003E3D85">
        <w:t xml:space="preserve">Attend review meetings with </w:t>
      </w:r>
      <w:r w:rsidR="00B37350" w:rsidRPr="003E3D85">
        <w:t>London CIV</w:t>
      </w:r>
      <w:r w:rsidRPr="003E3D85">
        <w:t xml:space="preserve"> and/or Partner Funds at intervals to be agreed</w:t>
      </w:r>
      <w:r w:rsidR="00C223D0" w:rsidRPr="003E3D85">
        <w:t>.</w:t>
      </w:r>
    </w:p>
    <w:p w14:paraId="03A11C87" w14:textId="7C4389B9" w:rsidR="009D52B1" w:rsidRDefault="009D52B1" w:rsidP="00D746A0">
      <w:pPr>
        <w:pStyle w:val="BodyText1"/>
        <w:numPr>
          <w:ilvl w:val="0"/>
          <w:numId w:val="15"/>
        </w:numPr>
        <w:jc w:val="both"/>
        <w:rPr>
          <w:rFonts w:ascii="Lato Light" w:hAnsi="Lato Light"/>
          <w:sz w:val="22"/>
          <w:szCs w:val="22"/>
        </w:rPr>
      </w:pPr>
      <w:r w:rsidRPr="003E3D85">
        <w:t xml:space="preserve">Consult with London CIV </w:t>
      </w:r>
      <w:r w:rsidR="007A1667" w:rsidRPr="003E3D85">
        <w:t>about products and ser</w:t>
      </w:r>
      <w:r w:rsidR="00387681" w:rsidRPr="003E3D85">
        <w:t xml:space="preserve">vices </w:t>
      </w:r>
      <w:r w:rsidR="009A1CF8" w:rsidRPr="003E3D85">
        <w:t xml:space="preserve">which could be valuable to London CIV in </w:t>
      </w:r>
      <w:r w:rsidR="00C956D0" w:rsidRPr="003E3D85">
        <w:t>developing and d</w:t>
      </w:r>
      <w:r w:rsidR="00990115" w:rsidRPr="003E3D85">
        <w:t xml:space="preserve">elivering </w:t>
      </w:r>
      <w:r w:rsidR="00C956D0" w:rsidRPr="003E3D85">
        <w:t>cost-effective solutions and services to Partner Funds.</w:t>
      </w:r>
    </w:p>
    <w:p w14:paraId="16DAB05A" w14:textId="5CA01060" w:rsidR="00950998" w:rsidRDefault="005B42F7" w:rsidP="00D746A0">
      <w:pPr>
        <w:pStyle w:val="BodyText1"/>
        <w:numPr>
          <w:ilvl w:val="0"/>
          <w:numId w:val="15"/>
        </w:numPr>
        <w:jc w:val="both"/>
        <w:rPr>
          <w:rFonts w:ascii="Lato Light" w:hAnsi="Lato Light"/>
          <w:sz w:val="22"/>
          <w:szCs w:val="22"/>
        </w:rPr>
      </w:pPr>
      <w:r w:rsidRPr="003E3D85">
        <w:t xml:space="preserve">Consult with </w:t>
      </w:r>
      <w:r w:rsidR="00B37350" w:rsidRPr="003E3D85">
        <w:t>London CIV</w:t>
      </w:r>
      <w:r w:rsidRPr="003E3D85">
        <w:t xml:space="preserve"> when new products or services emerge which could </w:t>
      </w:r>
      <w:r w:rsidR="007A6091" w:rsidRPr="003E3D85">
        <w:t xml:space="preserve">be appropriate in helping Partner Funds achieve their investment and responsible investment </w:t>
      </w:r>
      <w:r w:rsidR="00C223D0" w:rsidRPr="003E3D85">
        <w:t>objectives</w:t>
      </w:r>
      <w:r w:rsidR="007A6091" w:rsidRPr="003E3D85">
        <w:t>.</w:t>
      </w:r>
    </w:p>
    <w:p w14:paraId="75DE87AB" w14:textId="01604067" w:rsidR="00C956D0" w:rsidRPr="003E3D85" w:rsidRDefault="00C956D0" w:rsidP="00D746A0">
      <w:pPr>
        <w:pStyle w:val="BodyText1"/>
        <w:numPr>
          <w:ilvl w:val="0"/>
          <w:numId w:val="15"/>
        </w:numPr>
        <w:jc w:val="both"/>
        <w:rPr>
          <w:rFonts w:ascii="Lato Light" w:hAnsi="Lato Light"/>
          <w:sz w:val="22"/>
          <w:szCs w:val="22"/>
        </w:rPr>
      </w:pPr>
      <w:r w:rsidRPr="003E3D85">
        <w:t xml:space="preserve">Consult with London CIV about training opportunities </w:t>
      </w:r>
      <w:r w:rsidR="00F96578" w:rsidRPr="003E3D85">
        <w:t>for London CIV and Partner Fund representatives.</w:t>
      </w:r>
    </w:p>
    <w:p w14:paraId="03D9D034" w14:textId="77777777" w:rsidR="002147DD" w:rsidRDefault="002147DD" w:rsidP="00DF644D">
      <w:pPr>
        <w:pStyle w:val="Heading1"/>
        <w:numPr>
          <w:ilvl w:val="0"/>
          <w:numId w:val="0"/>
        </w:numPr>
      </w:pPr>
      <w:bookmarkStart w:id="26" w:name="_Toc193095878"/>
      <w:r>
        <w:lastRenderedPageBreak/>
        <w:t>Appendix C: Service Levels, Service Credits and KPIs</w:t>
      </w:r>
      <w:bookmarkEnd w:id="26"/>
    </w:p>
    <w:p w14:paraId="57119A04" w14:textId="3A72DE6B" w:rsidR="007D0F49" w:rsidRPr="0012416B" w:rsidRDefault="007D0F49" w:rsidP="0012416B">
      <w:pPr>
        <w:pStyle w:val="BodyText1"/>
        <w:spacing w:after="0" w:line="360" w:lineRule="auto"/>
        <w:jc w:val="both"/>
        <w:rPr>
          <w:rFonts w:ascii="Lato Light" w:hAnsi="Lato Light"/>
          <w:b/>
          <w:bCs/>
          <w:sz w:val="22"/>
          <w:szCs w:val="22"/>
        </w:rPr>
      </w:pPr>
      <w:r w:rsidRPr="0012416B">
        <w:rPr>
          <w:b/>
          <w:bCs/>
        </w:rPr>
        <w:t>Service Levels</w:t>
      </w:r>
    </w:p>
    <w:p w14:paraId="73DA34F2" w14:textId="77777777" w:rsidR="00BE758E" w:rsidRDefault="00AC169C" w:rsidP="0012416B">
      <w:pPr>
        <w:pStyle w:val="BodyText1"/>
        <w:spacing w:after="0" w:line="360" w:lineRule="auto"/>
        <w:jc w:val="both"/>
      </w:pPr>
      <w:r w:rsidRPr="003E3D85">
        <w:t>The appointed Supplier will be required to work to timelines agreed with London CIV for each modelling and asset allocation project undertaken for London CIV or its Partner Funds.</w:t>
      </w:r>
    </w:p>
    <w:p w14:paraId="56935194" w14:textId="7CBDC881" w:rsidR="00AC169C" w:rsidRDefault="00AC169C" w:rsidP="0012416B">
      <w:pPr>
        <w:pStyle w:val="BodyText1"/>
        <w:spacing w:after="0" w:line="360" w:lineRule="auto"/>
        <w:jc w:val="both"/>
        <w:rPr>
          <w:rFonts w:ascii="Lato Light" w:hAnsi="Lato Light"/>
          <w:sz w:val="22"/>
          <w:szCs w:val="22"/>
        </w:rPr>
      </w:pPr>
    </w:p>
    <w:p w14:paraId="391EE12C" w14:textId="1162B4C7" w:rsidR="00AC169C" w:rsidRDefault="00AC169C" w:rsidP="0012416B">
      <w:pPr>
        <w:pStyle w:val="BodyText1"/>
        <w:spacing w:after="0" w:line="360" w:lineRule="auto"/>
        <w:jc w:val="both"/>
      </w:pPr>
      <w:r>
        <w:t>Project plans will specify data gathering requirements, deadlines for completion and delivery of modelling work, plans for post-delivery consultation with London CIV and/or its Partner Funds and the timeline for delivery of final reports.</w:t>
      </w:r>
    </w:p>
    <w:p w14:paraId="26917FE1" w14:textId="77777777" w:rsidR="00786142" w:rsidRPr="0014341E" w:rsidRDefault="00786142" w:rsidP="0012416B">
      <w:pPr>
        <w:pStyle w:val="BodyText1"/>
        <w:spacing w:after="0" w:line="360" w:lineRule="auto"/>
        <w:jc w:val="both"/>
        <w:rPr>
          <w:rFonts w:ascii="Lato Light" w:hAnsi="Lato Light"/>
          <w:sz w:val="22"/>
          <w:szCs w:val="22"/>
        </w:rPr>
      </w:pPr>
    </w:p>
    <w:p w14:paraId="70B1387D" w14:textId="6005EE5E" w:rsidR="00AC169C" w:rsidRDefault="00AC169C" w:rsidP="0012416B">
      <w:pPr>
        <w:pStyle w:val="BodyText1"/>
        <w:spacing w:after="0" w:line="360" w:lineRule="auto"/>
        <w:jc w:val="both"/>
      </w:pPr>
      <w:r>
        <w:t xml:space="preserve">London CIV and the appointed Supplier will agree a framework project template which will </w:t>
      </w:r>
      <w:r w:rsidR="00C45916">
        <w:t xml:space="preserve">be </w:t>
      </w:r>
      <w:r>
        <w:t>adapt</w:t>
      </w:r>
      <w:r w:rsidR="00C45916">
        <w:t>ed</w:t>
      </w:r>
      <w:r>
        <w:t xml:space="preserve"> to the parameters of specific projects.</w:t>
      </w:r>
    </w:p>
    <w:p w14:paraId="72B63D49" w14:textId="77777777" w:rsidR="00786142" w:rsidRPr="0014341E" w:rsidRDefault="00786142" w:rsidP="0012416B">
      <w:pPr>
        <w:pStyle w:val="BodyText1"/>
        <w:spacing w:after="0" w:line="360" w:lineRule="auto"/>
        <w:jc w:val="both"/>
        <w:rPr>
          <w:rFonts w:ascii="Lato Light" w:hAnsi="Lato Light"/>
          <w:sz w:val="22"/>
          <w:szCs w:val="22"/>
        </w:rPr>
      </w:pPr>
    </w:p>
    <w:p w14:paraId="300FA9E0" w14:textId="77777777" w:rsidR="0006182B" w:rsidRDefault="00AC169C" w:rsidP="0012416B">
      <w:pPr>
        <w:pStyle w:val="BodyText1"/>
        <w:spacing w:after="0" w:line="360" w:lineRule="auto"/>
        <w:jc w:val="both"/>
      </w:pPr>
      <w:r w:rsidRPr="003E3D85">
        <w:t xml:space="preserve">London CIV and the appointed Supplier will put in place templates specifying data gathering requirements, modelling outputs and the format and content of final reports. </w:t>
      </w:r>
    </w:p>
    <w:p w14:paraId="638B1DD4" w14:textId="77777777" w:rsidR="00A8415D" w:rsidRDefault="00A8415D" w:rsidP="0012416B">
      <w:pPr>
        <w:pStyle w:val="BodyText1"/>
        <w:spacing w:after="0" w:line="360" w:lineRule="auto"/>
        <w:jc w:val="both"/>
        <w:rPr>
          <w:rFonts w:ascii="Lato Light" w:hAnsi="Lato Light"/>
          <w:sz w:val="22"/>
          <w:szCs w:val="22"/>
        </w:rPr>
      </w:pPr>
    </w:p>
    <w:p w14:paraId="59D0F5A4" w14:textId="709F731A" w:rsidR="00AC169C" w:rsidRDefault="00AC169C" w:rsidP="0012416B">
      <w:pPr>
        <w:pStyle w:val="BodyText1"/>
        <w:spacing w:after="0" w:line="360" w:lineRule="auto"/>
        <w:jc w:val="both"/>
      </w:pPr>
      <w:r>
        <w:t>At a minimum, final reports will summarise optimal allocation ranges based on the strategic objectives and risk appetites of Partner Funds and appropriate performance targets and benchmarks.</w:t>
      </w:r>
    </w:p>
    <w:p w14:paraId="4AEFE121" w14:textId="77777777" w:rsidR="00786142" w:rsidRPr="0014341E" w:rsidRDefault="00786142" w:rsidP="0012416B">
      <w:pPr>
        <w:pStyle w:val="BodyText1"/>
        <w:spacing w:after="0" w:line="360" w:lineRule="auto"/>
        <w:jc w:val="both"/>
        <w:rPr>
          <w:rFonts w:ascii="Lato Light" w:hAnsi="Lato Light"/>
          <w:sz w:val="22"/>
          <w:szCs w:val="22"/>
        </w:rPr>
      </w:pPr>
    </w:p>
    <w:p w14:paraId="406C7383" w14:textId="34A3AB4A" w:rsidR="00AC169C" w:rsidRDefault="00AC169C" w:rsidP="0012416B">
      <w:pPr>
        <w:pStyle w:val="BodyText1"/>
        <w:spacing w:after="0" w:line="360" w:lineRule="auto"/>
        <w:jc w:val="both"/>
      </w:pPr>
      <w:r>
        <w:t xml:space="preserve">The appointed </w:t>
      </w:r>
      <w:r w:rsidR="004D2E5F">
        <w:t>S</w:t>
      </w:r>
      <w:r>
        <w:t>upplier will be expected to share research into new investment ideas or products that might be appropriate to the achievement of the strategic objectives of the Partner Funds.</w:t>
      </w:r>
    </w:p>
    <w:p w14:paraId="0BA07B83" w14:textId="77777777" w:rsidR="00245E6F" w:rsidRPr="006917FD" w:rsidRDefault="00245E6F" w:rsidP="0012416B">
      <w:pPr>
        <w:pStyle w:val="BodyText1"/>
        <w:spacing w:after="0" w:line="360" w:lineRule="auto"/>
        <w:jc w:val="both"/>
        <w:rPr>
          <w:rFonts w:ascii="Lato Light" w:hAnsi="Lato Light"/>
          <w:sz w:val="22"/>
          <w:szCs w:val="22"/>
        </w:rPr>
      </w:pPr>
    </w:p>
    <w:p w14:paraId="3BBD7BB3" w14:textId="1B1A3DBB" w:rsidR="007D0F49" w:rsidRPr="00245E6F" w:rsidRDefault="007D0F49" w:rsidP="0012416B">
      <w:pPr>
        <w:pStyle w:val="BodyText1"/>
        <w:spacing w:after="0" w:line="360" w:lineRule="auto"/>
        <w:jc w:val="both"/>
        <w:rPr>
          <w:rFonts w:ascii="Lato Light" w:hAnsi="Lato Light"/>
          <w:b/>
          <w:bCs/>
          <w:sz w:val="22"/>
          <w:szCs w:val="22"/>
        </w:rPr>
      </w:pPr>
      <w:r w:rsidRPr="006D06CC">
        <w:rPr>
          <w:b/>
          <w:bCs/>
        </w:rPr>
        <w:t>KPIs</w:t>
      </w:r>
    </w:p>
    <w:p w14:paraId="2BCFFEF6" w14:textId="25F44A7E" w:rsidR="00040750" w:rsidRDefault="00AB1DBD" w:rsidP="0012416B">
      <w:pPr>
        <w:pStyle w:val="BodyText1"/>
        <w:spacing w:after="0" w:line="360" w:lineRule="auto"/>
        <w:jc w:val="both"/>
      </w:pPr>
      <w:r w:rsidRPr="003E3D85">
        <w:t xml:space="preserve">Meeting </w:t>
      </w:r>
      <w:r w:rsidR="00E309E5" w:rsidRPr="003E3D85">
        <w:t xml:space="preserve">deadlines </w:t>
      </w:r>
      <w:r w:rsidR="00DF244D" w:rsidRPr="003E3D85">
        <w:t xml:space="preserve">and milestones </w:t>
      </w:r>
      <w:r w:rsidR="00E309E5" w:rsidRPr="003E3D85">
        <w:t xml:space="preserve">for the data collection, modelling, consultation and </w:t>
      </w:r>
      <w:r w:rsidR="00040750" w:rsidRPr="003E3D85">
        <w:t>final report stages of agreed project plans.</w:t>
      </w:r>
    </w:p>
    <w:p w14:paraId="0537ED9C" w14:textId="77777777" w:rsidR="00245E6F" w:rsidRDefault="00245E6F" w:rsidP="0012416B">
      <w:pPr>
        <w:pStyle w:val="BodyText1"/>
        <w:spacing w:after="0" w:line="360" w:lineRule="auto"/>
        <w:jc w:val="both"/>
        <w:rPr>
          <w:rFonts w:ascii="Lato Light" w:hAnsi="Lato Light"/>
          <w:sz w:val="22"/>
          <w:szCs w:val="22"/>
        </w:rPr>
      </w:pPr>
    </w:p>
    <w:p w14:paraId="06835259" w14:textId="5F6CADC3" w:rsidR="00EE0B68" w:rsidRDefault="00A84D9B" w:rsidP="0012416B">
      <w:pPr>
        <w:pStyle w:val="BodyText1"/>
        <w:spacing w:after="0" w:line="360" w:lineRule="auto"/>
        <w:jc w:val="both"/>
      </w:pPr>
      <w:r w:rsidRPr="003E3D85">
        <w:t xml:space="preserve">Accuracy </w:t>
      </w:r>
      <w:r w:rsidR="000C3285" w:rsidRPr="003E3D85">
        <w:t xml:space="preserve">of data input into modelling tools, </w:t>
      </w:r>
      <w:r w:rsidR="002D113A" w:rsidRPr="003E3D85">
        <w:t>output from the</w:t>
      </w:r>
      <w:r w:rsidR="000C3285" w:rsidRPr="003E3D85">
        <w:t xml:space="preserve"> </w:t>
      </w:r>
      <w:r w:rsidR="00EE0B68" w:rsidRPr="003E3D85">
        <w:t xml:space="preserve">modelling </w:t>
      </w:r>
      <w:r w:rsidR="002D113A" w:rsidRPr="003E3D85">
        <w:t>work</w:t>
      </w:r>
      <w:r w:rsidR="0015587B" w:rsidRPr="003E3D85">
        <w:t xml:space="preserve"> and final reports </w:t>
      </w:r>
      <w:r w:rsidR="00F14B99" w:rsidRPr="003E3D85">
        <w:t>issued to London CIV and/or Partner Funds</w:t>
      </w:r>
      <w:r w:rsidR="00EE0B68" w:rsidRPr="003E3D85">
        <w:t>.</w:t>
      </w:r>
    </w:p>
    <w:p w14:paraId="09D2B471" w14:textId="77777777" w:rsidR="00241147" w:rsidRDefault="00241147" w:rsidP="0012416B">
      <w:pPr>
        <w:pStyle w:val="BodyText1"/>
        <w:spacing w:after="0" w:line="360" w:lineRule="auto"/>
        <w:jc w:val="both"/>
        <w:rPr>
          <w:rFonts w:ascii="Lato Light" w:hAnsi="Lato Light"/>
          <w:sz w:val="22"/>
          <w:szCs w:val="22"/>
        </w:rPr>
      </w:pPr>
    </w:p>
    <w:p w14:paraId="2F5C36D1" w14:textId="0A069357" w:rsidR="00EE0B68" w:rsidRDefault="002E2C1C" w:rsidP="0012416B">
      <w:pPr>
        <w:pStyle w:val="BodyText1"/>
        <w:spacing w:after="0" w:line="360" w:lineRule="auto"/>
        <w:jc w:val="both"/>
      </w:pPr>
      <w:r w:rsidRPr="003E3D85">
        <w:lastRenderedPageBreak/>
        <w:t>Availab</w:t>
      </w:r>
      <w:r w:rsidR="009315B1" w:rsidRPr="003E3D85">
        <w:t>ility</w:t>
      </w:r>
      <w:r w:rsidRPr="003E3D85">
        <w:t xml:space="preserve"> of qualified personnel at all stages of project execution</w:t>
      </w:r>
      <w:r w:rsidR="009946AA" w:rsidRPr="003E3D85">
        <w:t xml:space="preserve">. This may </w:t>
      </w:r>
      <w:r w:rsidR="00365BEE" w:rsidRPr="003E3D85">
        <w:t>require</w:t>
      </w:r>
      <w:r w:rsidR="009946AA" w:rsidRPr="003E3D85">
        <w:t xml:space="preserve"> </w:t>
      </w:r>
      <w:r w:rsidR="00365BEE" w:rsidRPr="003E3D85">
        <w:t>direct interaction with Partner Funds or their appointed representatives</w:t>
      </w:r>
      <w:r w:rsidR="005E30DB" w:rsidRPr="003E3D85">
        <w:t>.</w:t>
      </w:r>
    </w:p>
    <w:p w14:paraId="4DD171CE" w14:textId="77777777" w:rsidR="00517E78" w:rsidRDefault="00517E78" w:rsidP="0012416B">
      <w:pPr>
        <w:pStyle w:val="BodyText1"/>
        <w:spacing w:after="0" w:line="360" w:lineRule="auto"/>
        <w:jc w:val="both"/>
        <w:rPr>
          <w:rFonts w:ascii="Lato Light" w:hAnsi="Lato Light"/>
          <w:sz w:val="22"/>
          <w:szCs w:val="22"/>
        </w:rPr>
      </w:pPr>
    </w:p>
    <w:p w14:paraId="22E50042" w14:textId="0C711C95" w:rsidR="004D2E5F" w:rsidRDefault="004D2E5F" w:rsidP="0012416B">
      <w:pPr>
        <w:pStyle w:val="BodyText1"/>
        <w:spacing w:after="0" w:line="360" w:lineRule="auto"/>
        <w:jc w:val="both"/>
      </w:pPr>
      <w:r w:rsidRPr="003E3D85">
        <w:t>Responsiveness of Supplier</w:t>
      </w:r>
      <w:r w:rsidR="00781572" w:rsidRPr="003E3D85">
        <w:t xml:space="preserve"> relationship managers to queries from London CIV.</w:t>
      </w:r>
    </w:p>
    <w:p w14:paraId="5AFBFF4D" w14:textId="77777777" w:rsidR="00E86E24" w:rsidRDefault="00E86E24" w:rsidP="0012416B">
      <w:pPr>
        <w:pStyle w:val="BodyText1"/>
        <w:spacing w:after="0" w:line="360" w:lineRule="auto"/>
        <w:jc w:val="both"/>
        <w:rPr>
          <w:rFonts w:ascii="Lato Light" w:hAnsi="Lato Light"/>
          <w:sz w:val="22"/>
          <w:szCs w:val="22"/>
        </w:rPr>
      </w:pPr>
    </w:p>
    <w:p w14:paraId="6155D009" w14:textId="0F66B8EC" w:rsidR="005E30DB" w:rsidRDefault="005E30DB" w:rsidP="0012416B">
      <w:pPr>
        <w:pStyle w:val="BodyText1"/>
        <w:spacing w:after="0" w:line="360" w:lineRule="auto"/>
        <w:jc w:val="both"/>
      </w:pPr>
      <w:r>
        <w:t xml:space="preserve">Quality and clarity of communication of </w:t>
      </w:r>
      <w:r w:rsidR="00E856AD">
        <w:t xml:space="preserve">modelling outputs and </w:t>
      </w:r>
      <w:r w:rsidR="00F14C16">
        <w:t>recommendations.</w:t>
      </w:r>
    </w:p>
    <w:p w14:paraId="490BEC06" w14:textId="77777777" w:rsidR="006D06CC" w:rsidRDefault="006D06CC" w:rsidP="0012416B">
      <w:pPr>
        <w:pStyle w:val="BodyText1"/>
        <w:spacing w:after="0" w:line="360" w:lineRule="auto"/>
        <w:jc w:val="both"/>
        <w:rPr>
          <w:rFonts w:ascii="Lato Light" w:hAnsi="Lato Light"/>
          <w:sz w:val="22"/>
          <w:szCs w:val="22"/>
        </w:rPr>
      </w:pPr>
    </w:p>
    <w:p w14:paraId="19397564" w14:textId="77777777" w:rsidR="006D06CC" w:rsidRPr="00A16989" w:rsidRDefault="006D06CC" w:rsidP="1E5B8944">
      <w:pPr>
        <w:pStyle w:val="BodyText1"/>
        <w:rPr>
          <w:rFonts w:cstheme="minorBidi"/>
          <w:b/>
          <w:bCs/>
        </w:rPr>
      </w:pPr>
      <w:r w:rsidRPr="1E5B8944">
        <w:rPr>
          <w:rFonts w:cstheme="minorBidi"/>
          <w:b/>
          <w:bCs/>
        </w:rPr>
        <w:t>Service Credits</w:t>
      </w:r>
    </w:p>
    <w:p w14:paraId="4C59335A" w14:textId="77777777" w:rsidR="006D06CC" w:rsidRPr="006D06CC" w:rsidRDefault="006D06CC" w:rsidP="006D06CC">
      <w:pPr>
        <w:pStyle w:val="BodyText1"/>
        <w:spacing w:after="0" w:line="360" w:lineRule="auto"/>
        <w:jc w:val="both"/>
      </w:pPr>
      <w:r>
        <w:t>In the event of poor performance in the delivery of the services, we anticipate that there will be financial penalties set for each project based on the fees agreed for that project</w:t>
      </w:r>
    </w:p>
    <w:p w14:paraId="7A1FBE82" w14:textId="77777777" w:rsidR="00AC169C" w:rsidRPr="00AC169C" w:rsidRDefault="00AC169C" w:rsidP="0012416B">
      <w:pPr>
        <w:pStyle w:val="BodyText1"/>
        <w:spacing w:after="0" w:line="360" w:lineRule="auto"/>
        <w:jc w:val="both"/>
      </w:pPr>
    </w:p>
    <w:p w14:paraId="56151748" w14:textId="77777777" w:rsidR="002147DD" w:rsidRPr="00170C6F" w:rsidRDefault="002147DD" w:rsidP="002147DD">
      <w:pPr>
        <w:pStyle w:val="BodyText1"/>
      </w:pPr>
    </w:p>
    <w:p w14:paraId="022B0E6F" w14:textId="77777777" w:rsidR="00DF644D" w:rsidRPr="002147DD" w:rsidRDefault="00DF644D" w:rsidP="00DF644D">
      <w:pPr>
        <w:pStyle w:val="Heading1"/>
        <w:numPr>
          <w:ilvl w:val="0"/>
          <w:numId w:val="0"/>
        </w:numPr>
      </w:pPr>
      <w:bookmarkStart w:id="27" w:name="_Toc193095879"/>
      <w:r>
        <w:lastRenderedPageBreak/>
        <w:t>Appendix D: The draft contract terms</w:t>
      </w:r>
      <w:bookmarkEnd w:id="27"/>
    </w:p>
    <w:p w14:paraId="477D1696" w14:textId="77777777" w:rsidR="002760DD" w:rsidRDefault="002760DD" w:rsidP="002760DD"/>
    <w:p w14:paraId="6301D49C" w14:textId="0B6E3239" w:rsidR="002760DD" w:rsidRPr="002760DD" w:rsidRDefault="002760DD" w:rsidP="003E3D85"/>
    <w:p w14:paraId="3FC33B91" w14:textId="77777777" w:rsidR="00DF644D" w:rsidRPr="002147DD" w:rsidRDefault="00DF644D" w:rsidP="00DF644D">
      <w:pPr>
        <w:pStyle w:val="Heading1"/>
        <w:numPr>
          <w:ilvl w:val="0"/>
          <w:numId w:val="0"/>
        </w:numPr>
      </w:pPr>
      <w:bookmarkStart w:id="28" w:name="_Toc193095880"/>
      <w:r>
        <w:lastRenderedPageBreak/>
        <w:t>Appendix E: Glossary</w:t>
      </w:r>
      <w:bookmarkEnd w:id="28"/>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119"/>
        <w:gridCol w:w="6519"/>
      </w:tblGrid>
      <w:tr w:rsidR="00AB450C" w:rsidRPr="00845A54" w14:paraId="037A1E3E" w14:textId="77777777" w:rsidTr="1E5B8944">
        <w:trPr>
          <w:tblHeader/>
        </w:trPr>
        <w:tc>
          <w:tcPr>
            <w:tcW w:w="3119" w:type="dxa"/>
            <w:shd w:val="clear" w:color="auto" w:fill="BEDDFF" w:themeFill="accent2" w:themeFillTint="33"/>
          </w:tcPr>
          <w:p w14:paraId="3FD10F5B" w14:textId="77777777" w:rsidR="00AB450C" w:rsidRPr="00845A54" w:rsidRDefault="00AB450C" w:rsidP="009E4F50">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Defined term</w:t>
            </w:r>
          </w:p>
        </w:tc>
        <w:tc>
          <w:tcPr>
            <w:tcW w:w="6519" w:type="dxa"/>
            <w:shd w:val="clear" w:color="auto" w:fill="BEDDFF" w:themeFill="accent2" w:themeFillTint="33"/>
          </w:tcPr>
          <w:p w14:paraId="5246DC31" w14:textId="77777777" w:rsidR="00AB450C" w:rsidRPr="00845A54" w:rsidRDefault="00AB450C" w:rsidP="009E4F50">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Definition</w:t>
            </w:r>
          </w:p>
        </w:tc>
      </w:tr>
      <w:tr w:rsidR="00AB450C" w:rsidRPr="0018563A" w14:paraId="07467181" w14:textId="77777777" w:rsidTr="1E5B8944">
        <w:tc>
          <w:tcPr>
            <w:tcW w:w="3119" w:type="dxa"/>
          </w:tcPr>
          <w:p w14:paraId="7EE6ED36" w14:textId="77777777" w:rsidR="00AB450C" w:rsidRPr="0018563A" w:rsidRDefault="00AB450C" w:rsidP="00AB450C">
            <w:pPr>
              <w:pStyle w:val="BodyText1"/>
              <w:spacing w:after="120"/>
            </w:pPr>
            <w:r w:rsidRPr="0041156C">
              <w:t>Act</w:t>
            </w:r>
          </w:p>
        </w:tc>
        <w:tc>
          <w:tcPr>
            <w:tcW w:w="6519" w:type="dxa"/>
          </w:tcPr>
          <w:p w14:paraId="7C2735C3" w14:textId="4E502852" w:rsidR="00AB450C" w:rsidRPr="0018563A" w:rsidRDefault="00092A59" w:rsidP="007925BC">
            <w:pPr>
              <w:pStyle w:val="BodyText1"/>
              <w:spacing w:after="120"/>
              <w:jc w:val="both"/>
            </w:pPr>
            <w:r>
              <w:t>means t</w:t>
            </w:r>
            <w:r w:rsidRPr="00CC010A">
              <w:t xml:space="preserve">he </w:t>
            </w:r>
            <w:r w:rsidR="00AB450C" w:rsidRPr="00CC010A">
              <w:t>Procurement Act 2023.</w:t>
            </w:r>
          </w:p>
        </w:tc>
      </w:tr>
      <w:tr w:rsidR="00AB450C" w:rsidRPr="0018563A" w14:paraId="1B41E898" w14:textId="77777777" w:rsidTr="1E5B8944">
        <w:tc>
          <w:tcPr>
            <w:tcW w:w="3119" w:type="dxa"/>
          </w:tcPr>
          <w:p w14:paraId="347D187D" w14:textId="77777777" w:rsidR="00AB450C" w:rsidRPr="0018563A" w:rsidRDefault="00AB450C" w:rsidP="00AB450C">
            <w:pPr>
              <w:pStyle w:val="BodyText1"/>
              <w:spacing w:after="0"/>
            </w:pPr>
            <w:r w:rsidRPr="0041156C">
              <w:t>Associated Suppliers</w:t>
            </w:r>
          </w:p>
        </w:tc>
        <w:tc>
          <w:tcPr>
            <w:tcW w:w="6519" w:type="dxa"/>
          </w:tcPr>
          <w:p w14:paraId="3E2136D9" w14:textId="7427BAC3" w:rsidR="00AB450C" w:rsidRPr="0018563A" w:rsidRDefault="00092A59" w:rsidP="007925BC">
            <w:pPr>
              <w:pStyle w:val="BodyText1"/>
              <w:spacing w:after="0"/>
              <w:jc w:val="both"/>
            </w:pPr>
            <w:r w:rsidRPr="00092A59">
              <w:t>means a Supplier who is associated with another Supplier if either (a) the Suppliers are submitting a tender together, or (b) the Authority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rsidR="00AB450C" w:rsidRPr="0018563A" w14:paraId="49BD949E" w14:textId="77777777" w:rsidTr="1E5B8944">
        <w:tc>
          <w:tcPr>
            <w:tcW w:w="3119" w:type="dxa"/>
          </w:tcPr>
          <w:p w14:paraId="4A84C6D1" w14:textId="77777777" w:rsidR="00AB450C" w:rsidRPr="0018563A" w:rsidRDefault="00AB450C" w:rsidP="00AB450C">
            <w:pPr>
              <w:pStyle w:val="BodyText1"/>
              <w:spacing w:after="0"/>
            </w:pPr>
            <w:r w:rsidRPr="0041156C">
              <w:t>Authority</w:t>
            </w:r>
          </w:p>
        </w:tc>
        <w:tc>
          <w:tcPr>
            <w:tcW w:w="6519" w:type="dxa"/>
          </w:tcPr>
          <w:p w14:paraId="62CC1139" w14:textId="5AAD1AEC" w:rsidR="00AB450C" w:rsidRPr="0018563A" w:rsidRDefault="00092A59" w:rsidP="007925BC">
            <w:pPr>
              <w:tabs>
                <w:tab w:val="left" w:pos="2751"/>
              </w:tabs>
              <w:ind w:left="57"/>
              <w:jc w:val="both"/>
            </w:pPr>
            <w:r>
              <w:t xml:space="preserve">means </w:t>
            </w:r>
            <w:r w:rsidR="0079134C">
              <w:t>London LGPS CIV Ltd</w:t>
            </w:r>
          </w:p>
        </w:tc>
      </w:tr>
      <w:tr w:rsidR="00AB450C" w:rsidRPr="0018563A" w14:paraId="6E334BA5" w14:textId="77777777" w:rsidTr="1E5B8944">
        <w:tc>
          <w:tcPr>
            <w:tcW w:w="3119" w:type="dxa"/>
          </w:tcPr>
          <w:p w14:paraId="08FB543C" w14:textId="77777777" w:rsidR="00AB450C" w:rsidRPr="0018563A" w:rsidRDefault="00AB450C" w:rsidP="00AB450C">
            <w:pPr>
              <w:pStyle w:val="BodyText1"/>
              <w:spacing w:after="0"/>
            </w:pPr>
            <w:r w:rsidRPr="0041156C">
              <w:t>Central Digital Platform</w:t>
            </w:r>
          </w:p>
        </w:tc>
        <w:tc>
          <w:tcPr>
            <w:tcW w:w="6519" w:type="dxa"/>
          </w:tcPr>
          <w:p w14:paraId="2CDB2550" w14:textId="3334B70A" w:rsidR="00AB450C" w:rsidRPr="0018563A" w:rsidRDefault="00092A59" w:rsidP="007925BC">
            <w:pPr>
              <w:tabs>
                <w:tab w:val="left" w:pos="2751"/>
              </w:tabs>
              <w:ind w:left="57"/>
              <w:jc w:val="both"/>
            </w:pPr>
            <w:r>
              <w:t>means t</w:t>
            </w:r>
            <w:r w:rsidRPr="00CC010A">
              <w:t xml:space="preserve">he </w:t>
            </w:r>
            <w:r w:rsidR="00AB450C" w:rsidRPr="00CC010A">
              <w:t>online system defined by regulation 5(2) of the Procurement Regulations 2024 (SI 2024 No. 692).</w:t>
            </w:r>
          </w:p>
        </w:tc>
      </w:tr>
      <w:tr w:rsidR="00AB450C" w:rsidRPr="0018563A" w14:paraId="49A6C540" w14:textId="77777777" w:rsidTr="1E5B8944">
        <w:tc>
          <w:tcPr>
            <w:tcW w:w="3119" w:type="dxa"/>
          </w:tcPr>
          <w:p w14:paraId="40E9F420" w14:textId="77777777" w:rsidR="00AB450C" w:rsidRPr="0018563A" w:rsidRDefault="00AB450C" w:rsidP="00AB450C">
            <w:pPr>
              <w:pStyle w:val="BodyText1"/>
              <w:spacing w:after="0"/>
            </w:pPr>
            <w:r w:rsidRPr="0041156C">
              <w:t>Competitive Flexible Procedure</w:t>
            </w:r>
          </w:p>
        </w:tc>
        <w:tc>
          <w:tcPr>
            <w:tcW w:w="6519" w:type="dxa"/>
          </w:tcPr>
          <w:p w14:paraId="6A473AC7" w14:textId="726EDB1D" w:rsidR="00AB450C" w:rsidRPr="0018563A" w:rsidRDefault="00CB75CC" w:rsidP="007925BC">
            <w:pPr>
              <w:tabs>
                <w:tab w:val="left" w:pos="2751"/>
              </w:tabs>
              <w:ind w:left="57"/>
              <w:jc w:val="both"/>
            </w:pPr>
            <w:r>
              <w:t>means</w:t>
            </w:r>
            <w:r w:rsidR="00092A59">
              <w:t xml:space="preserve"> t</w:t>
            </w:r>
            <w:r w:rsidR="00092A59" w:rsidRPr="00CC010A">
              <w:t xml:space="preserve">he </w:t>
            </w:r>
            <w:r w:rsidR="00AB450C" w:rsidRPr="00CC010A">
              <w:t>competitive flexible procedure as defined by section 20 of the Act.</w:t>
            </w:r>
          </w:p>
        </w:tc>
      </w:tr>
      <w:tr w:rsidR="00AB450C" w:rsidRPr="0018563A" w14:paraId="12514588" w14:textId="77777777" w:rsidTr="1E5B8944">
        <w:tc>
          <w:tcPr>
            <w:tcW w:w="3119" w:type="dxa"/>
          </w:tcPr>
          <w:p w14:paraId="1DEA03BD" w14:textId="77777777" w:rsidR="00AB450C" w:rsidRPr="0018563A" w:rsidRDefault="00AB450C" w:rsidP="00AB450C">
            <w:pPr>
              <w:pStyle w:val="BodyText1"/>
              <w:spacing w:after="0"/>
            </w:pPr>
            <w:r w:rsidRPr="0041156C">
              <w:t>Contract</w:t>
            </w:r>
          </w:p>
        </w:tc>
        <w:tc>
          <w:tcPr>
            <w:tcW w:w="6519" w:type="dxa"/>
          </w:tcPr>
          <w:p w14:paraId="359E3B2F" w14:textId="34F3A6B4" w:rsidR="00AB450C" w:rsidRPr="0018563A" w:rsidRDefault="00092A59" w:rsidP="007925BC">
            <w:pPr>
              <w:tabs>
                <w:tab w:val="left" w:pos="2751"/>
              </w:tabs>
              <w:ind w:left="57"/>
              <w:jc w:val="both"/>
            </w:pPr>
            <w:r>
              <w:t>means t</w:t>
            </w:r>
            <w:r w:rsidRPr="00CC010A">
              <w:t xml:space="preserve">he </w:t>
            </w:r>
            <w:r w:rsidR="00AB450C" w:rsidRPr="00CC010A">
              <w:t>contract to be entered into by the Authority with the successful Supplier.</w:t>
            </w:r>
          </w:p>
        </w:tc>
      </w:tr>
      <w:tr w:rsidR="00AB450C" w:rsidRPr="0018563A" w14:paraId="63F4883D" w14:textId="77777777" w:rsidTr="1E5B8944">
        <w:tc>
          <w:tcPr>
            <w:tcW w:w="3119" w:type="dxa"/>
          </w:tcPr>
          <w:p w14:paraId="52E52282" w14:textId="77777777" w:rsidR="00AB450C" w:rsidRPr="0018563A" w:rsidRDefault="00AB450C" w:rsidP="00AB450C">
            <w:pPr>
              <w:pStyle w:val="BodyText1"/>
              <w:spacing w:after="0"/>
            </w:pPr>
            <w:r w:rsidRPr="0041156C">
              <w:t>Key Performance Indicators or KPIs</w:t>
            </w:r>
          </w:p>
        </w:tc>
        <w:tc>
          <w:tcPr>
            <w:tcW w:w="6519" w:type="dxa"/>
          </w:tcPr>
          <w:p w14:paraId="3B69C698" w14:textId="43885AEC" w:rsidR="00AB450C" w:rsidRPr="0018563A" w:rsidRDefault="00CB75CC" w:rsidP="007925BC">
            <w:pPr>
              <w:tabs>
                <w:tab w:val="left" w:pos="2751"/>
              </w:tabs>
              <w:ind w:left="57"/>
              <w:jc w:val="both"/>
            </w:pPr>
            <w:r>
              <w:t>m</w:t>
            </w:r>
            <w:r w:rsidR="00092A59">
              <w:t>eans the</w:t>
            </w:r>
            <w:r w:rsidR="00AB450C" w:rsidRPr="00CC010A">
              <w:t xml:space="preserve"> key performance indicators (KPIs) set out in Appendix</w:t>
            </w:r>
            <w:r w:rsidR="00AB450C">
              <w:t> </w:t>
            </w:r>
            <w:r w:rsidR="00AB450C" w:rsidRPr="00CC010A">
              <w:t>C.</w:t>
            </w:r>
          </w:p>
        </w:tc>
      </w:tr>
      <w:tr w:rsidR="00AB450C" w:rsidRPr="0018563A" w14:paraId="4AF43C71" w14:textId="77777777" w:rsidTr="1E5B8944">
        <w:tc>
          <w:tcPr>
            <w:tcW w:w="3119" w:type="dxa"/>
          </w:tcPr>
          <w:p w14:paraId="371B6FE4" w14:textId="77777777" w:rsidR="00AB450C" w:rsidRPr="0018563A" w:rsidRDefault="00AB450C" w:rsidP="00AB450C">
            <w:pPr>
              <w:pStyle w:val="BodyText1"/>
              <w:spacing w:after="0"/>
            </w:pPr>
            <w:r w:rsidRPr="0041156C">
              <w:t>Portal</w:t>
            </w:r>
          </w:p>
        </w:tc>
        <w:tc>
          <w:tcPr>
            <w:tcW w:w="6519" w:type="dxa"/>
          </w:tcPr>
          <w:p w14:paraId="32A04E9A" w14:textId="68D6F904" w:rsidR="00AB450C" w:rsidRPr="0018563A" w:rsidRDefault="43DFC7D7" w:rsidP="006C2DAD">
            <w:pPr>
              <w:tabs>
                <w:tab w:val="left" w:pos="2751"/>
              </w:tabs>
              <w:spacing w:line="259" w:lineRule="auto"/>
              <w:ind w:left="57"/>
              <w:jc w:val="both"/>
            </w:pPr>
            <w:r>
              <w:t>London LGPS CIV Ltd does not currently operate a portal, all correspondence should be via email to procurement@londonciv.org.uk</w:t>
            </w:r>
          </w:p>
        </w:tc>
      </w:tr>
      <w:tr w:rsidR="00AB450C" w:rsidRPr="0018563A" w14:paraId="295BE2A8" w14:textId="77777777" w:rsidTr="1E5B8944">
        <w:tc>
          <w:tcPr>
            <w:tcW w:w="3119" w:type="dxa"/>
          </w:tcPr>
          <w:p w14:paraId="16BF945E" w14:textId="77777777" w:rsidR="00AB450C" w:rsidRPr="0018563A" w:rsidRDefault="00AB450C" w:rsidP="00AB450C">
            <w:pPr>
              <w:pStyle w:val="BodyText1"/>
              <w:spacing w:after="0"/>
            </w:pPr>
            <w:r w:rsidRPr="0041156C">
              <w:t>Procurement</w:t>
            </w:r>
          </w:p>
        </w:tc>
        <w:tc>
          <w:tcPr>
            <w:tcW w:w="6519" w:type="dxa"/>
          </w:tcPr>
          <w:p w14:paraId="4EABA168" w14:textId="77777777" w:rsidR="00AB450C" w:rsidRPr="0018563A" w:rsidRDefault="00AB450C" w:rsidP="007925BC">
            <w:pPr>
              <w:tabs>
                <w:tab w:val="left" w:pos="2751"/>
              </w:tabs>
              <w:ind w:left="57"/>
              <w:jc w:val="both"/>
            </w:pPr>
            <w:r w:rsidRPr="00CC010A">
              <w:t>This Competitive Flexible Procedure procurement process.</w:t>
            </w:r>
          </w:p>
        </w:tc>
      </w:tr>
      <w:tr w:rsidR="00AB450C" w:rsidRPr="0018563A" w14:paraId="3A3C67BD" w14:textId="77777777" w:rsidTr="1E5B8944">
        <w:tc>
          <w:tcPr>
            <w:tcW w:w="3119" w:type="dxa"/>
          </w:tcPr>
          <w:p w14:paraId="451312A2" w14:textId="77777777" w:rsidR="00AB450C" w:rsidRPr="0018563A" w:rsidRDefault="00AB450C" w:rsidP="00AB450C">
            <w:pPr>
              <w:pStyle w:val="BodyText1"/>
              <w:spacing w:after="0"/>
            </w:pPr>
            <w:r w:rsidRPr="0041156C">
              <w:t>Procurement Timetable</w:t>
            </w:r>
          </w:p>
        </w:tc>
        <w:tc>
          <w:tcPr>
            <w:tcW w:w="6519" w:type="dxa"/>
          </w:tcPr>
          <w:p w14:paraId="07BEB542" w14:textId="77777777" w:rsidR="00AB450C" w:rsidRPr="0018563A" w:rsidRDefault="00AB450C" w:rsidP="007925BC">
            <w:pPr>
              <w:tabs>
                <w:tab w:val="left" w:pos="2751"/>
              </w:tabs>
              <w:ind w:left="57"/>
              <w:jc w:val="both"/>
            </w:pPr>
            <w:r w:rsidRPr="00CC010A">
              <w:t>The timetable for this Procurement as set out in this document.</w:t>
            </w:r>
          </w:p>
        </w:tc>
      </w:tr>
      <w:tr w:rsidR="00AB450C" w:rsidRPr="0018563A" w14:paraId="16E17F3C" w14:textId="77777777" w:rsidTr="1E5B8944">
        <w:tc>
          <w:tcPr>
            <w:tcW w:w="3119" w:type="dxa"/>
          </w:tcPr>
          <w:p w14:paraId="3A64916E" w14:textId="77777777" w:rsidR="00AB450C" w:rsidRPr="0018563A" w:rsidRDefault="00AB450C" w:rsidP="00AB450C">
            <w:pPr>
              <w:pStyle w:val="BodyText1"/>
              <w:spacing w:after="0"/>
            </w:pPr>
            <w:r w:rsidRPr="0041156C">
              <w:t>Service Credits</w:t>
            </w:r>
          </w:p>
        </w:tc>
        <w:tc>
          <w:tcPr>
            <w:tcW w:w="6519" w:type="dxa"/>
          </w:tcPr>
          <w:p w14:paraId="3F2C05A6" w14:textId="0CF2E619" w:rsidR="00AB450C" w:rsidRPr="0018563A" w:rsidRDefault="00CB75CC" w:rsidP="007925BC">
            <w:pPr>
              <w:tabs>
                <w:tab w:val="left" w:pos="2751"/>
              </w:tabs>
              <w:ind w:left="57"/>
              <w:jc w:val="both"/>
            </w:pPr>
            <w:r>
              <w:t>m</w:t>
            </w:r>
            <w:r w:rsidR="00092A59">
              <w:t>eans t</w:t>
            </w:r>
            <w:r w:rsidR="00AB450C" w:rsidRPr="00CC010A">
              <w:t>he service credits set out in Appendix C.</w:t>
            </w:r>
          </w:p>
        </w:tc>
      </w:tr>
      <w:tr w:rsidR="00AB450C" w:rsidRPr="0018563A" w14:paraId="5C630B15" w14:textId="77777777" w:rsidTr="1E5B8944">
        <w:tc>
          <w:tcPr>
            <w:tcW w:w="3119" w:type="dxa"/>
          </w:tcPr>
          <w:p w14:paraId="63DAD0AD" w14:textId="77777777" w:rsidR="00AB450C" w:rsidRPr="0018563A" w:rsidRDefault="00AB450C" w:rsidP="00AB450C">
            <w:pPr>
              <w:pStyle w:val="BodyText1"/>
              <w:spacing w:after="0"/>
            </w:pPr>
            <w:r w:rsidRPr="0041156C">
              <w:t>Service Levels</w:t>
            </w:r>
          </w:p>
        </w:tc>
        <w:tc>
          <w:tcPr>
            <w:tcW w:w="6519" w:type="dxa"/>
          </w:tcPr>
          <w:p w14:paraId="5C84594F" w14:textId="6BCD6CDB" w:rsidR="00AB450C" w:rsidRPr="0018563A" w:rsidRDefault="00CB75CC" w:rsidP="007925BC">
            <w:pPr>
              <w:tabs>
                <w:tab w:val="left" w:pos="2751"/>
              </w:tabs>
              <w:ind w:left="57"/>
              <w:jc w:val="both"/>
            </w:pPr>
            <w:r>
              <w:t>m</w:t>
            </w:r>
            <w:r w:rsidR="00092A59">
              <w:t>ean</w:t>
            </w:r>
            <w:r>
              <w:t>s</w:t>
            </w:r>
            <w:r w:rsidR="00092A59">
              <w:t xml:space="preserve"> t</w:t>
            </w:r>
            <w:r w:rsidR="00AB450C" w:rsidRPr="00CC010A">
              <w:t>he service levels set out in</w:t>
            </w:r>
            <w:r w:rsidR="00092A59">
              <w:t xml:space="preserve"> Appendix C</w:t>
            </w:r>
            <w:r w:rsidR="00AB450C" w:rsidRPr="00CC010A">
              <w:t xml:space="preserve"> </w:t>
            </w:r>
          </w:p>
        </w:tc>
      </w:tr>
      <w:tr w:rsidR="00AB450C" w:rsidRPr="0018563A" w14:paraId="7D3D564C" w14:textId="77777777" w:rsidTr="1E5B8944">
        <w:tc>
          <w:tcPr>
            <w:tcW w:w="3119" w:type="dxa"/>
          </w:tcPr>
          <w:p w14:paraId="5EAD073C" w14:textId="77777777" w:rsidR="00AB450C" w:rsidRPr="0018563A" w:rsidRDefault="00AB450C" w:rsidP="00AB450C">
            <w:pPr>
              <w:pStyle w:val="BodyText1"/>
              <w:spacing w:after="0"/>
            </w:pPr>
            <w:r w:rsidRPr="0041156C">
              <w:t>Supplier or Suppliers</w:t>
            </w:r>
          </w:p>
        </w:tc>
        <w:tc>
          <w:tcPr>
            <w:tcW w:w="6519" w:type="dxa"/>
          </w:tcPr>
          <w:p w14:paraId="2EFB6423" w14:textId="5A865823" w:rsidR="00AB450C" w:rsidRPr="0018563A" w:rsidRDefault="00092A59" w:rsidP="007925BC">
            <w:pPr>
              <w:tabs>
                <w:tab w:val="left" w:pos="2751"/>
              </w:tabs>
              <w:ind w:left="57"/>
              <w:jc w:val="both"/>
            </w:pPr>
            <w:r w:rsidRPr="00092A59">
              <w:t>means a supplier or suppliers (as the case may be) participating in the Procurement</w:t>
            </w:r>
          </w:p>
        </w:tc>
      </w:tr>
      <w:tr w:rsidR="00AB450C" w:rsidRPr="0018563A" w14:paraId="12B31E07" w14:textId="77777777" w:rsidTr="1E5B8944">
        <w:tc>
          <w:tcPr>
            <w:tcW w:w="3119" w:type="dxa"/>
          </w:tcPr>
          <w:p w14:paraId="35249BAB" w14:textId="77777777" w:rsidR="00AB450C" w:rsidRPr="0018563A" w:rsidRDefault="00AB450C" w:rsidP="00AB450C">
            <w:pPr>
              <w:pStyle w:val="BodyText1"/>
              <w:spacing w:after="0"/>
            </w:pPr>
            <w:r w:rsidRPr="0041156C">
              <w:t>Tender Notice</w:t>
            </w:r>
          </w:p>
        </w:tc>
        <w:tc>
          <w:tcPr>
            <w:tcW w:w="6519" w:type="dxa"/>
          </w:tcPr>
          <w:p w14:paraId="5874C4EA" w14:textId="6EF00EC1" w:rsidR="00AB450C" w:rsidRPr="0018563A" w:rsidRDefault="00092A59" w:rsidP="007925BC">
            <w:pPr>
              <w:pStyle w:val="BodyText1"/>
              <w:spacing w:after="0"/>
              <w:jc w:val="both"/>
            </w:pPr>
            <w:r w:rsidRPr="00092A59">
              <w:t>means the tender notice with reference [insert reference] published on [insert date] on the Central Digital Platform</w:t>
            </w:r>
          </w:p>
        </w:tc>
      </w:tr>
    </w:tbl>
    <w:p w14:paraId="7C939DEC" w14:textId="77777777" w:rsidR="00DF644D" w:rsidRPr="00170C6F" w:rsidRDefault="00DF644D" w:rsidP="00AB450C">
      <w:pPr>
        <w:pStyle w:val="BodyText1"/>
      </w:pPr>
    </w:p>
    <w:p w14:paraId="461E6D75" w14:textId="77777777" w:rsidR="00DF644D" w:rsidRPr="002147DD" w:rsidRDefault="00DF644D" w:rsidP="00DF644D">
      <w:pPr>
        <w:pStyle w:val="Heading1"/>
        <w:numPr>
          <w:ilvl w:val="0"/>
          <w:numId w:val="0"/>
        </w:numPr>
      </w:pPr>
      <w:bookmarkStart w:id="29" w:name="_Toc193095881"/>
      <w:r>
        <w:lastRenderedPageBreak/>
        <w:t>Appendix F: Form of tender</w:t>
      </w:r>
      <w:bookmarkEnd w:id="29"/>
    </w:p>
    <w:p w14:paraId="1859EB9C" w14:textId="77777777" w:rsidR="00AB450C" w:rsidRDefault="00AB450C" w:rsidP="008150E4">
      <w:pPr>
        <w:pStyle w:val="BodyText1"/>
        <w:jc w:val="both"/>
      </w:pPr>
      <w:r>
        <w:t>Dear Sir or Madam</w:t>
      </w:r>
    </w:p>
    <w:p w14:paraId="4CB08BCC" w14:textId="77777777" w:rsidR="00AB450C" w:rsidRDefault="00AB450C" w:rsidP="008150E4">
      <w:pPr>
        <w:pStyle w:val="Heading2-NotToC"/>
        <w:jc w:val="both"/>
      </w:pPr>
      <w:r>
        <w:t xml:space="preserve">Form of tender </w:t>
      </w:r>
    </w:p>
    <w:p w14:paraId="2BEFFFEE" w14:textId="0BB4B941" w:rsidR="00AB450C" w:rsidRDefault="00AB450C" w:rsidP="008150E4">
      <w:pPr>
        <w:pStyle w:val="BodyText1"/>
        <w:jc w:val="both"/>
      </w:pPr>
      <w:r>
        <w:t xml:space="preserve">I/We, the undersigned, tender and offer to provide the </w:t>
      </w:r>
      <w:r w:rsidR="006461CC">
        <w:t>C</w:t>
      </w:r>
      <w:r>
        <w:t xml:space="preserve">ontract as listed below, which is more particularly referred to in the [invitation to submit final tenders] supplied to me/us for the purpose of tendering for the provision of the </w:t>
      </w:r>
      <w:r w:rsidR="006461CC">
        <w:t>C</w:t>
      </w:r>
      <w:r>
        <w:t xml:space="preserve">ontract and on the terms of the </w:t>
      </w:r>
      <w:r w:rsidR="006461CC">
        <w:t>draft C</w:t>
      </w:r>
      <w:r>
        <w:t>ontract.</w:t>
      </w:r>
    </w:p>
    <w:p w14:paraId="313A19BD" w14:textId="77777777" w:rsidR="00AB450C" w:rsidRDefault="00AB450C" w:rsidP="008150E4">
      <w:pPr>
        <w:pStyle w:val="BodyText1"/>
        <w:jc w:val="both"/>
      </w:pPr>
      <w:r>
        <w:t>Included within this document are the following:</w:t>
      </w:r>
    </w:p>
    <w:p w14:paraId="1CFA3E0E" w14:textId="77777777" w:rsidR="00DF644D" w:rsidRDefault="00AB450C" w:rsidP="008150E4">
      <w:pPr>
        <w:pStyle w:val="Heading2-NotToC"/>
        <w:jc w:val="both"/>
      </w:pPr>
      <w:r>
        <w:t>Checklist for tenderers</w:t>
      </w:r>
    </w:p>
    <w:p w14:paraId="472B631F" w14:textId="77777777" w:rsidR="001D5839" w:rsidRDefault="001D5839" w:rsidP="008150E4">
      <w:pPr>
        <w:pStyle w:val="BodyText1"/>
        <w:jc w:val="both"/>
      </w:pPr>
      <w:r>
        <w:t>List all documents to be submitted.</w:t>
      </w: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651"/>
        <w:gridCol w:w="6429"/>
        <w:gridCol w:w="284"/>
        <w:gridCol w:w="1274"/>
      </w:tblGrid>
      <w:tr w:rsidR="001D5839" w:rsidRPr="00845A54" w14:paraId="7BC492CE" w14:textId="77777777" w:rsidTr="001D5839">
        <w:trPr>
          <w:tblHeader/>
        </w:trPr>
        <w:tc>
          <w:tcPr>
            <w:tcW w:w="1651" w:type="dxa"/>
            <w:shd w:val="clear" w:color="auto" w:fill="BEDDFF"/>
            <w:vAlign w:val="bottom"/>
          </w:tcPr>
          <w:p w14:paraId="66867367" w14:textId="77777777" w:rsidR="001D5839" w:rsidRPr="00845A54" w:rsidRDefault="001D5839" w:rsidP="008150E4">
            <w:pPr>
              <w:pStyle w:val="BodyText1"/>
              <w:pBdr>
                <w:top w:val="none" w:sz="0" w:space="0" w:color="auto"/>
                <w:left w:val="none" w:sz="0" w:space="0" w:color="auto"/>
                <w:bottom w:val="none" w:sz="0" w:space="0" w:color="auto"/>
                <w:right w:val="none" w:sz="0" w:space="0" w:color="auto"/>
                <w:between w:val="none" w:sz="0" w:space="0" w:color="auto"/>
              </w:pBdr>
              <w:spacing w:after="0"/>
              <w:jc w:val="both"/>
              <w:rPr>
                <w:b/>
                <w:bCs/>
                <w:sz w:val="28"/>
                <w:szCs w:val="28"/>
              </w:rPr>
            </w:pPr>
            <w:r>
              <w:rPr>
                <w:b/>
                <w:bCs/>
                <w:sz w:val="28"/>
                <w:szCs w:val="28"/>
              </w:rPr>
              <w:t>Document number</w:t>
            </w:r>
          </w:p>
        </w:tc>
        <w:tc>
          <w:tcPr>
            <w:tcW w:w="6713" w:type="dxa"/>
            <w:gridSpan w:val="2"/>
            <w:shd w:val="clear" w:color="auto" w:fill="BEDDFF"/>
            <w:vAlign w:val="bottom"/>
          </w:tcPr>
          <w:p w14:paraId="4F0619C6" w14:textId="77777777" w:rsidR="001D5839" w:rsidRPr="00845A54" w:rsidRDefault="001D5839" w:rsidP="008150E4">
            <w:pPr>
              <w:pStyle w:val="BodyText1"/>
              <w:pBdr>
                <w:top w:val="none" w:sz="0" w:space="0" w:color="auto"/>
                <w:left w:val="none" w:sz="0" w:space="0" w:color="auto"/>
                <w:bottom w:val="none" w:sz="0" w:space="0" w:color="auto"/>
                <w:right w:val="none" w:sz="0" w:space="0" w:color="auto"/>
                <w:between w:val="none" w:sz="0" w:space="0" w:color="auto"/>
              </w:pBdr>
              <w:spacing w:after="0"/>
              <w:jc w:val="both"/>
              <w:rPr>
                <w:b/>
                <w:bCs/>
                <w:sz w:val="28"/>
                <w:szCs w:val="28"/>
              </w:rPr>
            </w:pPr>
            <w:r>
              <w:rPr>
                <w:b/>
                <w:bCs/>
                <w:sz w:val="28"/>
                <w:szCs w:val="28"/>
              </w:rPr>
              <w:t>Document name</w:t>
            </w:r>
          </w:p>
        </w:tc>
        <w:tc>
          <w:tcPr>
            <w:tcW w:w="1274" w:type="dxa"/>
            <w:shd w:val="clear" w:color="auto" w:fill="BEDDFF"/>
            <w:vAlign w:val="bottom"/>
          </w:tcPr>
          <w:p w14:paraId="3817953A" w14:textId="77777777" w:rsidR="001D5839" w:rsidRDefault="001D5839" w:rsidP="008150E4">
            <w:pPr>
              <w:pStyle w:val="BodyText1"/>
              <w:pBdr>
                <w:top w:val="none" w:sz="0" w:space="0" w:color="auto"/>
                <w:left w:val="none" w:sz="0" w:space="0" w:color="auto"/>
                <w:bottom w:val="none" w:sz="0" w:space="0" w:color="auto"/>
                <w:right w:val="none" w:sz="0" w:space="0" w:color="auto"/>
                <w:between w:val="none" w:sz="0" w:space="0" w:color="auto"/>
              </w:pBdr>
              <w:spacing w:after="0"/>
              <w:jc w:val="both"/>
              <w:rPr>
                <w:b/>
                <w:bCs/>
                <w:sz w:val="28"/>
                <w:szCs w:val="28"/>
              </w:rPr>
            </w:pPr>
            <w:r>
              <w:rPr>
                <w:b/>
                <w:bCs/>
                <w:sz w:val="28"/>
                <w:szCs w:val="28"/>
              </w:rPr>
              <w:t>Included (Y/N)</w:t>
            </w:r>
          </w:p>
        </w:tc>
      </w:tr>
      <w:tr w:rsidR="001D5839" w:rsidRPr="0018563A" w14:paraId="587BFC32" w14:textId="77777777" w:rsidTr="001D5839">
        <w:tc>
          <w:tcPr>
            <w:tcW w:w="1651" w:type="dxa"/>
          </w:tcPr>
          <w:p w14:paraId="3F40E6A4" w14:textId="77777777" w:rsidR="001D5839" w:rsidRPr="0018563A" w:rsidRDefault="001D5839" w:rsidP="008150E4">
            <w:pPr>
              <w:pStyle w:val="BodyText1"/>
              <w:spacing w:after="0"/>
              <w:jc w:val="both"/>
            </w:pPr>
          </w:p>
        </w:tc>
        <w:tc>
          <w:tcPr>
            <w:tcW w:w="6429" w:type="dxa"/>
          </w:tcPr>
          <w:p w14:paraId="37DCFA85" w14:textId="77777777" w:rsidR="001D5839" w:rsidRPr="0018563A" w:rsidRDefault="001D5839" w:rsidP="008150E4">
            <w:pPr>
              <w:pStyle w:val="BodyText1"/>
              <w:spacing w:after="0"/>
              <w:jc w:val="both"/>
            </w:pPr>
            <w:r w:rsidRPr="00F478C7">
              <w:t>Appendix G: Certificate of non-collusion and non-canvassing</w:t>
            </w:r>
          </w:p>
        </w:tc>
        <w:tc>
          <w:tcPr>
            <w:tcW w:w="1558" w:type="dxa"/>
            <w:gridSpan w:val="2"/>
          </w:tcPr>
          <w:p w14:paraId="33838B19" w14:textId="77777777" w:rsidR="001D5839" w:rsidRPr="00CC010A" w:rsidRDefault="001D5839" w:rsidP="008150E4">
            <w:pPr>
              <w:pStyle w:val="BodyText1"/>
              <w:spacing w:after="0"/>
              <w:jc w:val="both"/>
            </w:pPr>
          </w:p>
        </w:tc>
      </w:tr>
      <w:tr w:rsidR="001D5839" w:rsidRPr="0018563A" w14:paraId="4A4C83D8" w14:textId="77777777" w:rsidTr="001D5839">
        <w:tc>
          <w:tcPr>
            <w:tcW w:w="1651" w:type="dxa"/>
          </w:tcPr>
          <w:p w14:paraId="2786FA42" w14:textId="77777777" w:rsidR="001D5839" w:rsidRPr="0018563A" w:rsidRDefault="001D5839" w:rsidP="008150E4">
            <w:pPr>
              <w:pStyle w:val="BodyText1"/>
              <w:spacing w:after="0"/>
              <w:jc w:val="both"/>
            </w:pPr>
          </w:p>
        </w:tc>
        <w:tc>
          <w:tcPr>
            <w:tcW w:w="6429" w:type="dxa"/>
          </w:tcPr>
          <w:p w14:paraId="003B85A1" w14:textId="77777777" w:rsidR="001D5839" w:rsidRPr="0018563A" w:rsidRDefault="001D5839" w:rsidP="008150E4">
            <w:pPr>
              <w:pStyle w:val="BodyText1"/>
              <w:spacing w:after="0"/>
              <w:jc w:val="both"/>
            </w:pPr>
            <w:r w:rsidRPr="00F478C7">
              <w:t>Appendix F: Form of tender</w:t>
            </w:r>
          </w:p>
        </w:tc>
        <w:tc>
          <w:tcPr>
            <w:tcW w:w="1558" w:type="dxa"/>
            <w:gridSpan w:val="2"/>
          </w:tcPr>
          <w:p w14:paraId="06822831" w14:textId="77777777" w:rsidR="001D5839" w:rsidRPr="00CC010A" w:rsidRDefault="001D5839" w:rsidP="008150E4">
            <w:pPr>
              <w:pStyle w:val="BodyText1"/>
              <w:spacing w:after="0"/>
              <w:jc w:val="both"/>
            </w:pPr>
          </w:p>
        </w:tc>
      </w:tr>
      <w:tr w:rsidR="001D5839" w:rsidRPr="0018563A" w14:paraId="67E974DE" w14:textId="77777777" w:rsidTr="001D5839">
        <w:tc>
          <w:tcPr>
            <w:tcW w:w="1651" w:type="dxa"/>
          </w:tcPr>
          <w:p w14:paraId="746AC57A" w14:textId="77777777" w:rsidR="001D5839" w:rsidRPr="0018563A" w:rsidRDefault="001D5839" w:rsidP="008150E4">
            <w:pPr>
              <w:pStyle w:val="BodyText1"/>
              <w:spacing w:after="0"/>
              <w:jc w:val="both"/>
            </w:pPr>
          </w:p>
        </w:tc>
        <w:tc>
          <w:tcPr>
            <w:tcW w:w="6429" w:type="dxa"/>
          </w:tcPr>
          <w:p w14:paraId="3F26C25F" w14:textId="77777777" w:rsidR="001D5839" w:rsidRPr="0018563A" w:rsidRDefault="001D5839" w:rsidP="008150E4">
            <w:pPr>
              <w:tabs>
                <w:tab w:val="left" w:pos="2751"/>
              </w:tabs>
              <w:ind w:left="57"/>
              <w:jc w:val="both"/>
            </w:pPr>
            <w:r w:rsidRPr="00F478C7">
              <w:t>Appendix H: Commercially sensitive information</w:t>
            </w:r>
          </w:p>
        </w:tc>
        <w:tc>
          <w:tcPr>
            <w:tcW w:w="1558" w:type="dxa"/>
            <w:gridSpan w:val="2"/>
          </w:tcPr>
          <w:p w14:paraId="4CFB8350" w14:textId="77777777" w:rsidR="001D5839" w:rsidRPr="00CC010A" w:rsidRDefault="001D5839" w:rsidP="008150E4">
            <w:pPr>
              <w:tabs>
                <w:tab w:val="left" w:pos="2751"/>
              </w:tabs>
              <w:ind w:left="57"/>
              <w:jc w:val="both"/>
            </w:pPr>
          </w:p>
        </w:tc>
      </w:tr>
      <w:tr w:rsidR="001D5839" w:rsidRPr="0018563A" w14:paraId="21ED4D9C" w14:textId="77777777" w:rsidTr="001D5839">
        <w:tc>
          <w:tcPr>
            <w:tcW w:w="1651" w:type="dxa"/>
          </w:tcPr>
          <w:p w14:paraId="02355C91" w14:textId="77777777" w:rsidR="001D5839" w:rsidRPr="0018563A" w:rsidRDefault="001D5839" w:rsidP="008150E4">
            <w:pPr>
              <w:pStyle w:val="BodyText1"/>
              <w:spacing w:after="0"/>
              <w:jc w:val="both"/>
            </w:pPr>
          </w:p>
        </w:tc>
        <w:tc>
          <w:tcPr>
            <w:tcW w:w="6429" w:type="dxa"/>
          </w:tcPr>
          <w:p w14:paraId="542CDA13" w14:textId="77777777" w:rsidR="001D5839" w:rsidRPr="0018563A" w:rsidRDefault="001D5839" w:rsidP="008150E4">
            <w:pPr>
              <w:tabs>
                <w:tab w:val="left" w:pos="2751"/>
              </w:tabs>
              <w:ind w:left="57"/>
              <w:jc w:val="both"/>
            </w:pPr>
          </w:p>
        </w:tc>
        <w:tc>
          <w:tcPr>
            <w:tcW w:w="1558" w:type="dxa"/>
            <w:gridSpan w:val="2"/>
          </w:tcPr>
          <w:p w14:paraId="57B6FBF8" w14:textId="77777777" w:rsidR="001D5839" w:rsidRPr="00CC010A" w:rsidRDefault="001D5839" w:rsidP="008150E4">
            <w:pPr>
              <w:tabs>
                <w:tab w:val="left" w:pos="2751"/>
              </w:tabs>
              <w:ind w:left="57"/>
              <w:jc w:val="both"/>
            </w:pPr>
          </w:p>
        </w:tc>
      </w:tr>
      <w:tr w:rsidR="001D5839" w:rsidRPr="0018563A" w14:paraId="37848C2F" w14:textId="77777777" w:rsidTr="001D5839">
        <w:tc>
          <w:tcPr>
            <w:tcW w:w="1651" w:type="dxa"/>
          </w:tcPr>
          <w:p w14:paraId="27C71E75" w14:textId="77777777" w:rsidR="001D5839" w:rsidRPr="0018563A" w:rsidRDefault="001D5839" w:rsidP="008150E4">
            <w:pPr>
              <w:pStyle w:val="BodyText1"/>
              <w:spacing w:after="0"/>
              <w:jc w:val="both"/>
            </w:pPr>
          </w:p>
        </w:tc>
        <w:tc>
          <w:tcPr>
            <w:tcW w:w="6429" w:type="dxa"/>
          </w:tcPr>
          <w:p w14:paraId="1CE83E9B" w14:textId="77777777" w:rsidR="001D5839" w:rsidRPr="0018563A" w:rsidRDefault="001D5839" w:rsidP="008150E4">
            <w:pPr>
              <w:tabs>
                <w:tab w:val="left" w:pos="2751"/>
              </w:tabs>
              <w:ind w:left="57"/>
              <w:jc w:val="both"/>
            </w:pPr>
          </w:p>
        </w:tc>
        <w:tc>
          <w:tcPr>
            <w:tcW w:w="1558" w:type="dxa"/>
            <w:gridSpan w:val="2"/>
          </w:tcPr>
          <w:p w14:paraId="14B67A75" w14:textId="77777777" w:rsidR="001D5839" w:rsidRPr="00CC010A" w:rsidRDefault="001D5839" w:rsidP="008150E4">
            <w:pPr>
              <w:tabs>
                <w:tab w:val="left" w:pos="2751"/>
              </w:tabs>
              <w:ind w:left="57"/>
              <w:jc w:val="both"/>
            </w:pPr>
          </w:p>
        </w:tc>
      </w:tr>
    </w:tbl>
    <w:p w14:paraId="7302AAF5" w14:textId="77777777" w:rsidR="00AB450C" w:rsidRDefault="00AB450C" w:rsidP="008150E4">
      <w:pPr>
        <w:pStyle w:val="BodyText1"/>
        <w:jc w:val="both"/>
      </w:pPr>
    </w:p>
    <w:p w14:paraId="48656892" w14:textId="77777777" w:rsidR="00AB450C" w:rsidRDefault="00AB450C" w:rsidP="008150E4">
      <w:pPr>
        <w:pStyle w:val="BodyText1"/>
        <w:jc w:val="both"/>
      </w:pPr>
      <w:r w:rsidRPr="00AB450C">
        <w:rPr>
          <w:b/>
          <w:bCs/>
        </w:rPr>
        <w:t>Note:</w:t>
      </w:r>
      <w:r>
        <w:t xml:space="preserve"> If Suppliers do not provide all of the items in the checklist, this may result in the response being treated as non-compliant and therefore rejected.</w:t>
      </w:r>
    </w:p>
    <w:p w14:paraId="756994B5" w14:textId="77777777" w:rsidR="00AB450C" w:rsidRDefault="00AB450C" w:rsidP="008150E4">
      <w:pPr>
        <w:pStyle w:val="BodyText1"/>
        <w:jc w:val="both"/>
      </w:pPr>
      <w:r>
        <w:t>[I/We confirm that I/we can supply the contract as specified in our response to the [invitation to submit final tenders] and in accordance with the financial model response submitted.]</w:t>
      </w:r>
    </w:p>
    <w:p w14:paraId="6E7AE4A1" w14:textId="2F3397B4" w:rsidR="00AB450C" w:rsidRDefault="00AB450C" w:rsidP="008150E4">
      <w:pPr>
        <w:pStyle w:val="BodyText1"/>
        <w:jc w:val="both"/>
      </w:pPr>
      <w:r>
        <w:t xml:space="preserve">[I/We confirm that we accept the </w:t>
      </w:r>
      <w:r w:rsidR="00092A59">
        <w:t xml:space="preserve">terms of the draft </w:t>
      </w:r>
      <w:r w:rsidR="006461CC">
        <w:t>C</w:t>
      </w:r>
      <w:r>
        <w:t>ontract as issued with the Invitation to submit final tenders.]</w:t>
      </w:r>
    </w:p>
    <w:p w14:paraId="7BA1DE82" w14:textId="77777777" w:rsidR="00AB450C" w:rsidRDefault="00AB450C" w:rsidP="008150E4">
      <w:pPr>
        <w:pStyle w:val="BodyText1"/>
        <w:jc w:val="both"/>
      </w:pPr>
      <w:r>
        <w:t>I/We understand that the Authority reserves the right to accept or refuse this [final tender] in accordance with the Procurement Act 2023 and/or the [invitation to submit final tenders].</w:t>
      </w:r>
    </w:p>
    <w:p w14:paraId="0BE22255" w14:textId="77777777" w:rsidR="00AB450C" w:rsidRDefault="00AB450C" w:rsidP="008150E4">
      <w:pPr>
        <w:pStyle w:val="BodyText1"/>
        <w:jc w:val="both"/>
      </w:pPr>
      <w:r>
        <w:t>I/We confirm that all information supplied to the Authority and forming part of this [final tender] and any previous submissions is true and accurate.</w:t>
      </w:r>
    </w:p>
    <w:p w14:paraId="7D4BC927" w14:textId="77777777" w:rsidR="00AB450C" w:rsidRDefault="00AB450C" w:rsidP="008150E4">
      <w:pPr>
        <w:pStyle w:val="BodyText1"/>
        <w:keepNext/>
        <w:keepLines/>
        <w:jc w:val="both"/>
      </w:pPr>
      <w:r>
        <w:t>I/We confirm that the Supplier, together with all Associated Suppliers:</w:t>
      </w:r>
    </w:p>
    <w:p w14:paraId="5F70D8CC" w14:textId="77777777" w:rsidR="00AB450C" w:rsidRDefault="00AB450C" w:rsidP="008150E4">
      <w:pPr>
        <w:pStyle w:val="BodyText1"/>
        <w:ind w:left="680" w:hanging="340"/>
        <w:jc w:val="both"/>
      </w:pPr>
      <w:r>
        <w:t>•</w:t>
      </w:r>
      <w:r>
        <w:tab/>
        <w:t>are registered on the Central Digital Platform</w:t>
      </w:r>
    </w:p>
    <w:p w14:paraId="0739FF14" w14:textId="77777777" w:rsidR="00AB450C" w:rsidRDefault="00AB450C" w:rsidP="008150E4">
      <w:pPr>
        <w:pStyle w:val="BodyText1"/>
        <w:ind w:left="680" w:hanging="340"/>
        <w:jc w:val="both"/>
      </w:pPr>
      <w:r>
        <w:lastRenderedPageBreak/>
        <w:t>•</w:t>
      </w:r>
      <w:r>
        <w:tab/>
        <w:t>have ensured their information contained on the Central Digital Platform is true and accurate</w:t>
      </w:r>
      <w:r w:rsidR="003F6CC0">
        <w:t xml:space="preserve"> </w:t>
      </w:r>
    </w:p>
    <w:p w14:paraId="56FB4422" w14:textId="77777777" w:rsidR="00AB450C" w:rsidRDefault="00AB450C" w:rsidP="008150E4">
      <w:pPr>
        <w:pStyle w:val="BodyText1"/>
        <w:jc w:val="both"/>
      </w:pPr>
      <w:r>
        <w:t xml:space="preserve">I/We confirm and undertake that if any of such information becomes untrue or misleading that I/we shall notify the Authority immediately and update such information should this be required. </w:t>
      </w:r>
    </w:p>
    <w:p w14:paraId="478A7739" w14:textId="1BCA6DBE" w:rsidR="00092A59" w:rsidRDefault="00AB450C" w:rsidP="008150E4">
      <w:pPr>
        <w:pStyle w:val="BodyText1"/>
        <w:jc w:val="both"/>
      </w:pPr>
      <w:r>
        <w:t xml:space="preserve">I/We confirm that this [final tender] will remain valid for </w:t>
      </w:r>
      <w:r w:rsidR="27DAA00D">
        <w:t>120 days</w:t>
      </w:r>
      <w:r>
        <w:t xml:space="preserve"> from the date of this form of tender</w:t>
      </w:r>
      <w:r w:rsidR="00092A59">
        <w:t xml:space="preserve"> or until any procurement challenge/s have been resolved. </w:t>
      </w:r>
    </w:p>
    <w:p w14:paraId="2396F0C0" w14:textId="5CF3ABD3" w:rsidR="00AB450C" w:rsidRDefault="00AB450C" w:rsidP="008150E4">
      <w:pPr>
        <w:pStyle w:val="BodyText1"/>
        <w:jc w:val="both"/>
        <w:rPr>
          <w:highlight w:val="yellow"/>
        </w:rPr>
      </w:pPr>
      <w:r>
        <w:t xml:space="preserve">I/We confirm that I/we are authorised to commit the Supplier to the contractual obligations contained in the [invitation to submit final tenders] and the </w:t>
      </w:r>
      <w:r w:rsidR="006461CC">
        <w:t>draft C</w:t>
      </w:r>
      <w:r>
        <w:t>ontract.</w:t>
      </w:r>
    </w:p>
    <w:p w14:paraId="709EB8A9" w14:textId="77777777" w:rsidR="00AB450C" w:rsidRDefault="00AB450C" w:rsidP="008150E4">
      <w:pPr>
        <w:pStyle w:val="BodyText1"/>
        <w:jc w:val="both"/>
      </w:pPr>
      <w:r>
        <w:t>I/We understand that non-compliance with the requirements of the [invitation to submit final tenders] or with any other instructions given by the Authority may lead to me/us being excluded by the Authority from (further) participation in the Procurement.</w:t>
      </w:r>
    </w:p>
    <w:p w14:paraId="141F189B" w14:textId="77777777" w:rsidR="00AB450C" w:rsidRDefault="00AB450C" w:rsidP="008150E4">
      <w:pPr>
        <w:pStyle w:val="BodyText1"/>
        <w:jc w:val="both"/>
      </w:pPr>
      <w:r>
        <w:t>I/We agree that the Authority may disclose the Supplier’s information/documentation (submitted to the Authority during this Procurement) more widely within government for the purpose of ensuring effective cross-government procurement processes, including value for money and related purposes.</w:t>
      </w:r>
    </w:p>
    <w:p w14:paraId="07FFAF14" w14:textId="77777777" w:rsidR="003B534A" w:rsidRDefault="003B534A" w:rsidP="008150E4">
      <w:pPr>
        <w:tabs>
          <w:tab w:val="left" w:pos="2751"/>
        </w:tabs>
        <w:ind w:left="57"/>
        <w:jc w:val="both"/>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14:paraId="615259BE" w14:textId="77777777" w:rsidTr="009E4F50">
        <w:trPr>
          <w:cantSplit/>
        </w:trPr>
        <w:tc>
          <w:tcPr>
            <w:tcW w:w="2410" w:type="dxa"/>
            <w:tcBorders>
              <w:right w:val="single" w:sz="4" w:space="0" w:color="auto"/>
            </w:tcBorders>
            <w:shd w:val="clear" w:color="auto" w:fill="auto"/>
            <w:tcMar>
              <w:left w:w="0" w:type="dxa"/>
            </w:tcMar>
          </w:tcPr>
          <w:p w14:paraId="76EC51A7" w14:textId="77777777" w:rsidR="003B534A" w:rsidRPr="008F2D44" w:rsidRDefault="003B534A" w:rsidP="008150E4">
            <w:pPr>
              <w:jc w:val="both"/>
              <w:rPr>
                <w:b/>
                <w:bCs/>
              </w:rPr>
            </w:pPr>
            <w:r>
              <w:rPr>
                <w:b/>
              </w:rPr>
              <w:br/>
              <w:t>Signature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3056721" w14:textId="77777777" w:rsidR="003B534A" w:rsidRDefault="003B534A" w:rsidP="008150E4">
            <w:pPr>
              <w:jc w:val="both"/>
              <w:rPr>
                <w:color w:val="000000"/>
              </w:rPr>
            </w:pPr>
          </w:p>
        </w:tc>
      </w:tr>
    </w:tbl>
    <w:p w14:paraId="2F49B86C" w14:textId="77777777" w:rsidR="003B534A" w:rsidRDefault="003B534A" w:rsidP="008150E4">
      <w:pPr>
        <w:tabs>
          <w:tab w:val="left" w:pos="2751"/>
        </w:tabs>
        <w:ind w:left="57"/>
        <w:jc w:val="both"/>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14:paraId="5DCA67BA" w14:textId="77777777" w:rsidTr="009E4F50">
        <w:trPr>
          <w:cantSplit/>
        </w:trPr>
        <w:tc>
          <w:tcPr>
            <w:tcW w:w="2410" w:type="dxa"/>
            <w:tcBorders>
              <w:right w:val="single" w:sz="4" w:space="0" w:color="auto"/>
            </w:tcBorders>
            <w:shd w:val="clear" w:color="auto" w:fill="auto"/>
            <w:tcMar>
              <w:left w:w="0" w:type="dxa"/>
            </w:tcMar>
          </w:tcPr>
          <w:p w14:paraId="3A34DE60" w14:textId="77777777" w:rsidR="003B534A" w:rsidRPr="008F2D44" w:rsidRDefault="003B534A" w:rsidP="008150E4">
            <w:pPr>
              <w:jc w:val="both"/>
              <w:rPr>
                <w:b/>
                <w:bCs/>
              </w:rPr>
            </w:pPr>
            <w:r>
              <w:rPr>
                <w:b/>
              </w:rPr>
              <w:t>Name (print)</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1943EC3C" w14:textId="77777777" w:rsidR="003B534A" w:rsidRDefault="003B534A" w:rsidP="008150E4">
            <w:pPr>
              <w:jc w:val="both"/>
              <w:rPr>
                <w:color w:val="000000"/>
              </w:rPr>
            </w:pPr>
          </w:p>
        </w:tc>
      </w:tr>
    </w:tbl>
    <w:p w14:paraId="38FA31AC" w14:textId="77777777" w:rsidR="003B534A" w:rsidRDefault="003B534A" w:rsidP="008150E4">
      <w:pPr>
        <w:tabs>
          <w:tab w:val="left" w:pos="2751"/>
        </w:tabs>
        <w:ind w:left="57"/>
        <w:jc w:val="both"/>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14:paraId="15D06D8B" w14:textId="77777777" w:rsidTr="009E4F50">
        <w:trPr>
          <w:cantSplit/>
          <w:trHeight w:val="23"/>
        </w:trPr>
        <w:tc>
          <w:tcPr>
            <w:tcW w:w="2410" w:type="dxa"/>
            <w:tcBorders>
              <w:right w:val="single" w:sz="4" w:space="0" w:color="auto"/>
            </w:tcBorders>
            <w:shd w:val="clear" w:color="auto" w:fill="auto"/>
            <w:tcMar>
              <w:left w:w="0" w:type="dxa"/>
            </w:tcMar>
          </w:tcPr>
          <w:p w14:paraId="71506AEC" w14:textId="77777777" w:rsidR="003B534A" w:rsidRPr="008F2D44" w:rsidRDefault="003B534A" w:rsidP="008150E4">
            <w:pPr>
              <w:jc w:val="both"/>
              <w:rPr>
                <w:b/>
                <w:bCs/>
              </w:rPr>
            </w:pPr>
            <w:r>
              <w:rPr>
                <w:b/>
              </w:rPr>
              <w:t>Position</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522DEF7" w14:textId="77777777" w:rsidR="003B534A" w:rsidRDefault="003B534A" w:rsidP="008150E4">
            <w:pPr>
              <w:jc w:val="both"/>
              <w:rPr>
                <w:color w:val="000000"/>
              </w:rPr>
            </w:pPr>
          </w:p>
        </w:tc>
      </w:tr>
    </w:tbl>
    <w:p w14:paraId="78072FBB" w14:textId="77777777" w:rsidR="003B534A" w:rsidRDefault="003B534A" w:rsidP="008150E4">
      <w:pPr>
        <w:tabs>
          <w:tab w:val="left" w:pos="2751"/>
        </w:tabs>
        <w:ind w:left="57"/>
        <w:jc w:val="both"/>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14:paraId="230B0048" w14:textId="77777777" w:rsidTr="009E4F50">
        <w:trPr>
          <w:cantSplit/>
        </w:trPr>
        <w:tc>
          <w:tcPr>
            <w:tcW w:w="2410" w:type="dxa"/>
            <w:tcBorders>
              <w:right w:val="single" w:sz="4" w:space="0" w:color="auto"/>
            </w:tcBorders>
            <w:shd w:val="clear" w:color="auto" w:fill="auto"/>
            <w:tcMar>
              <w:left w:w="0" w:type="dxa"/>
            </w:tcMar>
          </w:tcPr>
          <w:p w14:paraId="46BF08A7" w14:textId="77777777" w:rsidR="003B534A" w:rsidRPr="008F2D44" w:rsidRDefault="003B534A" w:rsidP="008150E4">
            <w:pPr>
              <w:jc w:val="both"/>
              <w:rPr>
                <w:b/>
                <w:bCs/>
              </w:rPr>
            </w:pPr>
            <w:r>
              <w:rPr>
                <w:b/>
              </w:rPr>
              <w:t>Supplier 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9BBC1EA" w14:textId="77777777" w:rsidR="003B534A" w:rsidRDefault="003B534A" w:rsidP="008150E4">
            <w:pPr>
              <w:jc w:val="both"/>
              <w:rPr>
                <w:color w:val="000000"/>
              </w:rPr>
            </w:pPr>
          </w:p>
        </w:tc>
      </w:tr>
    </w:tbl>
    <w:p w14:paraId="78168E90" w14:textId="77777777" w:rsidR="003B534A" w:rsidRDefault="003B534A" w:rsidP="008150E4">
      <w:pPr>
        <w:tabs>
          <w:tab w:val="left" w:pos="2751"/>
        </w:tabs>
        <w:ind w:left="57"/>
        <w:jc w:val="both"/>
        <w:rPr>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3B534A" w14:paraId="4EA90D97" w14:textId="77777777" w:rsidTr="003B534A">
        <w:trPr>
          <w:cantSplit/>
        </w:trPr>
        <w:tc>
          <w:tcPr>
            <w:tcW w:w="2410" w:type="dxa"/>
            <w:tcBorders>
              <w:right w:val="single" w:sz="4" w:space="0" w:color="auto"/>
            </w:tcBorders>
            <w:shd w:val="clear" w:color="auto" w:fill="auto"/>
            <w:tcMar>
              <w:left w:w="0" w:type="dxa"/>
            </w:tcMar>
          </w:tcPr>
          <w:p w14:paraId="1468244C" w14:textId="77777777" w:rsidR="003B534A" w:rsidRPr="008F2D44" w:rsidRDefault="003B534A" w:rsidP="008150E4">
            <w:pPr>
              <w:jc w:val="both"/>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A45465B" w14:textId="77777777" w:rsidR="003B534A" w:rsidRDefault="003B534A" w:rsidP="008150E4">
            <w:pPr>
              <w:jc w:val="both"/>
              <w:rPr>
                <w:color w:val="000000"/>
              </w:rPr>
            </w:pPr>
          </w:p>
        </w:tc>
      </w:tr>
    </w:tbl>
    <w:p w14:paraId="467B2F59" w14:textId="77777777" w:rsidR="003B534A" w:rsidRDefault="003B534A" w:rsidP="008150E4">
      <w:pPr>
        <w:tabs>
          <w:tab w:val="left" w:pos="2751"/>
        </w:tabs>
        <w:ind w:left="57"/>
        <w:jc w:val="both"/>
        <w:rPr>
          <w:color w:val="000000"/>
        </w:rPr>
      </w:pPr>
    </w:p>
    <w:p w14:paraId="7ED44CD5" w14:textId="77777777" w:rsidR="00DF644D" w:rsidRPr="002147DD" w:rsidRDefault="00DF644D" w:rsidP="00DF644D">
      <w:pPr>
        <w:pStyle w:val="Heading1"/>
        <w:numPr>
          <w:ilvl w:val="0"/>
          <w:numId w:val="0"/>
        </w:numPr>
      </w:pPr>
      <w:bookmarkStart w:id="30" w:name="_Toc193095882"/>
      <w:r>
        <w:lastRenderedPageBreak/>
        <w:t>Appendix G: Certificate of non-collusion and non-canvassing</w:t>
      </w:r>
      <w:bookmarkEnd w:id="30"/>
    </w:p>
    <w:p w14:paraId="31948FF9" w14:textId="77777777" w:rsidR="00BE665B" w:rsidRDefault="00BE665B" w:rsidP="00BE665B">
      <w:pPr>
        <w:pStyle w:val="Heading2-NotToC"/>
      </w:pPr>
      <w:r>
        <w:t>Statement of non-canvassing</w:t>
      </w:r>
    </w:p>
    <w:p w14:paraId="2B642265" w14:textId="77777777" w:rsidR="00BE665B" w:rsidRDefault="00BE665B" w:rsidP="00CC509E">
      <w:pPr>
        <w:pStyle w:val="BodyText1"/>
        <w:jc w:val="both"/>
      </w:pPr>
      <w:r>
        <w:t>I/we hereby certify that I/we have not canvassed any minister, official, representative or adviser of the Authority in connection with this Procurement and the proposed award of the contract by the Authority, and that no person employed by me/us or acting on my/our behalf, or advising me/us, has done any such act. I/we agree that the Authority may, in consideration of our tender, and in any subsequent actions, rely on the statements made in this certificate.</w:t>
      </w:r>
    </w:p>
    <w:p w14:paraId="3B88357D" w14:textId="77777777" w:rsidR="00BE665B" w:rsidRDefault="00BE665B" w:rsidP="00CC509E">
      <w:pPr>
        <w:pStyle w:val="BodyText1"/>
        <w:jc w:val="both"/>
      </w:pPr>
      <w:r>
        <w:t>I/we further hereby undertake that I/we will not canvass any minister, official, representative or adviser of the Authority in connection with the Procurement and/or award of the contract and that no person employed by me/us or acting on my/our behalf, or advising me/us, will do any such act.</w:t>
      </w:r>
    </w:p>
    <w:p w14:paraId="7378CA1C" w14:textId="77777777" w:rsidR="00BE665B" w:rsidRDefault="00BE665B" w:rsidP="00CC509E">
      <w:pPr>
        <w:pStyle w:val="Heading2-NotToC"/>
        <w:jc w:val="both"/>
      </w:pPr>
      <w:r>
        <w:t>Statement of non-collusion</w:t>
      </w:r>
    </w:p>
    <w:p w14:paraId="7BEE7BDF" w14:textId="77777777" w:rsidR="00BE665B" w:rsidRDefault="00BE665B" w:rsidP="00CC509E">
      <w:pPr>
        <w:pStyle w:val="BodyText1"/>
        <w:jc w:val="both"/>
      </w:pPr>
      <w:r>
        <w:t>The Authority must receive bona fide competitive tenders from all Suppliers.</w:t>
      </w:r>
    </w:p>
    <w:p w14:paraId="071302D7" w14:textId="77777777" w:rsidR="00BE665B" w:rsidRDefault="00BE665B" w:rsidP="00CC509E">
      <w:pPr>
        <w:pStyle w:val="BodyText1"/>
        <w:jc w:val="both"/>
      </w:pPr>
      <w: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7F60AA13" w14:textId="77777777" w:rsidR="00BE665B" w:rsidRDefault="00BE665B" w:rsidP="00CC509E">
      <w:pPr>
        <w:pStyle w:val="BodyText1"/>
        <w:jc w:val="both"/>
      </w:pPr>
      <w:r>
        <w:t>I/we also certify that I/we have not done, and undertake that I/we will not do, at any time during the Procurement or, in the event of my/our final tender being successful, during the term of the contract, any of the following acts:</w:t>
      </w:r>
    </w:p>
    <w:p w14:paraId="3A698F0B" w14:textId="77777777" w:rsidR="00BE665B" w:rsidRDefault="00BE665B" w:rsidP="00CC509E">
      <w:pPr>
        <w:pStyle w:val="BodyText1"/>
        <w:ind w:left="714" w:hanging="357"/>
        <w:jc w:val="both"/>
      </w:pPr>
      <w:r>
        <w:t>1.</w:t>
      </w:r>
      <w:r>
        <w:tab/>
        <w:t>communicate to any person, other than the Authority, the amount or approximate amount of my/our proposed offer except where the disclosure in confidence was essential to obtain insurance premium quotations required for its preparation</w:t>
      </w:r>
    </w:p>
    <w:p w14:paraId="7EA1614C" w14:textId="77777777" w:rsidR="00BE665B" w:rsidRDefault="00BE665B" w:rsidP="00CC509E">
      <w:pPr>
        <w:pStyle w:val="BodyText1"/>
        <w:ind w:left="714" w:hanging="357"/>
        <w:jc w:val="both"/>
      </w:pPr>
      <w:r>
        <w:t>2.</w:t>
      </w:r>
      <w:r>
        <w:tab/>
        <w:t>enter into any agreement or agreements with any other person that they shall refrain from participating in the tendering process carried out by the Authority or as to the amount of any offer submitted by them during the course of this process</w:t>
      </w:r>
    </w:p>
    <w:p w14:paraId="101EABAE" w14:textId="77777777" w:rsidR="00BE665B" w:rsidRDefault="00BE665B" w:rsidP="00CC509E">
      <w:pPr>
        <w:pStyle w:val="BodyText1"/>
        <w:ind w:left="714" w:hanging="357"/>
        <w:jc w:val="both"/>
      </w:pPr>
      <w:r>
        <w:t>3.</w:t>
      </w:r>
      <w:r>
        <w:tab/>
        <w:t>cause or induce any person to enter into such an agreement as is mentioned in paragraph 2 above or to inform us of the amount or the approximate amount of any other tender for the contract</w:t>
      </w:r>
    </w:p>
    <w:p w14:paraId="03ACEA7C" w14:textId="77777777" w:rsidR="00BE665B" w:rsidRDefault="00BE665B" w:rsidP="00CC509E">
      <w:pPr>
        <w:pStyle w:val="BodyText1"/>
        <w:ind w:left="714" w:hanging="357"/>
        <w:jc w:val="both"/>
      </w:pPr>
      <w:r>
        <w:t>4.</w:t>
      </w:r>
      <w:r>
        <w:tab/>
        <w:t>commit any offence under the Bribery Act 2010</w:t>
      </w:r>
    </w:p>
    <w:p w14:paraId="1BAC5A56" w14:textId="77777777" w:rsidR="00BE665B" w:rsidRDefault="00BE665B" w:rsidP="00CC509E">
      <w:pPr>
        <w:pStyle w:val="BodyText1"/>
        <w:ind w:left="714" w:hanging="357"/>
        <w:jc w:val="both"/>
      </w:pPr>
      <w:r>
        <w:t>5.</w:t>
      </w:r>
      <w:r>
        <w:tab/>
        <w:t>offer or agree to pay or give or actually pay or give any sum of money, inducement or valuable consideration, directly or indirectly, to any person for doing or having done or having caused to be done in relation to any other tender or proposed tender for the performance of the contract</w:t>
      </w:r>
    </w:p>
    <w:p w14:paraId="3E124D10" w14:textId="77777777" w:rsidR="00BE665B" w:rsidRDefault="00BE665B" w:rsidP="00CC509E">
      <w:pPr>
        <w:pStyle w:val="BodyText1"/>
        <w:jc w:val="both"/>
      </w:pPr>
      <w:r>
        <w:lastRenderedPageBreak/>
        <w:t>In this certificate, the word ’person’ includes any person, body or association, corporate or incorporate and ‘agreement’ includes any arrangement whether formal or informal and whether legally binding or not.</w:t>
      </w:r>
    </w:p>
    <w:p w14:paraId="5F234503" w14:textId="77777777" w:rsidR="00BE665B" w:rsidRDefault="00BE665B" w:rsidP="00CC509E">
      <w:pPr>
        <w:pStyle w:val="BodyText1"/>
        <w:jc w:val="both"/>
      </w:pPr>
      <w:r>
        <w:t>I/we agree that the Authority may, in its consideration of the tender and in any subsequent actions, rely on the statements made in this Certificate.</w:t>
      </w:r>
    </w:p>
    <w:p w14:paraId="671B7B00" w14:textId="77777777" w:rsidR="00BE665B" w:rsidRDefault="00BE665B" w:rsidP="00CC509E">
      <w:pPr>
        <w:tabs>
          <w:tab w:val="left" w:pos="2751"/>
        </w:tabs>
        <w:ind w:left="57"/>
        <w:jc w:val="both"/>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4DEB8FEC" w14:textId="77777777" w:rsidTr="009E4F50">
        <w:trPr>
          <w:cantSplit/>
        </w:trPr>
        <w:tc>
          <w:tcPr>
            <w:tcW w:w="2410" w:type="dxa"/>
            <w:tcBorders>
              <w:right w:val="single" w:sz="4" w:space="0" w:color="auto"/>
            </w:tcBorders>
            <w:shd w:val="clear" w:color="auto" w:fill="auto"/>
            <w:tcMar>
              <w:left w:w="0" w:type="dxa"/>
            </w:tcMar>
          </w:tcPr>
          <w:p w14:paraId="244A92F5" w14:textId="77777777" w:rsidR="00BE665B" w:rsidRPr="008F2D44" w:rsidRDefault="00BE665B" w:rsidP="00CC509E">
            <w:pPr>
              <w:jc w:val="both"/>
              <w:rPr>
                <w:b/>
                <w:bCs/>
              </w:rPr>
            </w:pPr>
            <w:r>
              <w:rPr>
                <w:b/>
              </w:rPr>
              <w:br/>
              <w:t>Signature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BF48051" w14:textId="77777777" w:rsidR="00BE665B" w:rsidRDefault="00BE665B" w:rsidP="00CC509E">
            <w:pPr>
              <w:jc w:val="both"/>
              <w:rPr>
                <w:color w:val="000000"/>
              </w:rPr>
            </w:pPr>
          </w:p>
        </w:tc>
      </w:tr>
    </w:tbl>
    <w:p w14:paraId="60FD2B2C" w14:textId="77777777" w:rsidR="00BE665B" w:rsidRDefault="00BE665B" w:rsidP="00CC509E">
      <w:pPr>
        <w:tabs>
          <w:tab w:val="left" w:pos="2751"/>
        </w:tabs>
        <w:ind w:left="57"/>
        <w:jc w:val="both"/>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19ED6A2C" w14:textId="77777777" w:rsidTr="009E4F50">
        <w:trPr>
          <w:cantSplit/>
        </w:trPr>
        <w:tc>
          <w:tcPr>
            <w:tcW w:w="2410" w:type="dxa"/>
            <w:tcBorders>
              <w:right w:val="single" w:sz="4" w:space="0" w:color="auto"/>
            </w:tcBorders>
            <w:shd w:val="clear" w:color="auto" w:fill="auto"/>
            <w:tcMar>
              <w:left w:w="0" w:type="dxa"/>
            </w:tcMar>
          </w:tcPr>
          <w:p w14:paraId="6B6E1A0A" w14:textId="77777777" w:rsidR="00BE665B" w:rsidRPr="008F2D44" w:rsidRDefault="00BE665B" w:rsidP="00CC509E">
            <w:pPr>
              <w:jc w:val="both"/>
              <w:rPr>
                <w:b/>
                <w:bCs/>
              </w:rPr>
            </w:pPr>
            <w:r>
              <w:rPr>
                <w:b/>
              </w:rPr>
              <w:t>Name (print)</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9E9D06A" w14:textId="77777777" w:rsidR="00BE665B" w:rsidRDefault="00BE665B" w:rsidP="00CC509E">
            <w:pPr>
              <w:jc w:val="both"/>
              <w:rPr>
                <w:color w:val="000000"/>
              </w:rPr>
            </w:pPr>
          </w:p>
        </w:tc>
      </w:tr>
    </w:tbl>
    <w:p w14:paraId="440ED09B" w14:textId="77777777" w:rsidR="00BE665B" w:rsidRDefault="00BE665B" w:rsidP="00CC509E">
      <w:pPr>
        <w:tabs>
          <w:tab w:val="left" w:pos="2751"/>
        </w:tabs>
        <w:ind w:left="57"/>
        <w:jc w:val="both"/>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25C2976C" w14:textId="77777777" w:rsidTr="009E4F50">
        <w:trPr>
          <w:cantSplit/>
          <w:trHeight w:val="23"/>
        </w:trPr>
        <w:tc>
          <w:tcPr>
            <w:tcW w:w="2410" w:type="dxa"/>
            <w:tcBorders>
              <w:right w:val="single" w:sz="4" w:space="0" w:color="auto"/>
            </w:tcBorders>
            <w:shd w:val="clear" w:color="auto" w:fill="auto"/>
            <w:tcMar>
              <w:left w:w="0" w:type="dxa"/>
            </w:tcMar>
          </w:tcPr>
          <w:p w14:paraId="0765B41C" w14:textId="77777777" w:rsidR="00BE665B" w:rsidRPr="008F2D44" w:rsidRDefault="00BE665B" w:rsidP="00CC509E">
            <w:pPr>
              <w:jc w:val="both"/>
              <w:rPr>
                <w:b/>
                <w:bCs/>
              </w:rPr>
            </w:pPr>
            <w:r>
              <w:rPr>
                <w:b/>
              </w:rPr>
              <w:t>Position</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3BB5BEE" w14:textId="77777777" w:rsidR="00BE665B" w:rsidRDefault="00BE665B" w:rsidP="00CC509E">
            <w:pPr>
              <w:jc w:val="both"/>
              <w:rPr>
                <w:color w:val="000000"/>
              </w:rPr>
            </w:pPr>
          </w:p>
        </w:tc>
      </w:tr>
    </w:tbl>
    <w:p w14:paraId="3537DB88" w14:textId="77777777" w:rsidR="00BE665B" w:rsidRDefault="00BE665B" w:rsidP="00CC509E">
      <w:pPr>
        <w:tabs>
          <w:tab w:val="left" w:pos="2751"/>
        </w:tabs>
        <w:ind w:left="57"/>
        <w:jc w:val="both"/>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7220D0DA" w14:textId="77777777" w:rsidTr="009E4F50">
        <w:trPr>
          <w:cantSplit/>
        </w:trPr>
        <w:tc>
          <w:tcPr>
            <w:tcW w:w="2410" w:type="dxa"/>
            <w:tcBorders>
              <w:right w:val="single" w:sz="4" w:space="0" w:color="auto"/>
            </w:tcBorders>
            <w:shd w:val="clear" w:color="auto" w:fill="auto"/>
            <w:tcMar>
              <w:left w:w="0" w:type="dxa"/>
            </w:tcMar>
          </w:tcPr>
          <w:p w14:paraId="3AEDCD51" w14:textId="77777777" w:rsidR="00BE665B" w:rsidRPr="008F2D44" w:rsidRDefault="00BE665B" w:rsidP="00CC509E">
            <w:pPr>
              <w:jc w:val="both"/>
              <w:rPr>
                <w:b/>
                <w:bCs/>
              </w:rPr>
            </w:pPr>
            <w:r>
              <w:rPr>
                <w:b/>
              </w:rPr>
              <w:t>Supplier 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4FEA7F41" w14:textId="77777777" w:rsidR="00BE665B" w:rsidRDefault="00BE665B" w:rsidP="00CC509E">
            <w:pPr>
              <w:jc w:val="both"/>
              <w:rPr>
                <w:color w:val="000000"/>
              </w:rPr>
            </w:pPr>
          </w:p>
        </w:tc>
      </w:tr>
    </w:tbl>
    <w:p w14:paraId="6FF93F24" w14:textId="77777777" w:rsidR="00BE665B" w:rsidRDefault="00BE665B" w:rsidP="00CC509E">
      <w:pPr>
        <w:tabs>
          <w:tab w:val="left" w:pos="2751"/>
        </w:tabs>
        <w:ind w:left="57"/>
        <w:jc w:val="both"/>
        <w:rPr>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BE665B" w14:paraId="0CB6087F" w14:textId="77777777" w:rsidTr="009E4F50">
        <w:trPr>
          <w:cantSplit/>
        </w:trPr>
        <w:tc>
          <w:tcPr>
            <w:tcW w:w="2410" w:type="dxa"/>
            <w:tcBorders>
              <w:right w:val="single" w:sz="4" w:space="0" w:color="auto"/>
            </w:tcBorders>
            <w:shd w:val="clear" w:color="auto" w:fill="auto"/>
            <w:tcMar>
              <w:left w:w="0" w:type="dxa"/>
            </w:tcMar>
          </w:tcPr>
          <w:p w14:paraId="47F84356" w14:textId="77777777" w:rsidR="00BE665B" w:rsidRPr="008F2D44" w:rsidRDefault="00BE665B" w:rsidP="00CC509E">
            <w:pPr>
              <w:jc w:val="both"/>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A3C0C71" w14:textId="77777777" w:rsidR="00BE665B" w:rsidRDefault="00BE665B" w:rsidP="00CC509E">
            <w:pPr>
              <w:jc w:val="both"/>
              <w:rPr>
                <w:color w:val="000000"/>
              </w:rPr>
            </w:pPr>
          </w:p>
        </w:tc>
      </w:tr>
    </w:tbl>
    <w:p w14:paraId="3E70A184" w14:textId="77777777" w:rsidR="00BE665B" w:rsidRDefault="00BE665B" w:rsidP="00CC509E">
      <w:pPr>
        <w:tabs>
          <w:tab w:val="left" w:pos="2751"/>
        </w:tabs>
        <w:ind w:left="57"/>
        <w:jc w:val="both"/>
        <w:rPr>
          <w:color w:val="000000"/>
        </w:rPr>
      </w:pPr>
    </w:p>
    <w:p w14:paraId="01F11355" w14:textId="77777777" w:rsidR="00DF644D" w:rsidRPr="002147DD" w:rsidRDefault="00DF644D" w:rsidP="00DF644D">
      <w:pPr>
        <w:pStyle w:val="Heading1"/>
        <w:numPr>
          <w:ilvl w:val="0"/>
          <w:numId w:val="0"/>
        </w:numPr>
      </w:pPr>
      <w:bookmarkStart w:id="31" w:name="_Toc193095883"/>
      <w:r>
        <w:lastRenderedPageBreak/>
        <w:t>Appendix H: Commercially sensitive information</w:t>
      </w:r>
      <w:bookmarkEnd w:id="31"/>
    </w:p>
    <w:p w14:paraId="187F5735" w14:textId="77777777" w:rsidR="00BE665B" w:rsidRDefault="00BE665B" w:rsidP="00CC509E">
      <w:pPr>
        <w:pStyle w:val="BodyText1"/>
        <w:jc w:val="both"/>
      </w:pPr>
      <w:r>
        <w:t>This appendix should be read in conjunction with the relevant paragraphs relating to freedom of information (FOIA) and environmental information (EIR) in the Procurement terms and conditions.</w:t>
      </w:r>
    </w:p>
    <w:p w14:paraId="68414FFD" w14:textId="77777777" w:rsidR="00BE665B" w:rsidRDefault="00BE665B" w:rsidP="00CC509E">
      <w:pPr>
        <w:pStyle w:val="BodyText1"/>
        <w:jc w:val="both"/>
      </w:pPr>
      <w:r>
        <w:t>I declare that I wish the following information to be designated as commercially sensitive:</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5054C1" w14:paraId="0DC3E046" w14:textId="77777777" w:rsidTr="00CB63E6">
        <w:trPr>
          <w:cantSplit/>
          <w:trHeight w:val="1134"/>
        </w:trPr>
        <w:tc>
          <w:tcPr>
            <w:tcW w:w="10194" w:type="dxa"/>
          </w:tcPr>
          <w:p w14:paraId="2CA6958C" w14:textId="77777777" w:rsidR="005054C1" w:rsidRPr="005F6FA3" w:rsidRDefault="005054C1" w:rsidP="00CC509E">
            <w:pPr>
              <w:spacing w:after="120"/>
              <w:jc w:val="both"/>
              <w:rPr>
                <w:sz w:val="20"/>
                <w:szCs w:val="20"/>
              </w:rPr>
            </w:pPr>
          </w:p>
        </w:tc>
      </w:tr>
    </w:tbl>
    <w:p w14:paraId="2E7F8AB0" w14:textId="77777777" w:rsidR="00BE665B" w:rsidRDefault="00BE665B" w:rsidP="00CC509E">
      <w:pPr>
        <w:pStyle w:val="BodyText1"/>
        <w:jc w:val="both"/>
      </w:pPr>
    </w:p>
    <w:p w14:paraId="6DF850AF" w14:textId="77777777" w:rsidR="00BE665B" w:rsidRDefault="00BE665B" w:rsidP="00CC509E">
      <w:pPr>
        <w:pStyle w:val="BodyText1"/>
        <w:ind w:right="-427"/>
        <w:jc w:val="both"/>
      </w:pPr>
      <w:r>
        <w:t>The reason(s) it is considered that this information should be exempt under FOIA and EIR is:</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5054C1" w14:paraId="255A4F4E" w14:textId="77777777" w:rsidTr="00CB63E6">
        <w:trPr>
          <w:cantSplit/>
          <w:trHeight w:val="1134"/>
        </w:trPr>
        <w:tc>
          <w:tcPr>
            <w:tcW w:w="10194" w:type="dxa"/>
          </w:tcPr>
          <w:p w14:paraId="6A3C461A" w14:textId="77777777" w:rsidR="005054C1" w:rsidRPr="005F6FA3" w:rsidRDefault="005054C1" w:rsidP="00CC509E">
            <w:pPr>
              <w:spacing w:after="120"/>
              <w:jc w:val="both"/>
              <w:rPr>
                <w:sz w:val="20"/>
                <w:szCs w:val="20"/>
              </w:rPr>
            </w:pPr>
          </w:p>
        </w:tc>
      </w:tr>
    </w:tbl>
    <w:p w14:paraId="14A1207B" w14:textId="77777777" w:rsidR="005054C1" w:rsidRDefault="005054C1" w:rsidP="00CC509E">
      <w:pPr>
        <w:pStyle w:val="BodyText1"/>
        <w:jc w:val="both"/>
      </w:pPr>
    </w:p>
    <w:p w14:paraId="0467CA8E" w14:textId="77777777" w:rsidR="00BE665B" w:rsidRDefault="00BE665B" w:rsidP="00CC509E">
      <w:pPr>
        <w:pStyle w:val="BodyText1"/>
        <w:jc w:val="both"/>
      </w:pPr>
      <w:r>
        <w:t>The period of time for which it is considered this information should be exempt is:</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5054C1" w14:paraId="4E0997D2" w14:textId="77777777" w:rsidTr="00CB63E6">
        <w:trPr>
          <w:cantSplit/>
          <w:trHeight w:val="1134"/>
        </w:trPr>
        <w:tc>
          <w:tcPr>
            <w:tcW w:w="10194" w:type="dxa"/>
          </w:tcPr>
          <w:p w14:paraId="1CD26216" w14:textId="77777777" w:rsidR="005054C1" w:rsidRPr="005F6FA3" w:rsidRDefault="005054C1" w:rsidP="00CC509E">
            <w:pPr>
              <w:spacing w:after="120"/>
              <w:jc w:val="both"/>
              <w:rPr>
                <w:sz w:val="20"/>
                <w:szCs w:val="20"/>
              </w:rPr>
            </w:pPr>
          </w:p>
        </w:tc>
      </w:tr>
    </w:tbl>
    <w:p w14:paraId="6112251C" w14:textId="77777777" w:rsidR="005054C1" w:rsidRDefault="005054C1" w:rsidP="00CC509E">
      <w:pPr>
        <w:pStyle w:val="BodyText1"/>
        <w:jc w:val="both"/>
      </w:pPr>
    </w:p>
    <w:p w14:paraId="10268A80" w14:textId="77777777" w:rsidR="00BE665B" w:rsidRDefault="00BE665B" w:rsidP="00CC509E">
      <w:pPr>
        <w:pStyle w:val="BodyText1"/>
        <w:jc w:val="both"/>
      </w:pPr>
      <w:r>
        <w:t>Supplier to amend as appropriate [until award of contract OR during the period of the contract OR for a period of [number] years until [month], [year]].</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5054C1" w14:paraId="4C175F8C" w14:textId="77777777" w:rsidTr="00CB63E6">
        <w:trPr>
          <w:cantSplit/>
          <w:trHeight w:val="1134"/>
        </w:trPr>
        <w:tc>
          <w:tcPr>
            <w:tcW w:w="10194" w:type="dxa"/>
          </w:tcPr>
          <w:p w14:paraId="319C167C" w14:textId="77777777" w:rsidR="005054C1" w:rsidRPr="005F6FA3" w:rsidRDefault="005054C1" w:rsidP="00CC509E">
            <w:pPr>
              <w:spacing w:after="120"/>
              <w:jc w:val="both"/>
              <w:rPr>
                <w:sz w:val="20"/>
                <w:szCs w:val="20"/>
              </w:rPr>
            </w:pPr>
          </w:p>
        </w:tc>
      </w:tr>
    </w:tbl>
    <w:p w14:paraId="37B96928" w14:textId="77777777" w:rsidR="005054C1" w:rsidRDefault="005054C1" w:rsidP="00CC509E">
      <w:pPr>
        <w:pStyle w:val="BodyText1"/>
        <w:jc w:val="both"/>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664DC957" w14:textId="77777777" w:rsidTr="009E4F50">
        <w:trPr>
          <w:cantSplit/>
        </w:trPr>
        <w:tc>
          <w:tcPr>
            <w:tcW w:w="2410" w:type="dxa"/>
            <w:tcBorders>
              <w:right w:val="single" w:sz="4" w:space="0" w:color="auto"/>
            </w:tcBorders>
            <w:shd w:val="clear" w:color="auto" w:fill="auto"/>
            <w:tcMar>
              <w:left w:w="0" w:type="dxa"/>
            </w:tcMar>
          </w:tcPr>
          <w:p w14:paraId="5F040191" w14:textId="77777777" w:rsidR="00BE665B" w:rsidRPr="008F2D44" w:rsidRDefault="00BE665B" w:rsidP="00CC509E">
            <w:pPr>
              <w:jc w:val="both"/>
              <w:rPr>
                <w:b/>
                <w:bCs/>
              </w:rPr>
            </w:pPr>
            <w:r>
              <w:rPr>
                <w:b/>
              </w:rPr>
              <w:br/>
              <w:t>Signature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7BCEFF1" w14:textId="77777777" w:rsidR="00BE665B" w:rsidRDefault="00BE665B" w:rsidP="00CC509E">
            <w:pPr>
              <w:jc w:val="both"/>
              <w:rPr>
                <w:color w:val="000000"/>
              </w:rPr>
            </w:pPr>
          </w:p>
        </w:tc>
      </w:tr>
    </w:tbl>
    <w:p w14:paraId="5131F1CF" w14:textId="77777777" w:rsidR="00BE665B" w:rsidRDefault="00BE665B" w:rsidP="00CC509E">
      <w:pPr>
        <w:tabs>
          <w:tab w:val="left" w:pos="2751"/>
        </w:tabs>
        <w:ind w:left="57"/>
        <w:jc w:val="both"/>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73F8FF2B" w14:textId="77777777" w:rsidTr="009E4F50">
        <w:trPr>
          <w:cantSplit/>
        </w:trPr>
        <w:tc>
          <w:tcPr>
            <w:tcW w:w="2410" w:type="dxa"/>
            <w:tcBorders>
              <w:right w:val="single" w:sz="4" w:space="0" w:color="auto"/>
            </w:tcBorders>
            <w:shd w:val="clear" w:color="auto" w:fill="auto"/>
            <w:tcMar>
              <w:left w:w="0" w:type="dxa"/>
            </w:tcMar>
          </w:tcPr>
          <w:p w14:paraId="04167EED" w14:textId="77777777" w:rsidR="00BE665B" w:rsidRPr="008F2D44" w:rsidRDefault="00BE665B" w:rsidP="00CC509E">
            <w:pPr>
              <w:jc w:val="both"/>
              <w:rPr>
                <w:b/>
                <w:bCs/>
              </w:rPr>
            </w:pPr>
            <w:r>
              <w:rPr>
                <w:b/>
              </w:rPr>
              <w:t>Name (print)</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E0FECB6" w14:textId="77777777" w:rsidR="00BE665B" w:rsidRDefault="00BE665B" w:rsidP="00CC509E">
            <w:pPr>
              <w:jc w:val="both"/>
              <w:rPr>
                <w:color w:val="000000"/>
              </w:rPr>
            </w:pPr>
          </w:p>
        </w:tc>
      </w:tr>
    </w:tbl>
    <w:p w14:paraId="32621AF8" w14:textId="77777777" w:rsidR="00BE665B" w:rsidRDefault="00BE665B" w:rsidP="00CC509E">
      <w:pPr>
        <w:tabs>
          <w:tab w:val="left" w:pos="2751"/>
        </w:tabs>
        <w:ind w:left="57"/>
        <w:jc w:val="both"/>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7CFD963C" w14:textId="77777777" w:rsidTr="009E4F50">
        <w:trPr>
          <w:cantSplit/>
          <w:trHeight w:val="23"/>
        </w:trPr>
        <w:tc>
          <w:tcPr>
            <w:tcW w:w="2410" w:type="dxa"/>
            <w:tcBorders>
              <w:right w:val="single" w:sz="4" w:space="0" w:color="auto"/>
            </w:tcBorders>
            <w:shd w:val="clear" w:color="auto" w:fill="auto"/>
            <w:tcMar>
              <w:left w:w="0" w:type="dxa"/>
            </w:tcMar>
          </w:tcPr>
          <w:p w14:paraId="78B169CB" w14:textId="77777777" w:rsidR="00BE665B" w:rsidRPr="008F2D44" w:rsidRDefault="00BE665B" w:rsidP="00CC509E">
            <w:pPr>
              <w:jc w:val="both"/>
              <w:rPr>
                <w:b/>
                <w:bCs/>
              </w:rPr>
            </w:pPr>
            <w:r>
              <w:rPr>
                <w:b/>
              </w:rPr>
              <w:lastRenderedPageBreak/>
              <w:t>Position</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49347872" w14:textId="77777777" w:rsidR="00BE665B" w:rsidRDefault="00BE665B" w:rsidP="00CC509E">
            <w:pPr>
              <w:jc w:val="both"/>
              <w:rPr>
                <w:color w:val="000000"/>
              </w:rPr>
            </w:pPr>
          </w:p>
        </w:tc>
      </w:tr>
    </w:tbl>
    <w:p w14:paraId="2779806C" w14:textId="77777777" w:rsidR="00BE665B" w:rsidRDefault="00BE665B" w:rsidP="00CC509E">
      <w:pPr>
        <w:tabs>
          <w:tab w:val="left" w:pos="2751"/>
        </w:tabs>
        <w:ind w:left="57"/>
        <w:jc w:val="both"/>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7B03238F" w14:textId="77777777" w:rsidTr="009E4F50">
        <w:trPr>
          <w:cantSplit/>
        </w:trPr>
        <w:tc>
          <w:tcPr>
            <w:tcW w:w="2410" w:type="dxa"/>
            <w:tcBorders>
              <w:right w:val="single" w:sz="4" w:space="0" w:color="auto"/>
            </w:tcBorders>
            <w:shd w:val="clear" w:color="auto" w:fill="auto"/>
            <w:tcMar>
              <w:left w:w="0" w:type="dxa"/>
            </w:tcMar>
          </w:tcPr>
          <w:p w14:paraId="7B40760A" w14:textId="77777777" w:rsidR="00BE665B" w:rsidRPr="008F2D44" w:rsidRDefault="00BE665B" w:rsidP="00CC509E">
            <w:pPr>
              <w:jc w:val="both"/>
              <w:rPr>
                <w:b/>
                <w:bCs/>
              </w:rPr>
            </w:pPr>
            <w:r>
              <w:rPr>
                <w:b/>
              </w:rPr>
              <w:t>Supplier 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2FD506C" w14:textId="77777777" w:rsidR="00BE665B" w:rsidRDefault="00BE665B" w:rsidP="00CC509E">
            <w:pPr>
              <w:jc w:val="both"/>
              <w:rPr>
                <w:color w:val="000000"/>
              </w:rPr>
            </w:pPr>
          </w:p>
        </w:tc>
      </w:tr>
    </w:tbl>
    <w:p w14:paraId="42782D8B" w14:textId="77777777" w:rsidR="00BE665B" w:rsidRDefault="00BE665B" w:rsidP="00CC509E">
      <w:pPr>
        <w:tabs>
          <w:tab w:val="left" w:pos="2751"/>
        </w:tabs>
        <w:ind w:left="57"/>
        <w:jc w:val="both"/>
        <w:rPr>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BE665B" w14:paraId="525AEDF6" w14:textId="77777777" w:rsidTr="009E4F50">
        <w:trPr>
          <w:cantSplit/>
        </w:trPr>
        <w:tc>
          <w:tcPr>
            <w:tcW w:w="2410" w:type="dxa"/>
            <w:tcBorders>
              <w:right w:val="single" w:sz="4" w:space="0" w:color="auto"/>
            </w:tcBorders>
            <w:shd w:val="clear" w:color="auto" w:fill="auto"/>
            <w:tcMar>
              <w:left w:w="0" w:type="dxa"/>
            </w:tcMar>
          </w:tcPr>
          <w:p w14:paraId="17780C6F" w14:textId="77777777" w:rsidR="00BE665B" w:rsidRPr="008F2D44" w:rsidRDefault="00BE665B" w:rsidP="00CC509E">
            <w:pPr>
              <w:jc w:val="both"/>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381B71E" w14:textId="77777777" w:rsidR="00BE665B" w:rsidRDefault="00BE665B" w:rsidP="00CC509E">
            <w:pPr>
              <w:jc w:val="both"/>
              <w:rPr>
                <w:color w:val="000000"/>
              </w:rPr>
            </w:pPr>
          </w:p>
        </w:tc>
      </w:tr>
    </w:tbl>
    <w:p w14:paraId="0567DE26" w14:textId="77777777" w:rsidR="00BE665B" w:rsidRDefault="00BE665B" w:rsidP="00CC509E">
      <w:pPr>
        <w:tabs>
          <w:tab w:val="left" w:pos="2751"/>
        </w:tabs>
        <w:ind w:left="57"/>
        <w:jc w:val="both"/>
        <w:rPr>
          <w:color w:val="000000"/>
        </w:rPr>
      </w:pPr>
    </w:p>
    <w:sectPr w:rsidR="00BE665B" w:rsidSect="001C5F1D">
      <w:headerReference w:type="default" r:id="rId19"/>
      <w:footerReference w:type="even" r:id="rId20"/>
      <w:footerReference w:type="default" r:id="rId21"/>
      <w:footerReference w:type="first" r:id="rId22"/>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3698B" w14:textId="77777777" w:rsidR="00DB3D11" w:rsidRDefault="00DB3D11">
      <w:r>
        <w:separator/>
      </w:r>
    </w:p>
  </w:endnote>
  <w:endnote w:type="continuationSeparator" w:id="0">
    <w:p w14:paraId="49C101CA" w14:textId="77777777" w:rsidR="00DB3D11" w:rsidRDefault="00DB3D11">
      <w:r>
        <w:continuationSeparator/>
      </w:r>
    </w:p>
  </w:endnote>
  <w:endnote w:type="continuationNotice" w:id="1">
    <w:p w14:paraId="0749D53E" w14:textId="77777777" w:rsidR="00DB3D11" w:rsidRDefault="00DB3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Light">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C348" w14:textId="5E1DBCFB" w:rsidR="002F0AA3" w:rsidRDefault="005A0246" w:rsidP="00955916">
    <w:pPr>
      <w:tabs>
        <w:tab w:val="center" w:pos="4820"/>
      </w:tabs>
      <w:spacing w:after="120" w:line="192" w:lineRule="auto"/>
      <w:jc w:val="center"/>
      <w:rPr>
        <w:color w:val="000000"/>
        <w:sz w:val="20"/>
        <w:szCs w:val="20"/>
      </w:rPr>
    </w:pPr>
    <w:r>
      <w:rPr>
        <w:noProof/>
        <w:color w:val="000000"/>
        <w:sz w:val="20"/>
        <w:szCs w:val="20"/>
      </w:rPr>
      <mc:AlternateContent>
        <mc:Choice Requires="wps">
          <w:drawing>
            <wp:anchor distT="0" distB="0" distL="0" distR="0" simplePos="0" relativeHeight="251658241" behindDoc="0" locked="0" layoutInCell="1" allowOverlap="1" wp14:anchorId="35E7D59B" wp14:editId="2F48BA5C">
              <wp:simplePos x="635" y="635"/>
              <wp:positionH relativeFrom="page">
                <wp:align>left</wp:align>
              </wp:positionH>
              <wp:positionV relativeFrom="page">
                <wp:align>bottom</wp:align>
              </wp:positionV>
              <wp:extent cx="1463675" cy="333375"/>
              <wp:effectExtent l="0" t="0" r="3175" b="0"/>
              <wp:wrapNone/>
              <wp:docPr id="617422635" name="Text Box 2"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675" cy="333375"/>
                      </a:xfrm>
                      <a:prstGeom prst="rect">
                        <a:avLst/>
                      </a:prstGeom>
                      <a:noFill/>
                      <a:ln>
                        <a:noFill/>
                      </a:ln>
                    </wps:spPr>
                    <wps:txbx>
                      <w:txbxContent>
                        <w:p w14:paraId="2BF06D01" w14:textId="4192941B"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E7D59B" id="_x0000_t202" coordsize="21600,21600" o:spt="202" path="m,l,21600r21600,l21600,xe">
              <v:stroke joinstyle="miter"/>
              <v:path gradientshapeok="t" o:connecttype="rect"/>
            </v:shapetype>
            <v:shape id="Text Box 2" o:spid="_x0000_s1026" type="#_x0000_t202" alt="Unrestricted Document" style="position:absolute;left:0;text-align:left;margin-left:0;margin-top:0;width:115.25pt;height:26.2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6qDgIAABsEAAAOAAAAZHJzL2Uyb0RvYy54bWysU02P2yAQvVfqf0DcGzvZTdpacVbprlJV&#10;inZXylZ7xhhiS8AgILHTX98BO0m77amqD/jBDPPx5rG867UiR+F8C6ak00lOiTAc6tbsS/r9ZfPh&#10;EyU+MFMzBUaU9CQ8vVu9f7fsbCFm0ICqhSMYxPiisyVtQrBFlnneCM38BKwwaJTgNAu4dfusdqzD&#10;6FplszxfZB242jrgwns8fRiMdJXiSyl4eJLSi0BUSbG2kFaX1iqu2WrJir1jtmn5WAb7hyo0aw0m&#10;vYR6YIGRg2v/CKVb7sCDDBMOOgMpWy5SD9jNNH/Tza5hVqRekBxvLzT5/xeWPx539tmR0H+BHgcY&#10;CemsLzwexn566XT8Y6UE7Ujh6UKb6APh8dLt4mbxcU4JR9sNfogxTHa9bZ0PXwVoEkFJHY4lscWO&#10;Wx8G17NLTGZg0yqVRqPMbwcYM55k1xIjCn3Vj3VXUJ+wHQfDpL3lmxZzbpkPz8zhaLEDlGt4wkUq&#10;6EoKI6KkAffjb+fRHxlHKyUdSqWkBrVMifpmcBKz+W2eR2mlHQJ3BlUC08/5PNrNQd8DqnCKD8Ly&#10;BKNzUGcoHehXVPM6ZkMTMxxzlrQ6w/swCBdfAxfrdXJCFVkWtmZneQwdyYpMvvSvzNmR7oCDeoSz&#10;mFjxhvXBN970dn0IyH0aSSR2YHPkGxWYhjq+lijxX/fJ6/qmVz8BAAD//wMAUEsDBBQABgAIAAAA&#10;IQDlcDa02gAAAAQBAAAPAAAAZHJzL2Rvd25yZXYueG1sTI/NTsMwEITvSLyDtUjcqENQoirEqary&#10;I66kleDoxNs4arxOY7cNb8/CBS4rjWY08225mt0gzjiF3pOC+0UCAqn1pqdOwW77crcEEaImowdP&#10;qOALA6yq66tSF8Zf6B3PdewEl1AotAIb41hIGVqLToeFH5HY2/vJ6chy6qSZ9IXL3SDTJMml0z3x&#10;gtUjbiy2h/rkFORPr2s7fuSfx30a3kLjD7H2z0rd3szrRxAR5/gXhh98RoeKmRp/IhPEoIAfib+X&#10;vfQhyUA0CrI0A1mV8j989Q0AAP//AwBQSwECLQAUAAYACAAAACEAtoM4kv4AAADhAQAAEwAAAAAA&#10;AAAAAAAAAAAAAAAAW0NvbnRlbnRfVHlwZXNdLnhtbFBLAQItABQABgAIAAAAIQA4/SH/1gAAAJQB&#10;AAALAAAAAAAAAAAAAAAAAC8BAABfcmVscy8ucmVsc1BLAQItABQABgAIAAAAIQC2y+6qDgIAABsE&#10;AAAOAAAAAAAAAAAAAAAAAC4CAABkcnMvZTJvRG9jLnhtbFBLAQItABQABgAIAAAAIQDlcDa02gAA&#10;AAQBAAAPAAAAAAAAAAAAAAAAAGgEAABkcnMvZG93bnJldi54bWxQSwUGAAAAAAQABADzAAAAbwUA&#10;AAAA&#10;" filled="f" stroked="f">
              <v:textbox style="mso-fit-shape-to-text:t" inset="20pt,0,0,15pt">
                <w:txbxContent>
                  <w:p w14:paraId="2BF06D01" w14:textId="4192941B"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v:textbox>
              <w10:wrap anchorx="page" anchory="page"/>
            </v:shape>
          </w:pict>
        </mc:Fallback>
      </mc:AlternateContent>
    </w:r>
    <w:r w:rsidR="002F0AA3">
      <w:rPr>
        <w:color w:val="000000"/>
        <w:sz w:val="20"/>
        <w:szCs w:val="20"/>
      </w:rPr>
      <w:fldChar w:fldCharType="begin"/>
    </w:r>
    <w:r w:rsidR="002F0AA3">
      <w:rPr>
        <w:color w:val="000000"/>
        <w:sz w:val="20"/>
        <w:szCs w:val="20"/>
      </w:rPr>
      <w:instrText>PAGE</w:instrText>
    </w:r>
    <w:r w:rsidR="002F0AA3">
      <w:rPr>
        <w:color w:val="000000"/>
        <w:sz w:val="20"/>
        <w:szCs w:val="20"/>
      </w:rPr>
      <w:fldChar w:fldCharType="separate"/>
    </w:r>
    <w:r w:rsidR="002F0AA3">
      <w:rPr>
        <w:color w:val="000000"/>
        <w:sz w:val="20"/>
        <w:szCs w:val="20"/>
      </w:rPr>
      <w:t>1</w:t>
    </w:r>
    <w:r w:rsidR="002F0AA3">
      <w:rPr>
        <w:color w:val="000000"/>
        <w:sz w:val="20"/>
        <w:szCs w:val="20"/>
      </w:rPr>
      <w:fldChar w:fldCharType="end"/>
    </w:r>
  </w:p>
  <w:p w14:paraId="27A24EF3" w14:textId="77777777" w:rsidR="00685134" w:rsidRDefault="00685134" w:rsidP="00955916">
    <w:pPr>
      <w:tabs>
        <w:tab w:val="center" w:pos="4820"/>
      </w:tabs>
      <w:spacing w:after="120" w:line="192" w:lineRule="auto"/>
      <w:jc w:val="center"/>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2852" w14:textId="77777777" w:rsidR="00EC56EA" w:rsidRPr="00EC56EA" w:rsidRDefault="005A0246" w:rsidP="00EC56EA">
    <w:pPr>
      <w:tabs>
        <w:tab w:val="center" w:pos="4820"/>
      </w:tabs>
      <w:spacing w:after="120" w:line="192" w:lineRule="auto"/>
      <w:rPr>
        <w:noProof/>
        <w:color w:val="000000"/>
        <w:sz w:val="14"/>
        <w:szCs w:val="14"/>
      </w:rPr>
    </w:pPr>
    <w:r>
      <w:rPr>
        <w:noProof/>
        <w:color w:val="000000"/>
        <w:sz w:val="14"/>
        <w:szCs w:val="14"/>
      </w:rPr>
      <mc:AlternateContent>
        <mc:Choice Requires="wps">
          <w:drawing>
            <wp:anchor distT="0" distB="0" distL="0" distR="0" simplePos="0" relativeHeight="251658242" behindDoc="0" locked="0" layoutInCell="1" allowOverlap="1" wp14:anchorId="026E1910" wp14:editId="0C95868B">
              <wp:simplePos x="635" y="635"/>
              <wp:positionH relativeFrom="page">
                <wp:align>left</wp:align>
              </wp:positionH>
              <wp:positionV relativeFrom="page">
                <wp:align>bottom</wp:align>
              </wp:positionV>
              <wp:extent cx="1463675" cy="333375"/>
              <wp:effectExtent l="0" t="0" r="3175" b="0"/>
              <wp:wrapNone/>
              <wp:docPr id="1030604440" name="Text Box 3"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675" cy="333375"/>
                      </a:xfrm>
                      <a:prstGeom prst="rect">
                        <a:avLst/>
                      </a:prstGeom>
                      <a:noFill/>
                      <a:ln>
                        <a:noFill/>
                      </a:ln>
                    </wps:spPr>
                    <wps:txbx>
                      <w:txbxContent>
                        <w:p w14:paraId="645A5CCB" w14:textId="79A6BC5F"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6E1910" id="_x0000_t202" coordsize="21600,21600" o:spt="202" path="m,l,21600r21600,l21600,xe">
              <v:stroke joinstyle="miter"/>
              <v:path gradientshapeok="t" o:connecttype="rect"/>
            </v:shapetype>
            <v:shape id="Text Box 3" o:spid="_x0000_s1027" type="#_x0000_t202" alt="Unrestricted Document" style="position:absolute;margin-left:0;margin-top:0;width:115.25pt;height:26.2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VKQEQIAACIEAAAOAAAAZHJzL2Uyb0RvYy54bWysU11v2yAUfZ+0/4B4X+ykTdZZcaqsVaZJ&#10;UVspnfqMMcSWgIuAxM5+/S44H123p6p+wAfu5X6ce5jf9lqRvXC+BVPS8SinRBgOdWu2Jf31vPpy&#10;Q4kPzNRMgRElPQhPbxefP807W4gJNKBq4QgGMb7obEmbEGyRZZ43QjM/AisMGiU4zQJu3TarHesw&#10;ulbZJM9nWQeutg648B5P7wcjXaT4UgoeHqX0IhBVUqwtpNWltYprtpizYuuYbVp+LIO9owrNWoNJ&#10;z6HuWWBk59p/QumWO/Agw4iDzkDKlovUA3Yzzt90s2mYFakXJMfbM03+48Lyh/3GPjkS+u/Q4wAj&#10;IZ31hcfD2E8vnY5/rJSgHSk8nGkTfSA8XrqeXc2+TinhaLvCDzGGyS63rfPhhwBNIiipw7Ektth+&#10;7cPgenKJyQysWqXSaJT56wBjxpPsUmJEoa960tavyq+gPmBXDoaBe8tXLaZeMx+emMMJYyOo2vCI&#10;i1TQlRSOiJIG3O//nUd/JB6tlHSomJIalDQl6qfBgUym13keFZZ2CNwJVAmMv+XTaDc7fQcoxjG+&#10;C8sTjM5BnaB0oF9Q1MuYDU3McMxZ0uoE78KgX3wUXCyXyQnFZFlYm43lMXTkLBL63L8wZ4+sB5zX&#10;A5w0xYo35A++8aa3y13AEaTJRH4HNo+0oxDTbI+PJir99T55XZ724g8AAAD//wMAUEsDBBQABgAI&#10;AAAAIQDlcDa02gAAAAQBAAAPAAAAZHJzL2Rvd25yZXYueG1sTI/NTsMwEITvSLyDtUjcqENQoirE&#10;qaryI66kleDoxNs4arxOY7cNb8/CBS4rjWY08225mt0gzjiF3pOC+0UCAqn1pqdOwW77crcEEaIm&#10;owdPqOALA6yq66tSF8Zf6B3PdewEl1AotAIb41hIGVqLToeFH5HY2/vJ6chy6qSZ9IXL3SDTJMml&#10;0z3xgtUjbiy2h/rkFORPr2s7fuSfx30a3kLjD7H2z0rd3szrRxAR5/gXhh98RoeKmRp/IhPEoIAf&#10;ib+XvfQhyUA0CrI0A1mV8j989Q0AAP//AwBQSwECLQAUAAYACAAAACEAtoM4kv4AAADhAQAAEwAA&#10;AAAAAAAAAAAAAAAAAAAAW0NvbnRlbnRfVHlwZXNdLnhtbFBLAQItABQABgAIAAAAIQA4/SH/1gAA&#10;AJQBAAALAAAAAAAAAAAAAAAAAC8BAABfcmVscy8ucmVsc1BLAQItABQABgAIAAAAIQCE9VKQEQIA&#10;ACIEAAAOAAAAAAAAAAAAAAAAAC4CAABkcnMvZTJvRG9jLnhtbFBLAQItABQABgAIAAAAIQDlcDa0&#10;2gAAAAQBAAAPAAAAAAAAAAAAAAAAAGsEAABkcnMvZG93bnJldi54bWxQSwUGAAAAAAQABADzAAAA&#10;cgUAAAAA&#10;" filled="f" stroked="f">
              <v:textbox style="mso-fit-shape-to-text:t" inset="20pt,0,0,15pt">
                <w:txbxContent>
                  <w:p w14:paraId="645A5CCB" w14:textId="79A6BC5F"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v:textbox>
              <w10:wrap anchorx="page" anchory="page"/>
            </v:shape>
          </w:pict>
        </mc:Fallback>
      </mc:AlternateContent>
    </w:r>
    <w:r w:rsidR="00EC56EA" w:rsidRPr="00EC56EA">
      <w:rPr>
        <w:noProof/>
        <w:color w:val="000000"/>
        <w:sz w:val="14"/>
        <w:szCs w:val="14"/>
      </w:rPr>
      <w:t>London LGPS CIV Limited is a private limited company, registered in England and Wales. Registered number 09136445. Registered office: 4th Floor, 22 Lavington Street, London SE1 0NZ. Authorised and regulated by the Financial Conduct Authority, reference number 710618.</w:t>
    </w:r>
  </w:p>
  <w:p w14:paraId="17E7A21B" w14:textId="7F82984B" w:rsidR="002F0AA3" w:rsidRDefault="002F0AA3" w:rsidP="002F0AA3">
    <w:pPr>
      <w:tabs>
        <w:tab w:val="center" w:pos="4820"/>
      </w:tabs>
      <w:spacing w:after="120" w:line="192" w:lineRule="auto"/>
      <w:rPr>
        <w:color w:val="000000"/>
        <w:sz w:val="20"/>
        <w:szCs w:val="20"/>
      </w:rPr>
    </w:pPr>
    <w:r>
      <w:rPr>
        <w:color w:val="000000"/>
        <w:sz w:val="10"/>
        <w:szCs w:val="1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p w14:paraId="2C429F6E" w14:textId="4836C4EC" w:rsidR="001C5F1D" w:rsidRDefault="001C5F1D" w:rsidP="00AB3299">
    <w:pPr>
      <w:pBdr>
        <w:top w:val="nil"/>
        <w:left w:val="nil"/>
        <w:bottom w:val="nil"/>
        <w:right w:val="nil"/>
        <w:between w:val="nil"/>
      </w:pBdr>
      <w:jc w:val="cente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CE8D" w14:textId="64421B50" w:rsidR="00B47953" w:rsidRDefault="005A0246" w:rsidP="00D310F9">
    <w:pPr>
      <w:pStyle w:val="Footer"/>
      <w:jc w:val="center"/>
    </w:pPr>
    <w:r>
      <w:rPr>
        <w:noProof/>
      </w:rPr>
      <mc:AlternateContent>
        <mc:Choice Requires="wps">
          <w:drawing>
            <wp:anchor distT="0" distB="0" distL="0" distR="0" simplePos="0" relativeHeight="251658240" behindDoc="0" locked="0" layoutInCell="1" allowOverlap="1" wp14:anchorId="571EAC92" wp14:editId="0F02C46F">
              <wp:simplePos x="635" y="635"/>
              <wp:positionH relativeFrom="page">
                <wp:align>left</wp:align>
              </wp:positionH>
              <wp:positionV relativeFrom="page">
                <wp:align>bottom</wp:align>
              </wp:positionV>
              <wp:extent cx="1463675" cy="333375"/>
              <wp:effectExtent l="0" t="0" r="3175" b="0"/>
              <wp:wrapNone/>
              <wp:docPr id="1295818342" name="Text Box 1"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675" cy="333375"/>
                      </a:xfrm>
                      <a:prstGeom prst="rect">
                        <a:avLst/>
                      </a:prstGeom>
                      <a:noFill/>
                      <a:ln>
                        <a:noFill/>
                      </a:ln>
                    </wps:spPr>
                    <wps:txbx>
                      <w:txbxContent>
                        <w:p w14:paraId="70C0CF97" w14:textId="2FE8BF61"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1EAC92" id="_x0000_t202" coordsize="21600,21600" o:spt="202" path="m,l,21600r21600,l21600,xe">
              <v:stroke joinstyle="miter"/>
              <v:path gradientshapeok="t" o:connecttype="rect"/>
            </v:shapetype>
            <v:shape id="Text Box 1" o:spid="_x0000_s1028" type="#_x0000_t202" alt="Unrestricted Document" style="position:absolute;left:0;text-align:left;margin-left:0;margin-top:0;width:115.25pt;height:26.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6HSEgIAACIEAAAOAAAAZHJzL2Uyb0RvYy54bWysU02P2yAQvVfqf0DcGzvZTdpacVbprlJV&#10;inZXylZ7xhhiS8AgILHTX98Bx0m77amqD/jBDPPx5rG867UiR+F8C6ak00lOiTAc6tbsS/r9ZfPh&#10;EyU+MFMzBUaU9CQ8vVu9f7fsbCFm0ICqhSMYxPiisyVtQrBFlnneCM38BKwwaJTgNAu4dfusdqzD&#10;6FplszxfZB242jrgwns8fRiMdJXiSyl4eJLSi0BUSbG2kFaX1iqu2WrJir1jtmn5uQz2D1Vo1hpM&#10;egn1wAIjB9f+EUq33IEHGSYcdAZStlykHrCbaf6mm13DrEi9IDneXmjy/y8sfzzu7LMjof8CPQ4w&#10;EtJZX3g8jP300un4x0oJ2pHC04U20QfC46Xbxc3i45wSjrYb/BBjmOx62zofvgrQJIKSOhxLYosd&#10;tz4MrqNLTGZg0yqVRqPMbwcYM55k1xIjCn3Vk7Yu6Wwsv4L6hF05GAbuLd+0mHrLfHhmDieMjaBq&#10;wxMuUkFXUjgjShpwP/52Hv2ReLRS0qFiSmpQ0pSobwYHMpvf5nlUWNohcCOoEph+zufRbg76HlCM&#10;U3wXlicYnYMaoXSgX1HU65gNTcxwzFnSaoT3YdAvPgou1uvkhGKyLGzNzvIYOnIWCX3pX5mzZ9YD&#10;zusRRk2x4g35g2+86e36EHAEaTKR34HNM+0oxDTb86OJSv91n7yuT3v1EwAA//8DAFBLAwQUAAYA&#10;CAAAACEA5XA2tNoAAAAEAQAADwAAAGRycy9kb3ducmV2LnhtbEyPzU7DMBCE70i8g7VI3KhDUKIq&#10;xKmq8iOupJXg6MTbOGq8TmO3DW/PwgUuK41mNPNtuZrdIM44hd6TgvtFAgKp9aanTsFu+3K3BBGi&#10;JqMHT6jgCwOsquurUhfGX+gdz3XsBJdQKLQCG+NYSBlai06HhR+R2Nv7yenIcuqkmfSFy90g0yTJ&#10;pdM98YLVI24stof65BTkT69rO37kn8d9Gt5C4w+x9s9K3d7M60cQEef4F4YffEaHipkafyITxKCA&#10;H4m/l730IclANAqyNANZlfI/fPUNAAD//wMAUEsBAi0AFAAGAAgAAAAhALaDOJL+AAAA4QEAABMA&#10;AAAAAAAAAAAAAAAAAAAAAFtDb250ZW50X1R5cGVzXS54bWxQSwECLQAUAAYACAAAACEAOP0h/9YA&#10;AACUAQAACwAAAAAAAAAAAAAAAAAvAQAAX3JlbHMvLnJlbHNQSwECLQAUAAYACAAAACEA1WOh0hIC&#10;AAAiBAAADgAAAAAAAAAAAAAAAAAuAgAAZHJzL2Uyb0RvYy54bWxQSwECLQAUAAYACAAAACEA5XA2&#10;tNoAAAAEAQAADwAAAAAAAAAAAAAAAABsBAAAZHJzL2Rvd25yZXYueG1sUEsFBgAAAAAEAAQA8wAA&#10;AHMFAAAAAA==&#10;" filled="f" stroked="f">
              <v:textbox style="mso-fit-shape-to-text:t" inset="20pt,0,0,15pt">
                <w:txbxContent>
                  <w:p w14:paraId="70C0CF97" w14:textId="2FE8BF61"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6C86" w14:textId="61D7858D" w:rsidR="005A0246" w:rsidRDefault="005A0246">
    <w:pPr>
      <w:pStyle w:val="Footer"/>
    </w:pPr>
    <w:r>
      <w:rPr>
        <w:noProof/>
      </w:rPr>
      <mc:AlternateContent>
        <mc:Choice Requires="wps">
          <w:drawing>
            <wp:anchor distT="0" distB="0" distL="0" distR="0" simplePos="0" relativeHeight="251658244" behindDoc="0" locked="0" layoutInCell="1" allowOverlap="1" wp14:anchorId="242B605F" wp14:editId="0C70D356">
              <wp:simplePos x="635" y="635"/>
              <wp:positionH relativeFrom="page">
                <wp:align>left</wp:align>
              </wp:positionH>
              <wp:positionV relativeFrom="page">
                <wp:align>bottom</wp:align>
              </wp:positionV>
              <wp:extent cx="1463675" cy="333375"/>
              <wp:effectExtent l="0" t="0" r="3175" b="0"/>
              <wp:wrapNone/>
              <wp:docPr id="104853538" name="Text Box 5"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675" cy="333375"/>
                      </a:xfrm>
                      <a:prstGeom prst="rect">
                        <a:avLst/>
                      </a:prstGeom>
                      <a:noFill/>
                      <a:ln>
                        <a:noFill/>
                      </a:ln>
                    </wps:spPr>
                    <wps:txbx>
                      <w:txbxContent>
                        <w:p w14:paraId="4D6B1EDD" w14:textId="218BD4D6"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2B605F" id="_x0000_t202" coordsize="21600,21600" o:spt="202" path="m,l,21600r21600,l21600,xe">
              <v:stroke joinstyle="miter"/>
              <v:path gradientshapeok="t" o:connecttype="rect"/>
            </v:shapetype>
            <v:shape id="Text Box 5" o:spid="_x0000_s1029" type="#_x0000_t202" alt="Unrestricted Document" style="position:absolute;margin-left:0;margin-top:0;width:115.25pt;height:26.2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CBaEgIAACIEAAAOAAAAZHJzL2Uyb0RvYy54bWysU02P2yAQvVfqf0DcGzvZTdpacVbprlJV&#10;inZXylZ7xhhiS8AgILHTX98Bx0m77amqD/jBDPPx5rG867UiR+F8C6ak00lOiTAc6tbsS/r9ZfPh&#10;EyU+MFMzBUaU9CQ8vVu9f7fsbCFm0ICqhSMYxPiisyVtQrBFlnneCM38BKwwaJTgNAu4dfusdqzD&#10;6FplszxfZB242jrgwns8fRiMdJXiSyl4eJLSi0BUSbG2kFaX1iqu2WrJir1jtmn5uQz2D1Vo1hpM&#10;egn1wAIjB9f+EUq33IEHGSYcdAZStlykHrCbaf6mm13DrEi9IDneXmjy/y8sfzzu7LMjof8CPQ4w&#10;EtJZX3g8jP300un4x0oJ2pHC04U20QfC46Xbxc3i45wSjrYb/BBjmOx62zofvgrQJIKSOhxLYosd&#10;tz4MrqNLTGZg0yqVRqPMbwcYM55k1xIjCn3Vk7bG5GP5FdQn7MrBMHBv+abF1FvmwzNzOGFsBFUb&#10;nnCRCrqSwhlR0oD78bfz6I/Eo5WSDhVTUoOSpkR9MziQ2fw2z6PC0g6BG0GVwPRzPo92c9D3gGKc&#10;4ruwPMHoHNQIpQP9iqJex2xoYoZjzpJWI7wPg37xUXCxXicnFJNlYWt2lsfQkbNI6Ev/ypw9sx5w&#10;Xo8waooVb8gffONNb9eHgCNIk4n8DmyeaUchptmeH01U+q/75HV92qufAAAA//8DAFBLAwQUAAYA&#10;CAAAACEA5XA2tNoAAAAEAQAADwAAAGRycy9kb3ducmV2LnhtbEyPzU7DMBCE70i8g7VI3KhDUKIq&#10;xKmq8iOupJXg6MTbOGq8TmO3DW/PwgUuK41mNPNtuZrdIM44hd6TgvtFAgKp9aanTsFu+3K3BBGi&#10;JqMHT6jgCwOsquurUhfGX+gdz3XsBJdQKLQCG+NYSBlai06HhR+R2Nv7yenIcuqkmfSFy90g0yTJ&#10;pdM98YLVI24stof65BTkT69rO37kn8d9Gt5C4w+x9s9K3d7M60cQEef4F4YffEaHipkafyITxKCA&#10;H4m/l730IclANAqyNANZlfI/fPUNAAD//wMAUEsBAi0AFAAGAAgAAAAhALaDOJL+AAAA4QEAABMA&#10;AAAAAAAAAAAAAAAAAAAAAFtDb250ZW50X1R5cGVzXS54bWxQSwECLQAUAAYACAAAACEAOP0h/9YA&#10;AACUAQAACwAAAAAAAAAAAAAAAAAvAQAAX3JlbHMvLnJlbHNQSwECLQAUAAYACAAAACEAJewgWhIC&#10;AAAiBAAADgAAAAAAAAAAAAAAAAAuAgAAZHJzL2Uyb0RvYy54bWxQSwECLQAUAAYACAAAACEA5XA2&#10;tNoAAAAEAQAADwAAAAAAAAAAAAAAAABsBAAAZHJzL2Rvd25yZXYueG1sUEsFBgAAAAAEAAQA8wAA&#10;AHMFAAAAAA==&#10;" filled="f" stroked="f">
              <v:textbox style="mso-fit-shape-to-text:t" inset="20pt,0,0,15pt">
                <w:txbxContent>
                  <w:p w14:paraId="4D6B1EDD" w14:textId="218BD4D6"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5EC1" w14:textId="3EDAB915" w:rsidR="00955916" w:rsidRDefault="005A0246" w:rsidP="00955916">
    <w:pPr>
      <w:tabs>
        <w:tab w:val="center" w:pos="4820"/>
      </w:tabs>
      <w:spacing w:after="120" w:line="192" w:lineRule="auto"/>
      <w:jc w:val="center"/>
      <w:rPr>
        <w:color w:val="000000"/>
        <w:sz w:val="20"/>
        <w:szCs w:val="20"/>
      </w:rPr>
    </w:pPr>
    <w:r>
      <w:rPr>
        <w:noProof/>
        <w:color w:val="000000"/>
        <w:sz w:val="20"/>
        <w:szCs w:val="20"/>
      </w:rPr>
      <mc:AlternateContent>
        <mc:Choice Requires="wps">
          <w:drawing>
            <wp:anchor distT="0" distB="0" distL="0" distR="0" simplePos="0" relativeHeight="251658245" behindDoc="0" locked="0" layoutInCell="1" allowOverlap="1" wp14:anchorId="67FB3511" wp14:editId="0035BF5B">
              <wp:simplePos x="635" y="635"/>
              <wp:positionH relativeFrom="page">
                <wp:align>left</wp:align>
              </wp:positionH>
              <wp:positionV relativeFrom="page">
                <wp:align>bottom</wp:align>
              </wp:positionV>
              <wp:extent cx="1463675" cy="333375"/>
              <wp:effectExtent l="0" t="0" r="3175" b="0"/>
              <wp:wrapNone/>
              <wp:docPr id="2109952689" name="Text Box 6"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675" cy="333375"/>
                      </a:xfrm>
                      <a:prstGeom prst="rect">
                        <a:avLst/>
                      </a:prstGeom>
                      <a:noFill/>
                      <a:ln>
                        <a:noFill/>
                      </a:ln>
                    </wps:spPr>
                    <wps:txbx>
                      <w:txbxContent>
                        <w:p w14:paraId="185D8392" w14:textId="568D279E"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FB3511" id="_x0000_t202" coordsize="21600,21600" o:spt="202" path="m,l,21600r21600,l21600,xe">
              <v:stroke joinstyle="miter"/>
              <v:path gradientshapeok="t" o:connecttype="rect"/>
            </v:shapetype>
            <v:shape id="Text Box 6" o:spid="_x0000_s1030" type="#_x0000_t202" alt="Unrestricted Document" style="position:absolute;left:0;text-align:left;margin-left:0;margin-top:0;width:115.25pt;height:26.2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0ZXEwIAACIEAAAOAAAAZHJzL2Uyb0RvYy54bWysU11v2yAUfZ+0/4B4X+ykSbZZcaqsVaZJ&#10;UVsprfpMMMSWgIuAxM5+/S44TrauT9P8gA/cy/0497C47bQiR+F8A6ak41FOiTAcqsbsS/ryvP70&#10;hRIfmKmYAiNKehKe3i4/fli0thATqEFVwhEMYnzR2pLWIdgiyzyvhWZ+BFYYNEpwmgXcun1WOdZi&#10;dK2ySZ7PsxZcZR1w4T2e3vdGukzxpRQ8PErpRSCqpFhbSKtL6y6u2XLBir1jtm74uQz2D1Vo1hhM&#10;egl1zwIjB9f8FUo33IEHGUYcdAZSNlykHrCbcf6mm23NrEi9IDneXmjy/y8sfzhu7ZMjofsGHQ4w&#10;EtJaX3g8jP100un4x0oJ2pHC04U20QXC46Xp/Gb+eUYJR9sNfogxTHa9bZ0P3wVoEkFJHY4lscWO&#10;Gx9618ElJjOwbpRKo1HmjwOMGU+ya4kRhW7XkaYq6XQofwfVCbty0A/cW75uMPWG+fDEHE4YG0HV&#10;hkdcpIK2pHBGlNTgfr53Hv2ReLRS0qJiSmpQ0pSoHwYHMplN8zwqLO0QuAHsEhh/zWfRbg76DlCM&#10;Y3wXlicYnYMaoHSgX1HUq5gNTcxwzFnS3QDvQq9ffBRcrFbJCcVkWdiYreUxdOQsEvrcvTJnz6wH&#10;nNcDDJpixRvye99409vVIeAI0mQivz2bZ9pRiGm250cTlf77Pnldn/byFwAAAP//AwBQSwMEFAAG&#10;AAgAAAAhAOVwNrTaAAAABAEAAA8AAABkcnMvZG93bnJldi54bWxMj81OwzAQhO9IvIO1SNyoQ1Ci&#10;KsSpqvIjrqSV4OjE2zhqvE5jtw1vz8IFLiuNZjTzbbma3SDOOIXek4L7RQICqfWmp07BbvtytwQR&#10;oiajB0+o4AsDrKrrq1IXxl/oHc917ASXUCi0AhvjWEgZWotOh4Ufkdjb+8npyHLqpJn0hcvdINMk&#10;yaXTPfGC1SNuLLaH+uQU5E+vazt+5J/HfRreQuMPsfbPSt3ezOtHEBHn+BeGH3xGh4qZGn8iE8Sg&#10;gB+Jv5e99CHJQDQKsjQDWZXyP3z1DQAA//8DAFBLAQItABQABgAIAAAAIQC2gziS/gAAAOEBAAAT&#10;AAAAAAAAAAAAAAAAAAAAAABbQ29udGVudF9UeXBlc10ueG1sUEsBAi0AFAAGAAgAAAAhADj9If/W&#10;AAAAlAEAAAsAAAAAAAAAAAAAAAAALwEAAF9yZWxzLy5yZWxzUEsBAi0AFAAGAAgAAAAhAHdPRlcT&#10;AgAAIgQAAA4AAAAAAAAAAAAAAAAALgIAAGRycy9lMm9Eb2MueG1sUEsBAi0AFAAGAAgAAAAhAOVw&#10;NrTaAAAABAEAAA8AAAAAAAAAAAAAAAAAbQQAAGRycy9kb3ducmV2LnhtbFBLBQYAAAAABAAEAPMA&#10;AAB0BQAAAAA=&#10;" filled="f" stroked="f">
              <v:textbox style="mso-fit-shape-to-text:t" inset="20pt,0,0,15pt">
                <w:txbxContent>
                  <w:p w14:paraId="185D8392" w14:textId="568D279E"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v:textbox>
              <w10:wrap anchorx="page" anchory="page"/>
            </v:shape>
          </w:pict>
        </mc:Fallback>
      </mc:AlternateContent>
    </w:r>
    <w:r w:rsidR="00955916">
      <w:rPr>
        <w:color w:val="000000"/>
        <w:sz w:val="20"/>
        <w:szCs w:val="20"/>
      </w:rPr>
      <w:fldChar w:fldCharType="begin"/>
    </w:r>
    <w:r w:rsidR="00955916">
      <w:rPr>
        <w:color w:val="000000"/>
        <w:sz w:val="20"/>
        <w:szCs w:val="20"/>
      </w:rPr>
      <w:instrText>PAGE</w:instrText>
    </w:r>
    <w:r w:rsidR="00955916">
      <w:rPr>
        <w:color w:val="000000"/>
        <w:sz w:val="20"/>
        <w:szCs w:val="20"/>
      </w:rPr>
      <w:fldChar w:fldCharType="separate"/>
    </w:r>
    <w:r w:rsidR="00955916">
      <w:rPr>
        <w:color w:val="000000"/>
        <w:sz w:val="20"/>
        <w:szCs w:val="20"/>
      </w:rPr>
      <w:t>1</w:t>
    </w:r>
    <w:r w:rsidR="00955916">
      <w:rPr>
        <w:color w:val="000000"/>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C078" w14:textId="712AC7CD" w:rsidR="005A0246" w:rsidRDefault="005A0246">
    <w:pPr>
      <w:pStyle w:val="Footer"/>
    </w:pPr>
    <w:r>
      <w:rPr>
        <w:noProof/>
      </w:rPr>
      <mc:AlternateContent>
        <mc:Choice Requires="wps">
          <w:drawing>
            <wp:anchor distT="0" distB="0" distL="0" distR="0" simplePos="0" relativeHeight="251658243" behindDoc="0" locked="0" layoutInCell="1" allowOverlap="1" wp14:anchorId="114004E1" wp14:editId="51ED6E09">
              <wp:simplePos x="635" y="635"/>
              <wp:positionH relativeFrom="page">
                <wp:align>left</wp:align>
              </wp:positionH>
              <wp:positionV relativeFrom="page">
                <wp:align>bottom</wp:align>
              </wp:positionV>
              <wp:extent cx="1463675" cy="333375"/>
              <wp:effectExtent l="0" t="0" r="3175" b="0"/>
              <wp:wrapNone/>
              <wp:docPr id="406848863" name="Text Box 4"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675" cy="333375"/>
                      </a:xfrm>
                      <a:prstGeom prst="rect">
                        <a:avLst/>
                      </a:prstGeom>
                      <a:noFill/>
                      <a:ln>
                        <a:noFill/>
                      </a:ln>
                    </wps:spPr>
                    <wps:txbx>
                      <w:txbxContent>
                        <w:p w14:paraId="75EEE31C" w14:textId="688BB00A"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4004E1" id="_x0000_t202" coordsize="21600,21600" o:spt="202" path="m,l,21600r21600,l21600,xe">
              <v:stroke joinstyle="miter"/>
              <v:path gradientshapeok="t" o:connecttype="rect"/>
            </v:shapetype>
            <v:shape id="Text Box 4" o:spid="_x0000_s1031" type="#_x0000_t202" alt="Unrestricted Document" style="position:absolute;margin-left:0;margin-top:0;width:115.25pt;height:26.2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ffEQIAACIEAAAOAAAAZHJzL2Uyb0RvYy54bWysU1Fv2yAQfp+0/4B4X+ykTbZZcaqsVaZJ&#10;UVspnfqMMcSWgENAYme/fgeOk63b0zQ/4I+744777mN512tFjsL5FkxJp5OcEmE41K3Zl/T7y+bD&#10;J0p8YKZmCowo6Ul4erd6/27Z2ULMoAFVC0cwifFFZ0vahGCLLPO8EZr5CVhh0CnBaRZw6/ZZ7ViH&#10;2bXKZnm+yDpwtXXAhfdofRicdJXySyl4eJLSi0BUSfFuIa0urVVcs9WSFXvHbNPy8zXYP9xCs9Zg&#10;0UuqBxYYObj2j1S65Q48yDDhoDOQsuUi9YDdTPM33ewaZkXqBcnx9kKT/39p+eNxZ58dCf0X6HGA&#10;kZDO+sKjMfbTS6fjH29K0I8Uni60iT4QHg/dLm4WH+eUcPTd4IcY02TX09b58FWAJhGU1OFYElvs&#10;uPVhCB1DYjEDm1apNBplfjNgzmjJrleMKPRVT9q6pKlutFRQn7ArB8PAveWbFktvmQ/PzOGEsRFU&#10;bXjCRSroSgpnREkD7sff7DEeiUcvJR0qpqQGJU2J+mZwILP5bZ5HhaUdAjeCKoHp53we/eag7wHF&#10;OMV3YXmCMTioEUoH+hVFvY7V0MUMx5olrUZ4Hwb94qPgYr1OQSgmy8LW7CyPqSNnkdCX/pU5e2Y9&#10;4LweYdQUK96QP8TGk96uDwFHkCZzZfNMOwoxzfb8aKLSf92nqOvTXv0EAAD//wMAUEsDBBQABgAI&#10;AAAAIQDlcDa02gAAAAQBAAAPAAAAZHJzL2Rvd25yZXYueG1sTI/NTsMwEITvSLyDtUjcqENQoirE&#10;qaryI66kleDoxNs4arxOY7cNb8/CBS4rjWY08225mt0gzjiF3pOC+0UCAqn1pqdOwW77crcEEaIm&#10;owdPqOALA6yq66tSF8Zf6B3PdewEl1AotAIb41hIGVqLToeFH5HY2/vJ6chy6qSZ9IXL3SDTJMml&#10;0z3xgtUjbiy2h/rkFORPr2s7fuSfx30a3kLjD7H2z0rd3szrRxAR5/gXhh98RoeKmRp/IhPEoIAf&#10;ib+XvfQhyUA0CrI0A1mV8j989Q0AAP//AwBQSwECLQAUAAYACAAAACEAtoM4kv4AAADhAQAAEwAA&#10;AAAAAAAAAAAAAAAAAAAAW0NvbnRlbnRfVHlwZXNdLnhtbFBLAQItABQABgAIAAAAIQA4/SH/1gAA&#10;AJQBAAALAAAAAAAAAAAAAAAAAC8BAABfcmVscy8ucmVsc1BLAQItABQABgAIAAAAIQCHwMffEQIA&#10;ACIEAAAOAAAAAAAAAAAAAAAAAC4CAABkcnMvZTJvRG9jLnhtbFBLAQItABQABgAIAAAAIQDlcDa0&#10;2gAAAAQBAAAPAAAAAAAAAAAAAAAAAGsEAABkcnMvZG93bnJldi54bWxQSwUGAAAAAAQABADzAAAA&#10;cgUAAAAA&#10;" filled="f" stroked="f">
              <v:textbox style="mso-fit-shape-to-text:t" inset="20pt,0,0,15pt">
                <w:txbxContent>
                  <w:p w14:paraId="75EEE31C" w14:textId="688BB00A" w:rsidR="005A0246" w:rsidRPr="005A0246" w:rsidRDefault="005A0246" w:rsidP="005A0246">
                    <w:pPr>
                      <w:rPr>
                        <w:rFonts w:ascii="Calibri" w:eastAsia="Calibri" w:hAnsi="Calibri" w:cs="Calibri"/>
                        <w:noProof/>
                        <w:color w:val="000000"/>
                        <w:sz w:val="20"/>
                        <w:szCs w:val="20"/>
                      </w:rPr>
                    </w:pPr>
                    <w:r w:rsidRPr="005A0246">
                      <w:rPr>
                        <w:rFonts w:ascii="Calibri" w:eastAsia="Calibri" w:hAnsi="Calibri" w:cs="Calibri"/>
                        <w:noProof/>
                        <w:color w:val="000000"/>
                        <w:sz w:val="20"/>
                        <w:szCs w:val="20"/>
                      </w:rPr>
                      <w:t>Unrestricted 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0D267" w14:textId="77777777" w:rsidR="00DB3D11" w:rsidRDefault="00DB3D11">
      <w:r>
        <w:separator/>
      </w:r>
    </w:p>
  </w:footnote>
  <w:footnote w:type="continuationSeparator" w:id="0">
    <w:p w14:paraId="2BA28EA0" w14:textId="77777777" w:rsidR="00DB3D11" w:rsidRDefault="00DB3D11">
      <w:r>
        <w:continuationSeparator/>
      </w:r>
    </w:p>
  </w:footnote>
  <w:footnote w:type="continuationNotice" w:id="1">
    <w:p w14:paraId="25E636B6" w14:textId="77777777" w:rsidR="00DB3D11" w:rsidRDefault="00DB3D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D958" w14:textId="5433B365" w:rsidR="00B47953" w:rsidRDefault="00B3468E" w:rsidP="008A068D">
    <w:pPr>
      <w:pStyle w:val="Header"/>
    </w:pPr>
    <w:r>
      <w:rPr>
        <w:noProof/>
      </w:rPr>
      <w:drawing>
        <wp:anchor distT="0" distB="0" distL="114300" distR="114300" simplePos="0" relativeHeight="251658246" behindDoc="0" locked="0" layoutInCell="1" allowOverlap="1" wp14:anchorId="5E76034E" wp14:editId="62E34B3E">
          <wp:simplePos x="0" y="0"/>
          <wp:positionH relativeFrom="column">
            <wp:posOffset>2138680</wp:posOffset>
          </wp:positionH>
          <wp:positionV relativeFrom="paragraph">
            <wp:posOffset>-85725</wp:posOffset>
          </wp:positionV>
          <wp:extent cx="4685030" cy="510540"/>
          <wp:effectExtent l="0" t="0" r="0" b="0"/>
          <wp:wrapThrough wrapText="bothSides">
            <wp:wrapPolygon edited="0">
              <wp:start x="0" y="0"/>
              <wp:lineTo x="0" y="18537"/>
              <wp:lineTo x="5445" y="18537"/>
              <wp:lineTo x="18093" y="16119"/>
              <wp:lineTo x="18005" y="14507"/>
              <wp:lineTo x="21167" y="9672"/>
              <wp:lineTo x="20903" y="3224"/>
              <wp:lineTo x="5445" y="0"/>
              <wp:lineTo x="0" y="0"/>
            </wp:wrapPolygon>
          </wp:wrapThrough>
          <wp:docPr id="447986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503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B739" w14:textId="77777777" w:rsidR="00B47953" w:rsidRDefault="00B47953">
    <w:pPr>
      <w:pStyle w:val="Header"/>
    </w:pPr>
    <w:r>
      <w:rPr>
        <w:noProof/>
      </w:rPr>
      <w:drawing>
        <wp:inline distT="0" distB="0" distL="0" distR="0" wp14:anchorId="1A58867E" wp14:editId="512C4546">
          <wp:extent cx="947420" cy="947420"/>
          <wp:effectExtent l="0" t="0" r="5080" b="5080"/>
          <wp:docPr id="5" name="image1.jpg" descr="Government Commercial Function logo"/>
          <wp:cNvGraphicFramePr/>
          <a:graphic xmlns:a="http://schemas.openxmlformats.org/drawingml/2006/main">
            <a:graphicData uri="http://schemas.openxmlformats.org/drawingml/2006/picture">
              <pic:pic xmlns:pic="http://schemas.openxmlformats.org/drawingml/2006/picture">
                <pic:nvPicPr>
                  <pic:cNvPr id="5" name="image1.jpg" descr="Government Commercial Func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47420" cy="94742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DD0A" w14:textId="073EFFAE" w:rsidR="001C5F1D" w:rsidRPr="00685134" w:rsidRDefault="001C5F1D" w:rsidP="00685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D2CA"/>
    <w:multiLevelType w:val="hybridMultilevel"/>
    <w:tmpl w:val="0C0EDA9E"/>
    <w:lvl w:ilvl="0" w:tplc="6FAEDAF4">
      <w:start w:val="1"/>
      <w:numFmt w:val="upperRoman"/>
      <w:lvlText w:val="%1."/>
      <w:lvlJc w:val="right"/>
      <w:pPr>
        <w:ind w:left="1440" w:hanging="360"/>
      </w:pPr>
    </w:lvl>
    <w:lvl w:ilvl="1" w:tplc="654695B2">
      <w:start w:val="1"/>
      <w:numFmt w:val="lowerLetter"/>
      <w:lvlText w:val="%2."/>
      <w:lvlJc w:val="left"/>
      <w:pPr>
        <w:ind w:left="2160" w:hanging="360"/>
      </w:pPr>
    </w:lvl>
    <w:lvl w:ilvl="2" w:tplc="58925D20">
      <w:start w:val="1"/>
      <w:numFmt w:val="lowerRoman"/>
      <w:lvlText w:val="%3."/>
      <w:lvlJc w:val="right"/>
      <w:pPr>
        <w:ind w:left="2880" w:hanging="180"/>
      </w:pPr>
    </w:lvl>
    <w:lvl w:ilvl="3" w:tplc="0870EDA4">
      <w:start w:val="1"/>
      <w:numFmt w:val="decimal"/>
      <w:lvlText w:val="%4."/>
      <w:lvlJc w:val="left"/>
      <w:pPr>
        <w:ind w:left="3600" w:hanging="360"/>
      </w:pPr>
    </w:lvl>
    <w:lvl w:ilvl="4" w:tplc="3E7C6BFA">
      <w:start w:val="1"/>
      <w:numFmt w:val="lowerLetter"/>
      <w:lvlText w:val="%5."/>
      <w:lvlJc w:val="left"/>
      <w:pPr>
        <w:ind w:left="4320" w:hanging="360"/>
      </w:pPr>
    </w:lvl>
    <w:lvl w:ilvl="5" w:tplc="D5DE1F60">
      <w:start w:val="1"/>
      <w:numFmt w:val="lowerRoman"/>
      <w:lvlText w:val="%6."/>
      <w:lvlJc w:val="right"/>
      <w:pPr>
        <w:ind w:left="5040" w:hanging="180"/>
      </w:pPr>
    </w:lvl>
    <w:lvl w:ilvl="6" w:tplc="E9146882">
      <w:start w:val="1"/>
      <w:numFmt w:val="decimal"/>
      <w:lvlText w:val="%7."/>
      <w:lvlJc w:val="left"/>
      <w:pPr>
        <w:ind w:left="5760" w:hanging="360"/>
      </w:pPr>
    </w:lvl>
    <w:lvl w:ilvl="7" w:tplc="D32AAB64">
      <w:start w:val="1"/>
      <w:numFmt w:val="lowerLetter"/>
      <w:lvlText w:val="%8."/>
      <w:lvlJc w:val="left"/>
      <w:pPr>
        <w:ind w:left="6480" w:hanging="360"/>
      </w:pPr>
    </w:lvl>
    <w:lvl w:ilvl="8" w:tplc="C04827E0">
      <w:start w:val="1"/>
      <w:numFmt w:val="lowerRoman"/>
      <w:lvlText w:val="%9."/>
      <w:lvlJc w:val="right"/>
      <w:pPr>
        <w:ind w:left="7200" w:hanging="180"/>
      </w:pPr>
    </w:lvl>
  </w:abstractNum>
  <w:abstractNum w:abstractNumId="1" w15:restartNumberingAfterBreak="0">
    <w:nsid w:val="26610F83"/>
    <w:multiLevelType w:val="multilevel"/>
    <w:tmpl w:val="A3DE004E"/>
    <w:lvl w:ilvl="0">
      <w:start w:val="1"/>
      <w:numFmt w:val="decimal"/>
      <w:lvlText w:val="%1."/>
      <w:lvlJc w:val="left"/>
      <w:pPr>
        <w:ind w:left="360" w:hanging="360"/>
      </w:pPr>
      <w:rPr>
        <w:color w:val="000000"/>
      </w:rPr>
    </w:lvl>
    <w:lvl w:ilvl="1">
      <w:start w:val="1"/>
      <w:numFmt w:val="decimal"/>
      <w:lvlText w:val="%1.%2."/>
      <w:lvlJc w:val="left"/>
      <w:pPr>
        <w:ind w:left="792" w:hanging="432"/>
      </w:pPr>
      <w:rPr>
        <w:b w:val="0"/>
      </w:rPr>
    </w:lvl>
    <w:lvl w:ilvl="2">
      <w:start w:val="1"/>
      <w:numFmt w:val="decimal"/>
      <w:lvlText w:val="%1.%2.%3."/>
      <w:lvlJc w:val="left"/>
      <w:pPr>
        <w:ind w:left="4332" w:hanging="504"/>
      </w:pPr>
      <w:rPr>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E323BF"/>
    <w:multiLevelType w:val="hybridMultilevel"/>
    <w:tmpl w:val="35F66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1FA7AF5"/>
    <w:multiLevelType w:val="hybridMultilevel"/>
    <w:tmpl w:val="DB9A3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F90609"/>
    <w:multiLevelType w:val="multilevel"/>
    <w:tmpl w:val="9D60F2D4"/>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0131F4F"/>
    <w:multiLevelType w:val="hybridMultilevel"/>
    <w:tmpl w:val="AB7EB22C"/>
    <w:lvl w:ilvl="0" w:tplc="6EB0B056">
      <w:start w:val="1"/>
      <w:numFmt w:val="decimal"/>
      <w:lvlText w:val="%1."/>
      <w:lvlJc w:val="left"/>
      <w:pPr>
        <w:ind w:left="4187" w:hanging="360"/>
      </w:pPr>
      <w:rPr>
        <w:rFonts w:hint="default"/>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A7D519"/>
    <w:multiLevelType w:val="hybridMultilevel"/>
    <w:tmpl w:val="07F82C50"/>
    <w:lvl w:ilvl="0" w:tplc="473AEDAA">
      <w:start w:val="1"/>
      <w:numFmt w:val="lowerLetter"/>
      <w:lvlText w:val="%1."/>
      <w:lvlJc w:val="left"/>
      <w:pPr>
        <w:ind w:left="720" w:hanging="360"/>
      </w:pPr>
    </w:lvl>
    <w:lvl w:ilvl="1" w:tplc="259AF086">
      <w:start w:val="1"/>
      <w:numFmt w:val="lowerLetter"/>
      <w:lvlText w:val="%2."/>
      <w:lvlJc w:val="left"/>
      <w:pPr>
        <w:ind w:left="1440" w:hanging="360"/>
      </w:pPr>
    </w:lvl>
    <w:lvl w:ilvl="2" w:tplc="0A384BA6">
      <w:start w:val="1"/>
      <w:numFmt w:val="lowerRoman"/>
      <w:lvlText w:val="%3."/>
      <w:lvlJc w:val="right"/>
      <w:pPr>
        <w:ind w:left="2160" w:hanging="180"/>
      </w:pPr>
    </w:lvl>
    <w:lvl w:ilvl="3" w:tplc="98489DA2">
      <w:start w:val="1"/>
      <w:numFmt w:val="decimal"/>
      <w:lvlText w:val="%4."/>
      <w:lvlJc w:val="left"/>
      <w:pPr>
        <w:ind w:left="2880" w:hanging="360"/>
      </w:pPr>
    </w:lvl>
    <w:lvl w:ilvl="4" w:tplc="F438A752">
      <w:start w:val="1"/>
      <w:numFmt w:val="lowerLetter"/>
      <w:lvlText w:val="%5."/>
      <w:lvlJc w:val="left"/>
      <w:pPr>
        <w:ind w:left="3600" w:hanging="360"/>
      </w:pPr>
    </w:lvl>
    <w:lvl w:ilvl="5" w:tplc="724AF032">
      <w:start w:val="1"/>
      <w:numFmt w:val="lowerRoman"/>
      <w:lvlText w:val="%6."/>
      <w:lvlJc w:val="right"/>
      <w:pPr>
        <w:ind w:left="4320" w:hanging="180"/>
      </w:pPr>
    </w:lvl>
    <w:lvl w:ilvl="6" w:tplc="53DA6942">
      <w:start w:val="1"/>
      <w:numFmt w:val="decimal"/>
      <w:lvlText w:val="%7."/>
      <w:lvlJc w:val="left"/>
      <w:pPr>
        <w:ind w:left="5040" w:hanging="360"/>
      </w:pPr>
    </w:lvl>
    <w:lvl w:ilvl="7" w:tplc="7BBEB7E6">
      <w:start w:val="1"/>
      <w:numFmt w:val="lowerLetter"/>
      <w:lvlText w:val="%8."/>
      <w:lvlJc w:val="left"/>
      <w:pPr>
        <w:ind w:left="5760" w:hanging="360"/>
      </w:pPr>
    </w:lvl>
    <w:lvl w:ilvl="8" w:tplc="7E2AA954">
      <w:start w:val="1"/>
      <w:numFmt w:val="lowerRoman"/>
      <w:lvlText w:val="%9."/>
      <w:lvlJc w:val="right"/>
      <w:pPr>
        <w:ind w:left="6480" w:hanging="180"/>
      </w:pPr>
    </w:lvl>
  </w:abstractNum>
  <w:abstractNum w:abstractNumId="7"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762721A"/>
    <w:multiLevelType w:val="hybridMultilevel"/>
    <w:tmpl w:val="406835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6F3EF3"/>
    <w:multiLevelType w:val="multilevel"/>
    <w:tmpl w:val="6ECAA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2F625B5"/>
    <w:multiLevelType w:val="hybridMultilevel"/>
    <w:tmpl w:val="42C4D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FA65D75"/>
    <w:multiLevelType w:val="hybridMultilevel"/>
    <w:tmpl w:val="50C02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FD27903"/>
    <w:multiLevelType w:val="hybridMultilevel"/>
    <w:tmpl w:val="4B7C6838"/>
    <w:lvl w:ilvl="0" w:tplc="B97A0F20">
      <w:start w:val="1"/>
      <w:numFmt w:val="bullet"/>
      <w:lvlText w:val=""/>
      <w:lvlJc w:val="left"/>
      <w:pPr>
        <w:ind w:left="720" w:hanging="360"/>
      </w:pPr>
      <w:rPr>
        <w:rFonts w:ascii="Symbol" w:hAnsi="Symbol" w:hint="default"/>
      </w:rPr>
    </w:lvl>
    <w:lvl w:ilvl="1" w:tplc="B4F0FF64">
      <w:start w:val="1"/>
      <w:numFmt w:val="bullet"/>
      <w:lvlText w:val="o"/>
      <w:lvlJc w:val="left"/>
      <w:pPr>
        <w:ind w:left="1440" w:hanging="360"/>
      </w:pPr>
      <w:rPr>
        <w:rFonts w:ascii="Courier New" w:hAnsi="Courier New" w:hint="default"/>
      </w:rPr>
    </w:lvl>
    <w:lvl w:ilvl="2" w:tplc="5FF0ED46">
      <w:start w:val="1"/>
      <w:numFmt w:val="bullet"/>
      <w:lvlText w:val=""/>
      <w:lvlJc w:val="left"/>
      <w:pPr>
        <w:ind w:left="2160" w:hanging="360"/>
      </w:pPr>
      <w:rPr>
        <w:rFonts w:ascii="Wingdings" w:hAnsi="Wingdings" w:hint="default"/>
      </w:rPr>
    </w:lvl>
    <w:lvl w:ilvl="3" w:tplc="3B627B0A">
      <w:start w:val="1"/>
      <w:numFmt w:val="bullet"/>
      <w:lvlText w:val=""/>
      <w:lvlJc w:val="left"/>
      <w:pPr>
        <w:ind w:left="2880" w:hanging="360"/>
      </w:pPr>
      <w:rPr>
        <w:rFonts w:ascii="Symbol" w:hAnsi="Symbol" w:hint="default"/>
      </w:rPr>
    </w:lvl>
    <w:lvl w:ilvl="4" w:tplc="9C9ED448">
      <w:start w:val="1"/>
      <w:numFmt w:val="bullet"/>
      <w:lvlText w:val="o"/>
      <w:lvlJc w:val="left"/>
      <w:pPr>
        <w:ind w:left="3600" w:hanging="360"/>
      </w:pPr>
      <w:rPr>
        <w:rFonts w:ascii="Courier New" w:hAnsi="Courier New" w:hint="default"/>
      </w:rPr>
    </w:lvl>
    <w:lvl w:ilvl="5" w:tplc="82881372">
      <w:start w:val="1"/>
      <w:numFmt w:val="bullet"/>
      <w:lvlText w:val=""/>
      <w:lvlJc w:val="left"/>
      <w:pPr>
        <w:ind w:left="4320" w:hanging="360"/>
      </w:pPr>
      <w:rPr>
        <w:rFonts w:ascii="Wingdings" w:hAnsi="Wingdings" w:hint="default"/>
      </w:rPr>
    </w:lvl>
    <w:lvl w:ilvl="6" w:tplc="451A431E">
      <w:start w:val="1"/>
      <w:numFmt w:val="bullet"/>
      <w:lvlText w:val=""/>
      <w:lvlJc w:val="left"/>
      <w:pPr>
        <w:ind w:left="5040" w:hanging="360"/>
      </w:pPr>
      <w:rPr>
        <w:rFonts w:ascii="Symbol" w:hAnsi="Symbol" w:hint="default"/>
      </w:rPr>
    </w:lvl>
    <w:lvl w:ilvl="7" w:tplc="5F687BD8">
      <w:start w:val="1"/>
      <w:numFmt w:val="bullet"/>
      <w:lvlText w:val="o"/>
      <w:lvlJc w:val="left"/>
      <w:pPr>
        <w:ind w:left="5760" w:hanging="360"/>
      </w:pPr>
      <w:rPr>
        <w:rFonts w:ascii="Courier New" w:hAnsi="Courier New" w:hint="default"/>
      </w:rPr>
    </w:lvl>
    <w:lvl w:ilvl="8" w:tplc="7D2214A6">
      <w:start w:val="1"/>
      <w:numFmt w:val="bullet"/>
      <w:lvlText w:val=""/>
      <w:lvlJc w:val="left"/>
      <w:pPr>
        <w:ind w:left="6480" w:hanging="360"/>
      </w:pPr>
      <w:rPr>
        <w:rFonts w:ascii="Wingdings" w:hAnsi="Wingdings" w:hint="default"/>
      </w:rPr>
    </w:lvl>
  </w:abstractNum>
  <w:num w:numId="1" w16cid:durableId="556891000">
    <w:abstractNumId w:val="7"/>
  </w:num>
  <w:num w:numId="2" w16cid:durableId="765346724">
    <w:abstractNumId w:val="12"/>
  </w:num>
  <w:num w:numId="3" w16cid:durableId="100490585">
    <w:abstractNumId w:val="10"/>
  </w:num>
  <w:num w:numId="4" w16cid:durableId="878905163">
    <w:abstractNumId w:val="8"/>
  </w:num>
  <w:num w:numId="5" w16cid:durableId="1996716330">
    <w:abstractNumId w:val="5"/>
  </w:num>
  <w:num w:numId="6" w16cid:durableId="1975795062">
    <w:abstractNumId w:val="3"/>
  </w:num>
  <w:num w:numId="7" w16cid:durableId="1291129150">
    <w:abstractNumId w:val="4"/>
  </w:num>
  <w:num w:numId="8" w16cid:durableId="928268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0795863">
    <w:abstractNumId w:val="2"/>
  </w:num>
  <w:num w:numId="10" w16cid:durableId="1143084385">
    <w:abstractNumId w:val="13"/>
  </w:num>
  <w:num w:numId="11" w16cid:durableId="1782336292">
    <w:abstractNumId w:val="0"/>
  </w:num>
  <w:num w:numId="12" w16cid:durableId="1836263311">
    <w:abstractNumId w:val="6"/>
  </w:num>
  <w:num w:numId="13" w16cid:durableId="2030329885">
    <w:abstractNumId w:val="14"/>
  </w:num>
  <w:num w:numId="14" w16cid:durableId="1842282565">
    <w:abstractNumId w:val="11"/>
  </w:num>
  <w:num w:numId="15" w16cid:durableId="207697328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2F8B"/>
    <w:rsid w:val="0000446D"/>
    <w:rsid w:val="000114CA"/>
    <w:rsid w:val="00014CDC"/>
    <w:rsid w:val="00016D14"/>
    <w:rsid w:val="00016E39"/>
    <w:rsid w:val="000178D0"/>
    <w:rsid w:val="000209D6"/>
    <w:rsid w:val="000215BB"/>
    <w:rsid w:val="00032597"/>
    <w:rsid w:val="000334D5"/>
    <w:rsid w:val="00033CD1"/>
    <w:rsid w:val="000344AA"/>
    <w:rsid w:val="000349F1"/>
    <w:rsid w:val="00034ACA"/>
    <w:rsid w:val="00035B8C"/>
    <w:rsid w:val="00037312"/>
    <w:rsid w:val="00040750"/>
    <w:rsid w:val="000455BD"/>
    <w:rsid w:val="00050366"/>
    <w:rsid w:val="0006182B"/>
    <w:rsid w:val="00066ABC"/>
    <w:rsid w:val="000744CA"/>
    <w:rsid w:val="00074A8E"/>
    <w:rsid w:val="00074BC1"/>
    <w:rsid w:val="00075D44"/>
    <w:rsid w:val="0007780E"/>
    <w:rsid w:val="00080A2F"/>
    <w:rsid w:val="00082BDE"/>
    <w:rsid w:val="0008419C"/>
    <w:rsid w:val="00085040"/>
    <w:rsid w:val="00086B14"/>
    <w:rsid w:val="00091B9B"/>
    <w:rsid w:val="00092A59"/>
    <w:rsid w:val="000A042D"/>
    <w:rsid w:val="000A55A1"/>
    <w:rsid w:val="000A6797"/>
    <w:rsid w:val="000A6DCF"/>
    <w:rsid w:val="000B263F"/>
    <w:rsid w:val="000B2A04"/>
    <w:rsid w:val="000B7B7E"/>
    <w:rsid w:val="000C0FC6"/>
    <w:rsid w:val="000C3285"/>
    <w:rsid w:val="000D05CC"/>
    <w:rsid w:val="000D2562"/>
    <w:rsid w:val="000D3323"/>
    <w:rsid w:val="000D47FE"/>
    <w:rsid w:val="000D4DEF"/>
    <w:rsid w:val="000D62EF"/>
    <w:rsid w:val="000E0299"/>
    <w:rsid w:val="000E6433"/>
    <w:rsid w:val="000E66ED"/>
    <w:rsid w:val="000E6E47"/>
    <w:rsid w:val="000F2971"/>
    <w:rsid w:val="000F2B9B"/>
    <w:rsid w:val="000F3181"/>
    <w:rsid w:val="000F375B"/>
    <w:rsid w:val="000F5841"/>
    <w:rsid w:val="000F6CDF"/>
    <w:rsid w:val="00102BF8"/>
    <w:rsid w:val="00104F85"/>
    <w:rsid w:val="00106D51"/>
    <w:rsid w:val="00114581"/>
    <w:rsid w:val="001151C6"/>
    <w:rsid w:val="00117B5C"/>
    <w:rsid w:val="001206C9"/>
    <w:rsid w:val="001240EE"/>
    <w:rsid w:val="0012416B"/>
    <w:rsid w:val="0012675C"/>
    <w:rsid w:val="00133337"/>
    <w:rsid w:val="00140AAC"/>
    <w:rsid w:val="00140C1B"/>
    <w:rsid w:val="001410FA"/>
    <w:rsid w:val="00142A5A"/>
    <w:rsid w:val="001434A2"/>
    <w:rsid w:val="00144A55"/>
    <w:rsid w:val="0014599B"/>
    <w:rsid w:val="00146FFE"/>
    <w:rsid w:val="00153566"/>
    <w:rsid w:val="0015587B"/>
    <w:rsid w:val="00156207"/>
    <w:rsid w:val="00160CD8"/>
    <w:rsid w:val="00170C6F"/>
    <w:rsid w:val="00172641"/>
    <w:rsid w:val="00181AAF"/>
    <w:rsid w:val="0018563A"/>
    <w:rsid w:val="00190CC6"/>
    <w:rsid w:val="001922ED"/>
    <w:rsid w:val="00194EC6"/>
    <w:rsid w:val="00195CA7"/>
    <w:rsid w:val="001A5F90"/>
    <w:rsid w:val="001A6879"/>
    <w:rsid w:val="001B11AD"/>
    <w:rsid w:val="001B24A5"/>
    <w:rsid w:val="001B7722"/>
    <w:rsid w:val="001B7FC4"/>
    <w:rsid w:val="001C146E"/>
    <w:rsid w:val="001C4AE5"/>
    <w:rsid w:val="001C550D"/>
    <w:rsid w:val="001C5F1D"/>
    <w:rsid w:val="001C6076"/>
    <w:rsid w:val="001C64AF"/>
    <w:rsid w:val="001D2378"/>
    <w:rsid w:val="001D3477"/>
    <w:rsid w:val="001D5311"/>
    <w:rsid w:val="001D5839"/>
    <w:rsid w:val="001D5B62"/>
    <w:rsid w:val="001D5D99"/>
    <w:rsid w:val="001E2229"/>
    <w:rsid w:val="001E3D8E"/>
    <w:rsid w:val="001E496C"/>
    <w:rsid w:val="001E509A"/>
    <w:rsid w:val="001E5C69"/>
    <w:rsid w:val="002039BF"/>
    <w:rsid w:val="002107B6"/>
    <w:rsid w:val="00211137"/>
    <w:rsid w:val="002147DD"/>
    <w:rsid w:val="00215280"/>
    <w:rsid w:val="00220792"/>
    <w:rsid w:val="00222C22"/>
    <w:rsid w:val="00223DD4"/>
    <w:rsid w:val="00224CE8"/>
    <w:rsid w:val="002320D6"/>
    <w:rsid w:val="002359DF"/>
    <w:rsid w:val="00237547"/>
    <w:rsid w:val="00241147"/>
    <w:rsid w:val="00245E6F"/>
    <w:rsid w:val="00251AC1"/>
    <w:rsid w:val="002528E2"/>
    <w:rsid w:val="002531E9"/>
    <w:rsid w:val="00253A67"/>
    <w:rsid w:val="00256FE5"/>
    <w:rsid w:val="00257E13"/>
    <w:rsid w:val="00257FCE"/>
    <w:rsid w:val="002615D4"/>
    <w:rsid w:val="00264DAA"/>
    <w:rsid w:val="00274093"/>
    <w:rsid w:val="002760DD"/>
    <w:rsid w:val="00281D88"/>
    <w:rsid w:val="002860C1"/>
    <w:rsid w:val="00293180"/>
    <w:rsid w:val="002A3CCB"/>
    <w:rsid w:val="002A54DB"/>
    <w:rsid w:val="002A7E9E"/>
    <w:rsid w:val="002B3D9E"/>
    <w:rsid w:val="002B4971"/>
    <w:rsid w:val="002B5517"/>
    <w:rsid w:val="002C710C"/>
    <w:rsid w:val="002D113A"/>
    <w:rsid w:val="002D1803"/>
    <w:rsid w:val="002D257E"/>
    <w:rsid w:val="002D5063"/>
    <w:rsid w:val="002D5E49"/>
    <w:rsid w:val="002E2C1C"/>
    <w:rsid w:val="002E3059"/>
    <w:rsid w:val="002E3CFA"/>
    <w:rsid w:val="002E5383"/>
    <w:rsid w:val="002F0AA3"/>
    <w:rsid w:val="002F4A43"/>
    <w:rsid w:val="003102C0"/>
    <w:rsid w:val="00311924"/>
    <w:rsid w:val="00321A5B"/>
    <w:rsid w:val="00332B1A"/>
    <w:rsid w:val="00334403"/>
    <w:rsid w:val="003426BC"/>
    <w:rsid w:val="00343A37"/>
    <w:rsid w:val="00343F98"/>
    <w:rsid w:val="003463C0"/>
    <w:rsid w:val="00347099"/>
    <w:rsid w:val="00352513"/>
    <w:rsid w:val="00353CA1"/>
    <w:rsid w:val="0035606E"/>
    <w:rsid w:val="00360F26"/>
    <w:rsid w:val="00360FFA"/>
    <w:rsid w:val="003634F0"/>
    <w:rsid w:val="00365BEE"/>
    <w:rsid w:val="00365F97"/>
    <w:rsid w:val="003668AD"/>
    <w:rsid w:val="00367257"/>
    <w:rsid w:val="003778BF"/>
    <w:rsid w:val="00380154"/>
    <w:rsid w:val="0038018F"/>
    <w:rsid w:val="00384193"/>
    <w:rsid w:val="00387681"/>
    <w:rsid w:val="00395D8B"/>
    <w:rsid w:val="003A07D0"/>
    <w:rsid w:val="003A4F8F"/>
    <w:rsid w:val="003B30AD"/>
    <w:rsid w:val="003B3CAC"/>
    <w:rsid w:val="003B534A"/>
    <w:rsid w:val="003C633B"/>
    <w:rsid w:val="003C738B"/>
    <w:rsid w:val="003D49D5"/>
    <w:rsid w:val="003D5027"/>
    <w:rsid w:val="003D5696"/>
    <w:rsid w:val="003D788A"/>
    <w:rsid w:val="003E2BFE"/>
    <w:rsid w:val="003E3D85"/>
    <w:rsid w:val="003E71B3"/>
    <w:rsid w:val="003F17F7"/>
    <w:rsid w:val="003F648F"/>
    <w:rsid w:val="003F6966"/>
    <w:rsid w:val="003F6CC0"/>
    <w:rsid w:val="00400348"/>
    <w:rsid w:val="004043A1"/>
    <w:rsid w:val="0040599D"/>
    <w:rsid w:val="00412380"/>
    <w:rsid w:val="004232F4"/>
    <w:rsid w:val="0043104B"/>
    <w:rsid w:val="004342AE"/>
    <w:rsid w:val="00434DCD"/>
    <w:rsid w:val="004447C6"/>
    <w:rsid w:val="00446DEF"/>
    <w:rsid w:val="00454B39"/>
    <w:rsid w:val="004553B7"/>
    <w:rsid w:val="00455C20"/>
    <w:rsid w:val="00460BAC"/>
    <w:rsid w:val="00462B41"/>
    <w:rsid w:val="00463BD1"/>
    <w:rsid w:val="00465118"/>
    <w:rsid w:val="00465D14"/>
    <w:rsid w:val="004707CC"/>
    <w:rsid w:val="00470B13"/>
    <w:rsid w:val="004722A7"/>
    <w:rsid w:val="00472B5B"/>
    <w:rsid w:val="00476625"/>
    <w:rsid w:val="004774B8"/>
    <w:rsid w:val="00480568"/>
    <w:rsid w:val="00481AED"/>
    <w:rsid w:val="004834B5"/>
    <w:rsid w:val="00484A5E"/>
    <w:rsid w:val="00493867"/>
    <w:rsid w:val="00496B7C"/>
    <w:rsid w:val="004972A9"/>
    <w:rsid w:val="004A1C8E"/>
    <w:rsid w:val="004A5958"/>
    <w:rsid w:val="004A5BF8"/>
    <w:rsid w:val="004B1212"/>
    <w:rsid w:val="004B749B"/>
    <w:rsid w:val="004C009C"/>
    <w:rsid w:val="004C1664"/>
    <w:rsid w:val="004D0266"/>
    <w:rsid w:val="004D2E5F"/>
    <w:rsid w:val="004D7094"/>
    <w:rsid w:val="004D7565"/>
    <w:rsid w:val="004E03CF"/>
    <w:rsid w:val="004E76AE"/>
    <w:rsid w:val="004F061D"/>
    <w:rsid w:val="004F29FC"/>
    <w:rsid w:val="005054C1"/>
    <w:rsid w:val="005105B5"/>
    <w:rsid w:val="00512A03"/>
    <w:rsid w:val="0051320A"/>
    <w:rsid w:val="00513F71"/>
    <w:rsid w:val="00514717"/>
    <w:rsid w:val="005164F7"/>
    <w:rsid w:val="00517E78"/>
    <w:rsid w:val="00521374"/>
    <w:rsid w:val="00540109"/>
    <w:rsid w:val="005425E5"/>
    <w:rsid w:val="00544015"/>
    <w:rsid w:val="00544BC7"/>
    <w:rsid w:val="005475C5"/>
    <w:rsid w:val="00557EB3"/>
    <w:rsid w:val="0056152B"/>
    <w:rsid w:val="005636E7"/>
    <w:rsid w:val="00564EF6"/>
    <w:rsid w:val="0056748C"/>
    <w:rsid w:val="0057162C"/>
    <w:rsid w:val="00571961"/>
    <w:rsid w:val="005768FC"/>
    <w:rsid w:val="00580D9D"/>
    <w:rsid w:val="005845EA"/>
    <w:rsid w:val="00587ABF"/>
    <w:rsid w:val="00591942"/>
    <w:rsid w:val="00593E35"/>
    <w:rsid w:val="005963DA"/>
    <w:rsid w:val="005A0246"/>
    <w:rsid w:val="005A3025"/>
    <w:rsid w:val="005A504C"/>
    <w:rsid w:val="005A7F98"/>
    <w:rsid w:val="005B2973"/>
    <w:rsid w:val="005B42F7"/>
    <w:rsid w:val="005B536C"/>
    <w:rsid w:val="005B6F39"/>
    <w:rsid w:val="005B7F90"/>
    <w:rsid w:val="005C1D48"/>
    <w:rsid w:val="005C1E68"/>
    <w:rsid w:val="005C66CF"/>
    <w:rsid w:val="005C7748"/>
    <w:rsid w:val="005C7F87"/>
    <w:rsid w:val="005D11A6"/>
    <w:rsid w:val="005D16BE"/>
    <w:rsid w:val="005D446D"/>
    <w:rsid w:val="005E002C"/>
    <w:rsid w:val="005E30DB"/>
    <w:rsid w:val="005F05FC"/>
    <w:rsid w:val="005F0A79"/>
    <w:rsid w:val="005F10D6"/>
    <w:rsid w:val="00601E77"/>
    <w:rsid w:val="006023B5"/>
    <w:rsid w:val="00605A14"/>
    <w:rsid w:val="006119E4"/>
    <w:rsid w:val="00612AE0"/>
    <w:rsid w:val="0061744B"/>
    <w:rsid w:val="00621363"/>
    <w:rsid w:val="00624EEA"/>
    <w:rsid w:val="0063289B"/>
    <w:rsid w:val="00635953"/>
    <w:rsid w:val="006376AF"/>
    <w:rsid w:val="00643A7A"/>
    <w:rsid w:val="00645A36"/>
    <w:rsid w:val="006460F3"/>
    <w:rsid w:val="006461CC"/>
    <w:rsid w:val="00653B44"/>
    <w:rsid w:val="00661BC0"/>
    <w:rsid w:val="0066527D"/>
    <w:rsid w:val="006658BA"/>
    <w:rsid w:val="00675396"/>
    <w:rsid w:val="00675D8D"/>
    <w:rsid w:val="00680C2E"/>
    <w:rsid w:val="006834EC"/>
    <w:rsid w:val="00685134"/>
    <w:rsid w:val="006904F8"/>
    <w:rsid w:val="006917FD"/>
    <w:rsid w:val="00692C6C"/>
    <w:rsid w:val="006932D7"/>
    <w:rsid w:val="006965BC"/>
    <w:rsid w:val="006A1D16"/>
    <w:rsid w:val="006A3B19"/>
    <w:rsid w:val="006A5BC5"/>
    <w:rsid w:val="006B6B05"/>
    <w:rsid w:val="006C2374"/>
    <w:rsid w:val="006C2DAD"/>
    <w:rsid w:val="006C3D5C"/>
    <w:rsid w:val="006D06CC"/>
    <w:rsid w:val="006D2B63"/>
    <w:rsid w:val="006D424F"/>
    <w:rsid w:val="006E0741"/>
    <w:rsid w:val="006E0CE2"/>
    <w:rsid w:val="006E5765"/>
    <w:rsid w:val="006F18F9"/>
    <w:rsid w:val="006F4334"/>
    <w:rsid w:val="006F5C6A"/>
    <w:rsid w:val="006F6101"/>
    <w:rsid w:val="006F72E3"/>
    <w:rsid w:val="007004F8"/>
    <w:rsid w:val="00702243"/>
    <w:rsid w:val="00704134"/>
    <w:rsid w:val="0070596D"/>
    <w:rsid w:val="00705FCD"/>
    <w:rsid w:val="0071084F"/>
    <w:rsid w:val="00710BA2"/>
    <w:rsid w:val="00712F55"/>
    <w:rsid w:val="00716AD6"/>
    <w:rsid w:val="00724D39"/>
    <w:rsid w:val="00725045"/>
    <w:rsid w:val="007268FF"/>
    <w:rsid w:val="007329F7"/>
    <w:rsid w:val="007339DA"/>
    <w:rsid w:val="00740432"/>
    <w:rsid w:val="00741884"/>
    <w:rsid w:val="007445A4"/>
    <w:rsid w:val="00746415"/>
    <w:rsid w:val="0075349F"/>
    <w:rsid w:val="00770687"/>
    <w:rsid w:val="0077551F"/>
    <w:rsid w:val="0077566D"/>
    <w:rsid w:val="00781572"/>
    <w:rsid w:val="00786142"/>
    <w:rsid w:val="00786797"/>
    <w:rsid w:val="007872B2"/>
    <w:rsid w:val="00790725"/>
    <w:rsid w:val="0079134C"/>
    <w:rsid w:val="007919E7"/>
    <w:rsid w:val="007925BC"/>
    <w:rsid w:val="00793DE9"/>
    <w:rsid w:val="007977C4"/>
    <w:rsid w:val="00797EE1"/>
    <w:rsid w:val="007A1667"/>
    <w:rsid w:val="007A2844"/>
    <w:rsid w:val="007A2A2C"/>
    <w:rsid w:val="007A6091"/>
    <w:rsid w:val="007B196F"/>
    <w:rsid w:val="007B4364"/>
    <w:rsid w:val="007C083A"/>
    <w:rsid w:val="007C6699"/>
    <w:rsid w:val="007C72BB"/>
    <w:rsid w:val="007D0F49"/>
    <w:rsid w:val="007E0C82"/>
    <w:rsid w:val="007E3873"/>
    <w:rsid w:val="007E3B65"/>
    <w:rsid w:val="007E7526"/>
    <w:rsid w:val="007F359A"/>
    <w:rsid w:val="00804624"/>
    <w:rsid w:val="00810215"/>
    <w:rsid w:val="008121B6"/>
    <w:rsid w:val="008150E4"/>
    <w:rsid w:val="00822264"/>
    <w:rsid w:val="00823257"/>
    <w:rsid w:val="0083185E"/>
    <w:rsid w:val="0083458E"/>
    <w:rsid w:val="00836F00"/>
    <w:rsid w:val="00844966"/>
    <w:rsid w:val="00845A54"/>
    <w:rsid w:val="0085425F"/>
    <w:rsid w:val="00857B41"/>
    <w:rsid w:val="00860667"/>
    <w:rsid w:val="0086423A"/>
    <w:rsid w:val="00870BC2"/>
    <w:rsid w:val="00872071"/>
    <w:rsid w:val="0087614D"/>
    <w:rsid w:val="00881557"/>
    <w:rsid w:val="0088218A"/>
    <w:rsid w:val="00886A17"/>
    <w:rsid w:val="008875F7"/>
    <w:rsid w:val="00893365"/>
    <w:rsid w:val="008936A7"/>
    <w:rsid w:val="008A068D"/>
    <w:rsid w:val="008A3D54"/>
    <w:rsid w:val="008A598A"/>
    <w:rsid w:val="008B2806"/>
    <w:rsid w:val="008B3D39"/>
    <w:rsid w:val="008B4137"/>
    <w:rsid w:val="008B555D"/>
    <w:rsid w:val="008B5F7E"/>
    <w:rsid w:val="008C1CC4"/>
    <w:rsid w:val="008C2C8C"/>
    <w:rsid w:val="008C2EB7"/>
    <w:rsid w:val="008C3C24"/>
    <w:rsid w:val="008C45D2"/>
    <w:rsid w:val="008D216D"/>
    <w:rsid w:val="008D3ADC"/>
    <w:rsid w:val="008D55C7"/>
    <w:rsid w:val="008E13AD"/>
    <w:rsid w:val="008E222C"/>
    <w:rsid w:val="008E27FD"/>
    <w:rsid w:val="008E6422"/>
    <w:rsid w:val="008F00C6"/>
    <w:rsid w:val="008F2D44"/>
    <w:rsid w:val="008F339E"/>
    <w:rsid w:val="008F4BB9"/>
    <w:rsid w:val="008F6E32"/>
    <w:rsid w:val="00910968"/>
    <w:rsid w:val="00921FDE"/>
    <w:rsid w:val="00923C45"/>
    <w:rsid w:val="0093038B"/>
    <w:rsid w:val="009315B1"/>
    <w:rsid w:val="00932141"/>
    <w:rsid w:val="00932502"/>
    <w:rsid w:val="009333B9"/>
    <w:rsid w:val="0093432E"/>
    <w:rsid w:val="00936A11"/>
    <w:rsid w:val="009439BE"/>
    <w:rsid w:val="009449AA"/>
    <w:rsid w:val="00950998"/>
    <w:rsid w:val="00951FBD"/>
    <w:rsid w:val="00953414"/>
    <w:rsid w:val="009541FA"/>
    <w:rsid w:val="00955341"/>
    <w:rsid w:val="0095538F"/>
    <w:rsid w:val="00955916"/>
    <w:rsid w:val="00960ACE"/>
    <w:rsid w:val="00963669"/>
    <w:rsid w:val="009637C7"/>
    <w:rsid w:val="00963B92"/>
    <w:rsid w:val="00966205"/>
    <w:rsid w:val="00966E14"/>
    <w:rsid w:val="009672FD"/>
    <w:rsid w:val="00977BBE"/>
    <w:rsid w:val="0098049B"/>
    <w:rsid w:val="009812C5"/>
    <w:rsid w:val="00981C50"/>
    <w:rsid w:val="00984706"/>
    <w:rsid w:val="00990115"/>
    <w:rsid w:val="00991C2A"/>
    <w:rsid w:val="009946AA"/>
    <w:rsid w:val="00996879"/>
    <w:rsid w:val="009A1CF8"/>
    <w:rsid w:val="009A2C6C"/>
    <w:rsid w:val="009A30FE"/>
    <w:rsid w:val="009B62B8"/>
    <w:rsid w:val="009B7CA3"/>
    <w:rsid w:val="009C0561"/>
    <w:rsid w:val="009C1222"/>
    <w:rsid w:val="009C7290"/>
    <w:rsid w:val="009D0F86"/>
    <w:rsid w:val="009D439C"/>
    <w:rsid w:val="009D52B1"/>
    <w:rsid w:val="009E2FB0"/>
    <w:rsid w:val="009E3433"/>
    <w:rsid w:val="009E4535"/>
    <w:rsid w:val="009E460C"/>
    <w:rsid w:val="009E4F50"/>
    <w:rsid w:val="009E5900"/>
    <w:rsid w:val="009F4840"/>
    <w:rsid w:val="009F624F"/>
    <w:rsid w:val="009F76C6"/>
    <w:rsid w:val="00A02706"/>
    <w:rsid w:val="00A12F4B"/>
    <w:rsid w:val="00A137E3"/>
    <w:rsid w:val="00A24F9A"/>
    <w:rsid w:val="00A41AEA"/>
    <w:rsid w:val="00A42E60"/>
    <w:rsid w:val="00A529E2"/>
    <w:rsid w:val="00A61E47"/>
    <w:rsid w:val="00A63C8C"/>
    <w:rsid w:val="00A6552D"/>
    <w:rsid w:val="00A71D93"/>
    <w:rsid w:val="00A7344F"/>
    <w:rsid w:val="00A757A6"/>
    <w:rsid w:val="00A81505"/>
    <w:rsid w:val="00A8415D"/>
    <w:rsid w:val="00A84D9B"/>
    <w:rsid w:val="00A87C3F"/>
    <w:rsid w:val="00A90312"/>
    <w:rsid w:val="00A91834"/>
    <w:rsid w:val="00A92C5B"/>
    <w:rsid w:val="00A93FDC"/>
    <w:rsid w:val="00AA0D12"/>
    <w:rsid w:val="00AA61C5"/>
    <w:rsid w:val="00AB1DBD"/>
    <w:rsid w:val="00AB3299"/>
    <w:rsid w:val="00AB450C"/>
    <w:rsid w:val="00AB7DBB"/>
    <w:rsid w:val="00AC169C"/>
    <w:rsid w:val="00AC60B5"/>
    <w:rsid w:val="00AD4442"/>
    <w:rsid w:val="00AD5BE3"/>
    <w:rsid w:val="00AD7D12"/>
    <w:rsid w:val="00AE1E72"/>
    <w:rsid w:val="00AE2304"/>
    <w:rsid w:val="00AE2BF7"/>
    <w:rsid w:val="00AE3E2E"/>
    <w:rsid w:val="00AE7DE5"/>
    <w:rsid w:val="00AF400F"/>
    <w:rsid w:val="00AF74E9"/>
    <w:rsid w:val="00AF7B4C"/>
    <w:rsid w:val="00AF7C88"/>
    <w:rsid w:val="00B003D3"/>
    <w:rsid w:val="00B00B9D"/>
    <w:rsid w:val="00B00D34"/>
    <w:rsid w:val="00B0232E"/>
    <w:rsid w:val="00B047E1"/>
    <w:rsid w:val="00B10072"/>
    <w:rsid w:val="00B10F9A"/>
    <w:rsid w:val="00B12F0D"/>
    <w:rsid w:val="00B13D2C"/>
    <w:rsid w:val="00B21BF4"/>
    <w:rsid w:val="00B24C62"/>
    <w:rsid w:val="00B25C0B"/>
    <w:rsid w:val="00B3220A"/>
    <w:rsid w:val="00B33CA2"/>
    <w:rsid w:val="00B3468E"/>
    <w:rsid w:val="00B37350"/>
    <w:rsid w:val="00B4115C"/>
    <w:rsid w:val="00B4269F"/>
    <w:rsid w:val="00B47953"/>
    <w:rsid w:val="00B5312E"/>
    <w:rsid w:val="00B61A9A"/>
    <w:rsid w:val="00B61DA3"/>
    <w:rsid w:val="00B63557"/>
    <w:rsid w:val="00B80823"/>
    <w:rsid w:val="00B814FE"/>
    <w:rsid w:val="00B90307"/>
    <w:rsid w:val="00B907DD"/>
    <w:rsid w:val="00B928B9"/>
    <w:rsid w:val="00BA0C55"/>
    <w:rsid w:val="00BA2D73"/>
    <w:rsid w:val="00BA6B22"/>
    <w:rsid w:val="00BA72B0"/>
    <w:rsid w:val="00BB0AA6"/>
    <w:rsid w:val="00BB1360"/>
    <w:rsid w:val="00BB3A3B"/>
    <w:rsid w:val="00BB7BE0"/>
    <w:rsid w:val="00BC19B6"/>
    <w:rsid w:val="00BC41DF"/>
    <w:rsid w:val="00BC7CD6"/>
    <w:rsid w:val="00BD2A8A"/>
    <w:rsid w:val="00BE4A40"/>
    <w:rsid w:val="00BE4D54"/>
    <w:rsid w:val="00BE665B"/>
    <w:rsid w:val="00BE758E"/>
    <w:rsid w:val="00BF283B"/>
    <w:rsid w:val="00C0227C"/>
    <w:rsid w:val="00C03E98"/>
    <w:rsid w:val="00C04337"/>
    <w:rsid w:val="00C06E60"/>
    <w:rsid w:val="00C111D0"/>
    <w:rsid w:val="00C12D22"/>
    <w:rsid w:val="00C14783"/>
    <w:rsid w:val="00C15AE4"/>
    <w:rsid w:val="00C20655"/>
    <w:rsid w:val="00C223D0"/>
    <w:rsid w:val="00C24217"/>
    <w:rsid w:val="00C30F75"/>
    <w:rsid w:val="00C31876"/>
    <w:rsid w:val="00C37CFB"/>
    <w:rsid w:val="00C41B3A"/>
    <w:rsid w:val="00C42F43"/>
    <w:rsid w:val="00C44D9F"/>
    <w:rsid w:val="00C45916"/>
    <w:rsid w:val="00C502E0"/>
    <w:rsid w:val="00C50F60"/>
    <w:rsid w:val="00C514CF"/>
    <w:rsid w:val="00C57318"/>
    <w:rsid w:val="00C5B589"/>
    <w:rsid w:val="00C60293"/>
    <w:rsid w:val="00C670CB"/>
    <w:rsid w:val="00C673AD"/>
    <w:rsid w:val="00C71671"/>
    <w:rsid w:val="00C71CD2"/>
    <w:rsid w:val="00C728AE"/>
    <w:rsid w:val="00C749C7"/>
    <w:rsid w:val="00C77087"/>
    <w:rsid w:val="00C83758"/>
    <w:rsid w:val="00C90120"/>
    <w:rsid w:val="00C913D2"/>
    <w:rsid w:val="00C956D0"/>
    <w:rsid w:val="00C96219"/>
    <w:rsid w:val="00CA5445"/>
    <w:rsid w:val="00CB1B2A"/>
    <w:rsid w:val="00CB63E6"/>
    <w:rsid w:val="00CB75CC"/>
    <w:rsid w:val="00CB7FE1"/>
    <w:rsid w:val="00CC1B0C"/>
    <w:rsid w:val="00CC509E"/>
    <w:rsid w:val="00CC5399"/>
    <w:rsid w:val="00CC6E42"/>
    <w:rsid w:val="00CD783B"/>
    <w:rsid w:val="00CE33C3"/>
    <w:rsid w:val="00CE3CC2"/>
    <w:rsid w:val="00CF182E"/>
    <w:rsid w:val="00CF1B26"/>
    <w:rsid w:val="00CF3511"/>
    <w:rsid w:val="00CF4A68"/>
    <w:rsid w:val="00CF6E3A"/>
    <w:rsid w:val="00D118EA"/>
    <w:rsid w:val="00D12FE7"/>
    <w:rsid w:val="00D13322"/>
    <w:rsid w:val="00D16C7D"/>
    <w:rsid w:val="00D179BE"/>
    <w:rsid w:val="00D17F2D"/>
    <w:rsid w:val="00D25689"/>
    <w:rsid w:val="00D2673A"/>
    <w:rsid w:val="00D2781C"/>
    <w:rsid w:val="00D310F9"/>
    <w:rsid w:val="00D35478"/>
    <w:rsid w:val="00D35FD0"/>
    <w:rsid w:val="00D409C5"/>
    <w:rsid w:val="00D41223"/>
    <w:rsid w:val="00D42962"/>
    <w:rsid w:val="00D45575"/>
    <w:rsid w:val="00D46D01"/>
    <w:rsid w:val="00D61A16"/>
    <w:rsid w:val="00D726FE"/>
    <w:rsid w:val="00D746A0"/>
    <w:rsid w:val="00D74A50"/>
    <w:rsid w:val="00D85B49"/>
    <w:rsid w:val="00D92EA1"/>
    <w:rsid w:val="00D95021"/>
    <w:rsid w:val="00D952C6"/>
    <w:rsid w:val="00DA1FE2"/>
    <w:rsid w:val="00DB13CD"/>
    <w:rsid w:val="00DB3D11"/>
    <w:rsid w:val="00DB6EFD"/>
    <w:rsid w:val="00DC3B23"/>
    <w:rsid w:val="00DC622C"/>
    <w:rsid w:val="00DC78C2"/>
    <w:rsid w:val="00DD22F2"/>
    <w:rsid w:val="00DD3939"/>
    <w:rsid w:val="00DE6DC2"/>
    <w:rsid w:val="00DE72A0"/>
    <w:rsid w:val="00DF1EDE"/>
    <w:rsid w:val="00DF2364"/>
    <w:rsid w:val="00DF244D"/>
    <w:rsid w:val="00DF5B2D"/>
    <w:rsid w:val="00DF644D"/>
    <w:rsid w:val="00E12EC5"/>
    <w:rsid w:val="00E210E1"/>
    <w:rsid w:val="00E21294"/>
    <w:rsid w:val="00E222FF"/>
    <w:rsid w:val="00E309E5"/>
    <w:rsid w:val="00E30CDA"/>
    <w:rsid w:val="00E316F7"/>
    <w:rsid w:val="00E32D64"/>
    <w:rsid w:val="00E334B3"/>
    <w:rsid w:val="00E36AD0"/>
    <w:rsid w:val="00E42034"/>
    <w:rsid w:val="00E54ABF"/>
    <w:rsid w:val="00E55653"/>
    <w:rsid w:val="00E57C3C"/>
    <w:rsid w:val="00E640C7"/>
    <w:rsid w:val="00E64D99"/>
    <w:rsid w:val="00E65CA4"/>
    <w:rsid w:val="00E67F97"/>
    <w:rsid w:val="00E71F04"/>
    <w:rsid w:val="00E745A5"/>
    <w:rsid w:val="00E7626A"/>
    <w:rsid w:val="00E77AF5"/>
    <w:rsid w:val="00E8063F"/>
    <w:rsid w:val="00E856AD"/>
    <w:rsid w:val="00E86B84"/>
    <w:rsid w:val="00E86E24"/>
    <w:rsid w:val="00EA04EE"/>
    <w:rsid w:val="00EA33D5"/>
    <w:rsid w:val="00EB23BC"/>
    <w:rsid w:val="00EC56EA"/>
    <w:rsid w:val="00ED20F0"/>
    <w:rsid w:val="00EE0B68"/>
    <w:rsid w:val="00EE3771"/>
    <w:rsid w:val="00EE4003"/>
    <w:rsid w:val="00EE4B2D"/>
    <w:rsid w:val="00EE566A"/>
    <w:rsid w:val="00EE777D"/>
    <w:rsid w:val="00EF118A"/>
    <w:rsid w:val="00EF288B"/>
    <w:rsid w:val="00F01735"/>
    <w:rsid w:val="00F034F4"/>
    <w:rsid w:val="00F059D0"/>
    <w:rsid w:val="00F0703F"/>
    <w:rsid w:val="00F10976"/>
    <w:rsid w:val="00F13F3B"/>
    <w:rsid w:val="00F14B99"/>
    <w:rsid w:val="00F14C16"/>
    <w:rsid w:val="00F172C6"/>
    <w:rsid w:val="00F22115"/>
    <w:rsid w:val="00F22687"/>
    <w:rsid w:val="00F26997"/>
    <w:rsid w:val="00F26C66"/>
    <w:rsid w:val="00F308D3"/>
    <w:rsid w:val="00F3246B"/>
    <w:rsid w:val="00F361B0"/>
    <w:rsid w:val="00F415F9"/>
    <w:rsid w:val="00F45913"/>
    <w:rsid w:val="00F477DF"/>
    <w:rsid w:val="00F479AC"/>
    <w:rsid w:val="00F51A01"/>
    <w:rsid w:val="00F53278"/>
    <w:rsid w:val="00F61D69"/>
    <w:rsid w:val="00F62CF4"/>
    <w:rsid w:val="00F648B4"/>
    <w:rsid w:val="00F64A45"/>
    <w:rsid w:val="00F66342"/>
    <w:rsid w:val="00F72F39"/>
    <w:rsid w:val="00F75AFF"/>
    <w:rsid w:val="00F80506"/>
    <w:rsid w:val="00F809C4"/>
    <w:rsid w:val="00F81C86"/>
    <w:rsid w:val="00F81D84"/>
    <w:rsid w:val="00F83157"/>
    <w:rsid w:val="00F910F1"/>
    <w:rsid w:val="00F91F3D"/>
    <w:rsid w:val="00F92052"/>
    <w:rsid w:val="00F92890"/>
    <w:rsid w:val="00F94654"/>
    <w:rsid w:val="00F96578"/>
    <w:rsid w:val="00F96F62"/>
    <w:rsid w:val="00F97ADE"/>
    <w:rsid w:val="00FA5BB1"/>
    <w:rsid w:val="00FB3CBD"/>
    <w:rsid w:val="00FB46DA"/>
    <w:rsid w:val="00FC2698"/>
    <w:rsid w:val="00FC623E"/>
    <w:rsid w:val="00FD2BAE"/>
    <w:rsid w:val="00FE0FB9"/>
    <w:rsid w:val="00FE2566"/>
    <w:rsid w:val="00FE471F"/>
    <w:rsid w:val="00FE47C6"/>
    <w:rsid w:val="00FE7E48"/>
    <w:rsid w:val="0119C088"/>
    <w:rsid w:val="05C57281"/>
    <w:rsid w:val="07256206"/>
    <w:rsid w:val="07F00449"/>
    <w:rsid w:val="09D0F031"/>
    <w:rsid w:val="0A68B1B8"/>
    <w:rsid w:val="0A9DC5A4"/>
    <w:rsid w:val="0C1113CD"/>
    <w:rsid w:val="0CBAAAA3"/>
    <w:rsid w:val="0CD2919E"/>
    <w:rsid w:val="0E75FCA3"/>
    <w:rsid w:val="0EBE2AFE"/>
    <w:rsid w:val="0ECCFD3A"/>
    <w:rsid w:val="0ECD08FC"/>
    <w:rsid w:val="111A0DD3"/>
    <w:rsid w:val="12354DB0"/>
    <w:rsid w:val="141C30BE"/>
    <w:rsid w:val="167B1678"/>
    <w:rsid w:val="16A62A38"/>
    <w:rsid w:val="16B8F731"/>
    <w:rsid w:val="178CD25B"/>
    <w:rsid w:val="186BB3E6"/>
    <w:rsid w:val="1897E777"/>
    <w:rsid w:val="18A2EEFF"/>
    <w:rsid w:val="1B34686E"/>
    <w:rsid w:val="1C4AEC46"/>
    <w:rsid w:val="1DA7DE51"/>
    <w:rsid w:val="1E5B8944"/>
    <w:rsid w:val="1E667A27"/>
    <w:rsid w:val="20400234"/>
    <w:rsid w:val="2173EB88"/>
    <w:rsid w:val="222B2E9B"/>
    <w:rsid w:val="22B50E30"/>
    <w:rsid w:val="24B76330"/>
    <w:rsid w:val="27DAA00D"/>
    <w:rsid w:val="28A933AB"/>
    <w:rsid w:val="298EC7F5"/>
    <w:rsid w:val="29CFDCBD"/>
    <w:rsid w:val="2B48384B"/>
    <w:rsid w:val="2B7D2AE7"/>
    <w:rsid w:val="2C28C52D"/>
    <w:rsid w:val="2D57246B"/>
    <w:rsid w:val="2E05FF47"/>
    <w:rsid w:val="2EDCE99D"/>
    <w:rsid w:val="2FC82F94"/>
    <w:rsid w:val="3110663A"/>
    <w:rsid w:val="318E5344"/>
    <w:rsid w:val="31D112EA"/>
    <w:rsid w:val="321C071A"/>
    <w:rsid w:val="348690F9"/>
    <w:rsid w:val="3491E4A1"/>
    <w:rsid w:val="36636F68"/>
    <w:rsid w:val="368A4612"/>
    <w:rsid w:val="389E9F57"/>
    <w:rsid w:val="39357EEA"/>
    <w:rsid w:val="39CD3EEE"/>
    <w:rsid w:val="3A115EF3"/>
    <w:rsid w:val="3A26B699"/>
    <w:rsid w:val="3B9BC702"/>
    <w:rsid w:val="3C391405"/>
    <w:rsid w:val="3C62546E"/>
    <w:rsid w:val="3D2A3240"/>
    <w:rsid w:val="3EEF576A"/>
    <w:rsid w:val="3FAE4E91"/>
    <w:rsid w:val="40F55223"/>
    <w:rsid w:val="417F727E"/>
    <w:rsid w:val="41842AC5"/>
    <w:rsid w:val="43260996"/>
    <w:rsid w:val="4332BFBE"/>
    <w:rsid w:val="43DFC7D7"/>
    <w:rsid w:val="4518C5A6"/>
    <w:rsid w:val="45447F44"/>
    <w:rsid w:val="4591AADF"/>
    <w:rsid w:val="4649347F"/>
    <w:rsid w:val="46B8071E"/>
    <w:rsid w:val="47D41648"/>
    <w:rsid w:val="48B36768"/>
    <w:rsid w:val="496F192B"/>
    <w:rsid w:val="49FC6A56"/>
    <w:rsid w:val="4AA18342"/>
    <w:rsid w:val="4C004805"/>
    <w:rsid w:val="4D5F47DD"/>
    <w:rsid w:val="4E49986E"/>
    <w:rsid w:val="51292F6A"/>
    <w:rsid w:val="51F71F03"/>
    <w:rsid w:val="5375BAAE"/>
    <w:rsid w:val="540AF954"/>
    <w:rsid w:val="55837134"/>
    <w:rsid w:val="560C611F"/>
    <w:rsid w:val="568BA3FF"/>
    <w:rsid w:val="56A0620B"/>
    <w:rsid w:val="578D486C"/>
    <w:rsid w:val="57B4E492"/>
    <w:rsid w:val="5BD05571"/>
    <w:rsid w:val="5BE82CCB"/>
    <w:rsid w:val="5C72BDAA"/>
    <w:rsid w:val="5C9F7848"/>
    <w:rsid w:val="5CEF1F62"/>
    <w:rsid w:val="5F1C9A4B"/>
    <w:rsid w:val="60D4CBF5"/>
    <w:rsid w:val="63685362"/>
    <w:rsid w:val="637FC387"/>
    <w:rsid w:val="64680CE4"/>
    <w:rsid w:val="64A5F8B9"/>
    <w:rsid w:val="6532B169"/>
    <w:rsid w:val="653442C1"/>
    <w:rsid w:val="655D66A3"/>
    <w:rsid w:val="6563E3A5"/>
    <w:rsid w:val="6950747C"/>
    <w:rsid w:val="6A5FC68A"/>
    <w:rsid w:val="6BD3AA2A"/>
    <w:rsid w:val="6C6C8429"/>
    <w:rsid w:val="6C953E7D"/>
    <w:rsid w:val="6DDF4A5C"/>
    <w:rsid w:val="6E5AA675"/>
    <w:rsid w:val="6E873D8D"/>
    <w:rsid w:val="6FA216F1"/>
    <w:rsid w:val="7134EFDC"/>
    <w:rsid w:val="71BDA809"/>
    <w:rsid w:val="72E30DDE"/>
    <w:rsid w:val="7318B200"/>
    <w:rsid w:val="733E67D7"/>
    <w:rsid w:val="758BFC32"/>
    <w:rsid w:val="75D82C93"/>
    <w:rsid w:val="77B5A3DE"/>
    <w:rsid w:val="7817148E"/>
    <w:rsid w:val="786E25D2"/>
    <w:rsid w:val="78F4D511"/>
    <w:rsid w:val="79D2C9A2"/>
    <w:rsid w:val="7AD8F49B"/>
    <w:rsid w:val="7B7762B5"/>
    <w:rsid w:val="7C04108C"/>
    <w:rsid w:val="7C92C8FB"/>
    <w:rsid w:val="7D90E3FB"/>
    <w:rsid w:val="7DD4DE09"/>
    <w:rsid w:val="7E042ED4"/>
    <w:rsid w:val="7EFD4E81"/>
    <w:rsid w:val="7FFA4F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C52C"/>
  <w15:docId w15:val="{B142E5F8-7B6A-4F46-8302-E6527342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uiPriority w:val="9"/>
    <w:qFormat/>
    <w:rsid w:val="00DF644D"/>
    <w:pPr>
      <w:keepNext/>
      <w:keepLines/>
      <w:pageBreakBefore/>
      <w:numPr>
        <w:numId w:val="2"/>
      </w:numPr>
      <w:spacing w:after="72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0D4DEF"/>
    <w:pPr>
      <w:keepNext/>
      <w:numPr>
        <w:ilvl w:val="1"/>
        <w:numId w:val="2"/>
      </w:numPr>
      <w:tabs>
        <w:tab w:val="left" w:pos="851"/>
      </w:tabs>
      <w:spacing w:before="120" w:after="120"/>
      <w:outlineLvl w:val="1"/>
    </w:pPr>
    <w:rPr>
      <w:b/>
      <w:color w:val="005ABB" w:themeColor="accent2"/>
      <w:sz w:val="32"/>
      <w:szCs w:val="32"/>
    </w:rPr>
  </w:style>
  <w:style w:type="paragraph" w:styleId="Heading3">
    <w:name w:val="heading 3"/>
    <w:basedOn w:val="Normal"/>
    <w:next w:val="Normal"/>
    <w:uiPriority w:val="9"/>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4"/>
      </w:numPr>
    </w:pPr>
  </w:style>
  <w:style w:type="paragraph" w:customStyle="1" w:styleId="Heading2-NotToC">
    <w:name w:val="Heading 2 - Not ToC"/>
    <w:basedOn w:val="Heading2"/>
    <w:qFormat/>
    <w:rsid w:val="00BE665B"/>
    <w:pPr>
      <w:numPr>
        <w:ilvl w:val="0"/>
        <w:numId w:val="0"/>
      </w:numPr>
    </w:pPr>
  </w:style>
  <w:style w:type="paragraph" w:customStyle="1" w:styleId="Normal1">
    <w:name w:val="Normal1"/>
    <w:rsid w:val="00A24F9A"/>
    <w:rPr>
      <w:rFonts w:ascii="Times New Roman" w:eastAsia="Times New Roman" w:hAnsi="Times New Roman" w:cs="Times New Roman"/>
      <w:color w:val="000000"/>
      <w:lang w:eastAsia="en-US"/>
    </w:rPr>
  </w:style>
  <w:style w:type="character" w:customStyle="1" w:styleId="normaltextrun">
    <w:name w:val="normaltextrun"/>
    <w:basedOn w:val="DefaultParagraphFont"/>
    <w:rsid w:val="00A24F9A"/>
  </w:style>
  <w:style w:type="character" w:styleId="Mention">
    <w:name w:val="Mention"/>
    <w:basedOn w:val="DefaultParagraphFont"/>
    <w:uiPriority w:val="99"/>
    <w:unhideWhenUsed/>
    <w:rsid w:val="00F946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74055">
      <w:bodyDiv w:val="1"/>
      <w:marLeft w:val="0"/>
      <w:marRight w:val="0"/>
      <w:marTop w:val="0"/>
      <w:marBottom w:val="0"/>
      <w:divBdr>
        <w:top w:val="none" w:sz="0" w:space="0" w:color="auto"/>
        <w:left w:val="none" w:sz="0" w:space="0" w:color="auto"/>
        <w:bottom w:val="none" w:sz="0" w:space="0" w:color="auto"/>
        <w:right w:val="none" w:sz="0" w:space="0" w:color="auto"/>
      </w:divBdr>
    </w:div>
    <w:div w:id="1116876713">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60467511">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an.inglis@londonciv.org.uk"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procurement@londonciv.org.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C961977D22144940BE614E77C8D36CCF" ma:contentTypeVersion="16" ma:contentTypeDescription="Create a new document." ma:contentTypeScope="" ma:versionID="57e1d504efa4d105202fe9a6f25945c3">
  <xsd:schema xmlns:xsd="http://www.w3.org/2001/XMLSchema" xmlns:xs="http://www.w3.org/2001/XMLSchema" xmlns:p="http://schemas.microsoft.com/office/2006/metadata/properties" xmlns:ns2="b89ac767-3006-48e0-b89a-3208f6fd0e59" xmlns:ns3="ee7f6635-0c65-459d-902b-80a23c582fa6" targetNamespace="http://schemas.microsoft.com/office/2006/metadata/properties" ma:root="true" ma:fieldsID="72ce658d50d88206bf74157bac7657bc" ns2:_="" ns3:_="">
    <xsd:import namespace="b89ac767-3006-48e0-b89a-3208f6fd0e59"/>
    <xsd:import namespace="ee7f6635-0c65-459d-902b-80a23c582f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ac767-3006-48e0-b89a-3208f6fd0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f2903c-73c3-4487-a8a0-b96a8b5f614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f6635-0c65-459d-902b-80a23c582f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d65c52-91ed-4d4f-acbe-6f486cce8932}" ma:internalName="TaxCatchAll" ma:showField="CatchAllData" ma:web="ee7f6635-0c65-459d-902b-80a23c582f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9ac767-3006-48e0-b89a-3208f6fd0e59">
      <Terms xmlns="http://schemas.microsoft.com/office/infopath/2007/PartnerControls"/>
    </lcf76f155ced4ddcb4097134ff3c332f>
    <TaxCatchAll xmlns="ee7f6635-0c65-459d-902b-80a23c582fa6" xsi:nil="true"/>
    <_Flow_SignoffStatus xmlns="b89ac767-3006-48e0-b89a-3208f6fd0e5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C3B2E-F198-41AC-A714-94ACDB795215}">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FB881C7-B906-4A4A-B8C1-6B2BF99EF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ac767-3006-48e0-b89a-3208f6fd0e59"/>
    <ds:schemaRef ds:uri="ee7f6635-0c65-459d-902b-80a23c582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BAC81-D698-4551-9474-E33B7C68A9DA}">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purl.org/dc/terms/"/>
    <ds:schemaRef ds:uri="b89ac767-3006-48e0-b89a-3208f6fd0e59"/>
    <ds:schemaRef ds:uri="ee7f6635-0c65-459d-902b-80a23c582fa6"/>
    <ds:schemaRef ds:uri="http://www.w3.org/XML/1998/namespace"/>
  </ds:schemaRefs>
</ds:datastoreItem>
</file>

<file path=customXml/itemProps5.xml><?xml version="1.0" encoding="utf-8"?>
<ds:datastoreItem xmlns:ds="http://schemas.openxmlformats.org/officeDocument/2006/customXml" ds:itemID="{195B945B-1EB0-424E-91CB-3484584D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7365</Words>
  <Characters>41984</Characters>
  <Application>Microsoft Office Word</Application>
  <DocSecurity>0</DocSecurity>
  <Lines>349</Lines>
  <Paragraphs>98</Paragraphs>
  <ScaleCrop>false</ScaleCrop>
  <Company/>
  <LinksUpToDate>false</LinksUpToDate>
  <CharactersWithSpaces>49251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Ian Sears</dc:creator>
  <cp:keywords>PA; 2003; Competitive; Flexible; Procedure; Templatee; CO; GCF;</cp:keywords>
  <cp:lastModifiedBy>Ian Inglis</cp:lastModifiedBy>
  <cp:revision>2</cp:revision>
  <cp:lastPrinted>2025-03-12T18:52:00Z</cp:lastPrinted>
  <dcterms:created xsi:type="dcterms:W3CDTF">2025-03-31T10:00:00Z</dcterms:created>
  <dcterms:modified xsi:type="dcterms:W3CDTF">2025-03-31T10:00:00Z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0x010100C961977D22144940BE614E77C8D36CCF</vt:lpwstr>
  </property>
  <property fmtid="{D5CDD505-2E9C-101B-9397-08002B2CF9AE}" pid="3" name="ClassificationContentMarkingFooterShapeIds">
    <vt:lpwstr>4d3c9e66,24cd1f2b,3d6dc698,1840055f,63ff022,7dc352b1</vt:lpwstr>
  </property>
  <property fmtid="{D5CDD505-2E9C-101B-9397-08002B2CF9AE}" pid="4" name="ClassificationContentMarkingFooterFontProps">
    <vt:lpwstr>#000000,10,Calibri</vt:lpwstr>
  </property>
  <property fmtid="{D5CDD505-2E9C-101B-9397-08002B2CF9AE}" pid="5" name="ClassificationContentMarkingFooterText">
    <vt:lpwstr>Unrestricted Document</vt:lpwstr>
  </property>
  <property fmtid="{D5CDD505-2E9C-101B-9397-08002B2CF9AE}" pid="6" name="MSIP_Label_04c8c431-0d04-444c-8584-488befb681e4_Enabled">
    <vt:lpwstr>true</vt:lpwstr>
  </property>
  <property fmtid="{D5CDD505-2E9C-101B-9397-08002B2CF9AE}" pid="7" name="MSIP_Label_04c8c431-0d04-444c-8584-488befb681e4_SetDate">
    <vt:lpwstr>2025-02-18T09:51:16Z</vt:lpwstr>
  </property>
  <property fmtid="{D5CDD505-2E9C-101B-9397-08002B2CF9AE}" pid="8" name="MSIP_Label_04c8c431-0d04-444c-8584-488befb681e4_Method">
    <vt:lpwstr>Standard</vt:lpwstr>
  </property>
  <property fmtid="{D5CDD505-2E9C-101B-9397-08002B2CF9AE}" pid="9" name="MSIP_Label_04c8c431-0d04-444c-8584-488befb681e4_Name">
    <vt:lpwstr>Unrestricted</vt:lpwstr>
  </property>
  <property fmtid="{D5CDD505-2E9C-101B-9397-08002B2CF9AE}" pid="10" name="MSIP_Label_04c8c431-0d04-444c-8584-488befb681e4_SiteId">
    <vt:lpwstr>060db25a-21a5-44fa-9aeb-55b64ef85350</vt:lpwstr>
  </property>
  <property fmtid="{D5CDD505-2E9C-101B-9397-08002B2CF9AE}" pid="11" name="MSIP_Label_04c8c431-0d04-444c-8584-488befb681e4_ActionId">
    <vt:lpwstr>49b090f0-b8e9-494e-88ce-bc3b58ae8d2c</vt:lpwstr>
  </property>
  <property fmtid="{D5CDD505-2E9C-101B-9397-08002B2CF9AE}" pid="12" name="MSIP_Label_04c8c431-0d04-444c-8584-488befb681e4_ContentBits">
    <vt:lpwstr>2</vt:lpwstr>
  </property>
  <property fmtid="{D5CDD505-2E9C-101B-9397-08002B2CF9AE}" pid="13" name="MSIP_Label_04c8c431-0d04-444c-8584-488befb681e4_Tag">
    <vt:lpwstr>10, 3, 0, 2</vt:lpwstr>
  </property>
  <property fmtid="{D5CDD505-2E9C-101B-9397-08002B2CF9AE}" pid="14" name="MediaServiceImageTags">
    <vt:lpwstr/>
  </property>
</Properties>
</file>