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C32B91" w:rsidRPr="009A5FC2" w14:paraId="18718977" w14:textId="77777777" w:rsidTr="009A5FC2">
        <w:trPr>
          <w:cantSplit/>
          <w:tblHeader/>
        </w:trPr>
        <w:tc>
          <w:tcPr>
            <w:tcW w:w="3812" w:type="dxa"/>
            <w:shd w:val="clear" w:color="auto" w:fill="auto"/>
          </w:tcPr>
          <w:p w14:paraId="2E73D81B" w14:textId="77777777"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b/>
                <w:bCs/>
                <w:color w:val="auto"/>
                <w:lang w:eastAsia="en-US"/>
              </w:rPr>
            </w:pPr>
            <w:r w:rsidRPr="009A5FC2">
              <w:rPr>
                <w:rFonts w:ascii="Arial" w:hAnsi="Arial" w:cs="Arial"/>
                <w:b/>
                <w:bCs/>
                <w:color w:val="auto"/>
                <w:lang w:eastAsia="en-US"/>
              </w:rPr>
              <w:t>Type of insurance required</w:t>
            </w:r>
          </w:p>
        </w:tc>
        <w:tc>
          <w:tcPr>
            <w:tcW w:w="4456" w:type="dxa"/>
            <w:shd w:val="clear" w:color="auto" w:fill="auto"/>
          </w:tcPr>
          <w:p w14:paraId="2D365542" w14:textId="77777777"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b/>
                <w:bCs/>
                <w:color w:val="auto"/>
                <w:lang w:eastAsia="en-US"/>
              </w:rPr>
            </w:pPr>
            <w:r w:rsidRPr="009A5FC2">
              <w:rPr>
                <w:rFonts w:ascii="Arial" w:hAnsi="Arial" w:cs="Arial"/>
                <w:b/>
                <w:bCs/>
                <w:color w:val="auto"/>
                <w:lang w:eastAsia="en-US"/>
              </w:rPr>
              <w:t>Minimum cover</w:t>
            </w:r>
          </w:p>
        </w:tc>
      </w:tr>
      <w:tr w:rsidR="00C32B91" w:rsidRPr="009A5FC2" w14:paraId="1AC653E5" w14:textId="77777777" w:rsidTr="009A5FC2">
        <w:tc>
          <w:tcPr>
            <w:tcW w:w="3812" w:type="dxa"/>
            <w:shd w:val="clear" w:color="auto" w:fill="auto"/>
          </w:tcPr>
          <w:p w14:paraId="56B34E74" w14:textId="1E540889"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Employer’s Liability</w:t>
            </w:r>
          </w:p>
        </w:tc>
        <w:tc>
          <w:tcPr>
            <w:tcW w:w="4456" w:type="dxa"/>
            <w:shd w:val="clear" w:color="auto" w:fill="auto"/>
          </w:tcPr>
          <w:p w14:paraId="37D5A922" w14:textId="11CED15D" w:rsidR="00C32B91" w:rsidRPr="009A5FC2" w:rsidRDefault="00A336DF"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eastAsia="Arial" w:hAnsi="Arial" w:cs="Arial"/>
                <w:color w:val="000000"/>
              </w:rPr>
              <w:t xml:space="preserve">£10,000,000 </w:t>
            </w:r>
            <w:r w:rsidR="002C3968" w:rsidRPr="009A5FC2">
              <w:rPr>
                <w:rFonts w:ascii="Arial" w:eastAsia="Arial" w:hAnsi="Arial" w:cs="Arial"/>
                <w:color w:val="000000"/>
              </w:rPr>
              <w:t>or the minimum required by law, whichever is the greater</w:t>
            </w:r>
            <w:r w:rsidRPr="009A5FC2">
              <w:rPr>
                <w:rFonts w:ascii="Arial" w:eastAsia="Arial" w:hAnsi="Arial" w:cs="Arial"/>
                <w:color w:val="000000"/>
              </w:rPr>
              <w:t>–any one event</w:t>
            </w:r>
          </w:p>
        </w:tc>
      </w:tr>
      <w:tr w:rsidR="00C32B91" w:rsidRPr="009A5FC2" w14:paraId="68706EA2" w14:textId="77777777" w:rsidTr="009A5FC2">
        <w:tc>
          <w:tcPr>
            <w:tcW w:w="3812" w:type="dxa"/>
            <w:shd w:val="clear" w:color="auto" w:fill="auto"/>
          </w:tcPr>
          <w:p w14:paraId="458D4A2A" w14:textId="389604FF"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Public Liability</w:t>
            </w:r>
          </w:p>
        </w:tc>
        <w:tc>
          <w:tcPr>
            <w:tcW w:w="4456" w:type="dxa"/>
            <w:shd w:val="clear" w:color="auto" w:fill="auto"/>
          </w:tcPr>
          <w:p w14:paraId="5862FC28" w14:textId="1CD9FB7A" w:rsidR="00C32B91" w:rsidRPr="009A5FC2" w:rsidRDefault="00A336DF"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eastAsia="Arial" w:hAnsi="Arial" w:cs="Arial"/>
                <w:color w:val="000000"/>
              </w:rPr>
              <w:t>£</w:t>
            </w:r>
            <w:r w:rsidR="002C3968" w:rsidRPr="009A5FC2">
              <w:rPr>
                <w:rFonts w:ascii="Arial" w:eastAsia="Arial" w:hAnsi="Arial" w:cs="Arial"/>
                <w:color w:val="000000"/>
              </w:rPr>
              <w:t>5</w:t>
            </w:r>
            <w:r w:rsidRPr="009A5FC2">
              <w:rPr>
                <w:rFonts w:ascii="Arial" w:eastAsia="Arial" w:hAnsi="Arial" w:cs="Arial"/>
                <w:color w:val="000000"/>
              </w:rPr>
              <w:t>,000,000 –any one event</w:t>
            </w:r>
          </w:p>
        </w:tc>
      </w:tr>
      <w:tr w:rsidR="00C04E5C" w:rsidRPr="009A5FC2" w14:paraId="6F1A9A82" w14:textId="77777777" w:rsidTr="009A5FC2">
        <w:tc>
          <w:tcPr>
            <w:tcW w:w="3812" w:type="dxa"/>
            <w:shd w:val="clear" w:color="auto" w:fill="auto"/>
          </w:tcPr>
          <w:p w14:paraId="1FE6C109" w14:textId="0DF2C934" w:rsidR="00C04E5C" w:rsidRPr="009A5FC2" w:rsidRDefault="00C04E5C"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Property Damage</w:t>
            </w:r>
          </w:p>
        </w:tc>
        <w:tc>
          <w:tcPr>
            <w:tcW w:w="4456" w:type="dxa"/>
            <w:shd w:val="clear" w:color="auto" w:fill="auto"/>
          </w:tcPr>
          <w:p w14:paraId="728839B4" w14:textId="71913D9A" w:rsidR="00C04E5C" w:rsidRPr="009A5FC2" w:rsidRDefault="00C04E5C" w:rsidP="009A5FC2">
            <w:pPr>
              <w:pStyle w:val="MRNumberedHeading1"/>
              <w:keepNext w:val="0"/>
              <w:keepLines w:val="0"/>
              <w:widowControl w:val="0"/>
              <w:numPr>
                <w:ilvl w:val="0"/>
                <w:numId w:val="0"/>
              </w:numPr>
              <w:spacing w:before="0" w:line="240" w:lineRule="auto"/>
              <w:rPr>
                <w:rFonts w:ascii="Arial" w:eastAsia="Arial" w:hAnsi="Arial" w:cs="Arial"/>
                <w:color w:val="000000"/>
              </w:rPr>
            </w:pPr>
            <w:r w:rsidRPr="009A5FC2">
              <w:rPr>
                <w:rFonts w:ascii="Arial" w:eastAsia="Arial" w:hAnsi="Arial" w:cs="Arial"/>
                <w:color w:val="000000"/>
              </w:rPr>
              <w:t>£</w:t>
            </w:r>
            <w:r w:rsidR="002C3968" w:rsidRPr="009A5FC2">
              <w:rPr>
                <w:rFonts w:ascii="Arial" w:eastAsia="Arial" w:hAnsi="Arial" w:cs="Arial"/>
                <w:color w:val="000000"/>
              </w:rPr>
              <w:t>5</w:t>
            </w:r>
            <w:r w:rsidRPr="009A5FC2">
              <w:rPr>
                <w:rFonts w:ascii="Arial" w:eastAsia="Arial" w:hAnsi="Arial" w:cs="Arial"/>
                <w:color w:val="000000"/>
              </w:rPr>
              <w:t xml:space="preserve">,000,000 </w:t>
            </w:r>
            <w:r w:rsidR="00C06FC6" w:rsidRPr="009A5FC2">
              <w:rPr>
                <w:rFonts w:ascii="Arial" w:eastAsia="Arial" w:hAnsi="Arial" w:cs="Arial"/>
                <w:color w:val="000000"/>
              </w:rPr>
              <w:t xml:space="preserve">- </w:t>
            </w:r>
            <w:r w:rsidRPr="009A5FC2">
              <w:rPr>
                <w:rFonts w:ascii="Arial" w:eastAsia="Arial" w:hAnsi="Arial" w:cs="Arial"/>
                <w:color w:val="000000"/>
              </w:rPr>
              <w:t>any one event</w:t>
            </w:r>
          </w:p>
        </w:tc>
      </w:tr>
      <w:tr w:rsidR="00C32B91" w:rsidRPr="009A5FC2" w14:paraId="20ED553D" w14:textId="77777777" w:rsidTr="009A5FC2">
        <w:tc>
          <w:tcPr>
            <w:tcW w:w="3812" w:type="dxa"/>
            <w:shd w:val="clear" w:color="auto" w:fill="auto"/>
          </w:tcPr>
          <w:p w14:paraId="3C513077" w14:textId="6C3D31E0"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Product liability insurance</w:t>
            </w:r>
          </w:p>
        </w:tc>
        <w:tc>
          <w:tcPr>
            <w:tcW w:w="4456" w:type="dxa"/>
            <w:shd w:val="clear" w:color="auto" w:fill="auto"/>
          </w:tcPr>
          <w:p w14:paraId="11BD297D" w14:textId="36A595AE" w:rsidR="00C32B91" w:rsidRPr="009A5FC2" w:rsidRDefault="00A336DF"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eastAsia="Arial" w:hAnsi="Arial" w:cs="Arial"/>
                <w:color w:val="000000"/>
              </w:rPr>
              <w:t>£</w:t>
            </w:r>
            <w:r w:rsidR="00EF73CA" w:rsidRPr="009A5FC2">
              <w:rPr>
                <w:rFonts w:ascii="Arial" w:eastAsia="Arial" w:hAnsi="Arial" w:cs="Arial"/>
                <w:color w:val="000000"/>
              </w:rPr>
              <w:t>5</w:t>
            </w:r>
            <w:r w:rsidRPr="009A5FC2">
              <w:rPr>
                <w:rFonts w:ascii="Arial" w:eastAsia="Arial" w:hAnsi="Arial" w:cs="Arial"/>
                <w:color w:val="000000"/>
              </w:rPr>
              <w:t>,000,000 any one event</w:t>
            </w:r>
          </w:p>
        </w:tc>
      </w:tr>
      <w:tr w:rsidR="00C32B91" w:rsidRPr="00286225" w14:paraId="67CFDAAE" w14:textId="77777777" w:rsidTr="009A5FC2">
        <w:tc>
          <w:tcPr>
            <w:tcW w:w="3812" w:type="dxa"/>
            <w:shd w:val="clear" w:color="auto" w:fill="auto"/>
          </w:tcPr>
          <w:p w14:paraId="4BEBBACF" w14:textId="19766C00" w:rsidR="00C32B91" w:rsidRPr="009A5FC2" w:rsidRDefault="00C32B91"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hAnsi="Arial" w:cs="Arial"/>
                <w:color w:val="auto"/>
                <w:lang w:eastAsia="en-US"/>
              </w:rPr>
              <w:t>Professional Indemnity</w:t>
            </w:r>
          </w:p>
        </w:tc>
        <w:tc>
          <w:tcPr>
            <w:tcW w:w="4456" w:type="dxa"/>
            <w:shd w:val="clear" w:color="auto" w:fill="auto"/>
          </w:tcPr>
          <w:p w14:paraId="2D6A7323" w14:textId="0D8CC6A1" w:rsidR="00C32B91" w:rsidRPr="009A5FC2" w:rsidRDefault="00A336DF" w:rsidP="009A5FC2">
            <w:pPr>
              <w:pStyle w:val="MRNumberedHeading1"/>
              <w:keepNext w:val="0"/>
              <w:keepLines w:val="0"/>
              <w:widowControl w:val="0"/>
              <w:numPr>
                <w:ilvl w:val="0"/>
                <w:numId w:val="0"/>
              </w:numPr>
              <w:spacing w:before="0" w:line="240" w:lineRule="auto"/>
              <w:rPr>
                <w:rFonts w:ascii="Arial" w:hAnsi="Arial" w:cs="Arial"/>
                <w:color w:val="auto"/>
                <w:lang w:eastAsia="en-US"/>
              </w:rPr>
            </w:pPr>
            <w:r w:rsidRPr="009A5FC2">
              <w:rPr>
                <w:rFonts w:ascii="Arial" w:eastAsia="Arial" w:hAnsi="Arial" w:cs="Arial"/>
                <w:color w:val="000000"/>
              </w:rPr>
              <w:t>£</w:t>
            </w:r>
            <w:r w:rsidR="009A5FC2" w:rsidRPr="009A5FC2">
              <w:rPr>
                <w:rFonts w:ascii="Arial" w:eastAsia="Arial" w:hAnsi="Arial" w:cs="Arial"/>
                <w:color w:val="000000"/>
              </w:rPr>
              <w:t>25</w:t>
            </w:r>
            <w:r w:rsidR="00EF73CA" w:rsidRPr="009A5FC2">
              <w:rPr>
                <w:rFonts w:ascii="Arial" w:eastAsia="Arial" w:hAnsi="Arial" w:cs="Arial"/>
                <w:color w:val="000000"/>
              </w:rPr>
              <w:t>0</w:t>
            </w:r>
            <w:r w:rsidRPr="009A5FC2">
              <w:rPr>
                <w:rFonts w:ascii="Arial" w:eastAsia="Arial" w:hAnsi="Arial" w:cs="Arial"/>
                <w:color w:val="000000"/>
              </w:rPr>
              <w:t>,000 in the aggregate</w:t>
            </w: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“sub-contract” means a contract between two or more suppliers, at any stage of remoteness from the Authority in a subcontracting chain, </w:t>
      </w:r>
      <w:r w:rsidRPr="00286225">
        <w:rPr>
          <w:rFonts w:cs="Arial"/>
          <w:sz w:val="22"/>
          <w:szCs w:val="22"/>
        </w:rPr>
        <w:lastRenderedPageBreak/>
        <w:t>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w:t>
      </w:r>
      <w:r w:rsidRPr="00286225">
        <w:rPr>
          <w:rFonts w:cs="Arial"/>
          <w:b w:val="0"/>
          <w:sz w:val="22"/>
          <w:szCs w:val="22"/>
          <w:lang w:eastAsia="en-US"/>
        </w:rPr>
        <w:lastRenderedPageBreak/>
        <w:t>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lastRenderedPageBreak/>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lastRenderedPageBreak/>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The Supplier shall indemnify the Customer in respect of any actions, suits, claims, demands, losses, charges, costs and expenses, which the Customer may suffer or incur as a result of or in connection with any loss of data or any breach of this clause 16 occurring in the course 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lastRenderedPageBreak/>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lastRenderedPageBreak/>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w:t>
      </w:r>
      <w:r w:rsidRPr="00286225">
        <w:rPr>
          <w:rFonts w:cs="Arial"/>
          <w:b w:val="0"/>
          <w:sz w:val="22"/>
          <w:szCs w:val="22"/>
        </w:rPr>
        <w:lastRenderedPageBreak/>
        <w:t xml:space="preserve">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3075" w14:textId="77777777" w:rsidR="007A3F5C" w:rsidRDefault="007A3F5C">
      <w:r>
        <w:separator/>
      </w:r>
    </w:p>
  </w:endnote>
  <w:endnote w:type="continuationSeparator" w:id="0">
    <w:p w14:paraId="6533E94B" w14:textId="77777777" w:rsidR="007A3F5C" w:rsidRDefault="007A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2CE2" w14:textId="77777777" w:rsidR="007A3F5C" w:rsidRDefault="007A3F5C">
      <w:r>
        <w:separator/>
      </w:r>
    </w:p>
  </w:footnote>
  <w:footnote w:type="continuationSeparator" w:id="0">
    <w:p w14:paraId="65C0CDF2" w14:textId="77777777" w:rsidR="007A3F5C" w:rsidRDefault="007A3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38F2"/>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0FCE"/>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8356</Words>
  <Characters>47630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55875</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2025-07-17T12:32:00Z</dcterms:created>
  <dcterms:modified xsi:type="dcterms:W3CDTF">2025-07-17T12:32:00Z</dcterms:modified>
</cp:coreProperties>
</file>