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3DAE3349"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0B52BF" w:rsidRPr="009077FD">
        <w:rPr>
          <w:rFonts w:ascii="Calibri Light" w:hAnsi="Calibri Light" w:cs="Calibri Light"/>
          <w:noProof/>
          <w:sz w:val="44"/>
          <w:szCs w:val="40"/>
        </w:rPr>
        <w:t>3</w:t>
      </w:r>
    </w:p>
    <w:p w14:paraId="2A662E63" w14:textId="77777777" w:rsidR="00C50409" w:rsidRDefault="00C50409" w:rsidP="00754138">
      <w:pPr>
        <w:pStyle w:val="NoSpacing"/>
        <w:jc w:val="center"/>
        <w:rPr>
          <w:rFonts w:ascii="Calibri Light" w:hAnsi="Calibri Light" w:cs="Calibri Light"/>
          <w:noProof/>
          <w:sz w:val="44"/>
          <w:szCs w:val="40"/>
        </w:rPr>
      </w:pPr>
    </w:p>
    <w:p w14:paraId="7CF1A2B4" w14:textId="1FC158F5" w:rsidR="00C50409" w:rsidRPr="009077FD" w:rsidRDefault="00C50409" w:rsidP="00754138">
      <w:pPr>
        <w:pStyle w:val="NoSpacing"/>
        <w:jc w:val="center"/>
        <w:rPr>
          <w:rFonts w:ascii="Calibri Light" w:hAnsi="Calibri Light" w:cs="Calibri Light"/>
          <w:sz w:val="40"/>
          <w:szCs w:val="40"/>
        </w:rPr>
      </w:pPr>
      <w:r w:rsidRPr="00C50409">
        <w:rPr>
          <w:rFonts w:ascii="Calibri Light" w:hAnsi="Calibri Light" w:cs="Calibri Light"/>
          <w:sz w:val="40"/>
          <w:szCs w:val="40"/>
        </w:rPr>
        <w:t>Electrical and Mechanical Servicing for all Hot Water &amp; Heating Service Assets &amp; Associated Plant</w:t>
      </w:r>
    </w:p>
    <w:p w14:paraId="3EB40066" w14:textId="77777777" w:rsidR="00754138" w:rsidRPr="009077FD" w:rsidRDefault="00754138" w:rsidP="00754138">
      <w:pPr>
        <w:pStyle w:val="NoSpacing"/>
        <w:jc w:val="center"/>
        <w:rPr>
          <w:rFonts w:ascii="Calibri Light" w:hAnsi="Calibri Light" w:cs="Calibri Light"/>
          <w:sz w:val="44"/>
          <w:szCs w:val="44"/>
          <w:lang w:val="fr-FR"/>
        </w:rPr>
      </w:pP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7E089617"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This project is part of that program and is specifically related to the sourcing of a provider to deliver Electrical and Mechanical Servicing for all Hot Water &amp; Heating Service Assets &amp; Associated Plant</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7BFA59A0" w14:textId="5744BA7F" w:rsidR="00864E25" w:rsidRDefault="00864E25" w:rsidP="004D7922">
      <w:pPr>
        <w:pStyle w:val="paragraph"/>
        <w:spacing w:before="0" w:beforeAutospacing="0" w:after="0" w:afterAutospacing="0"/>
        <w:jc w:val="both"/>
        <w:textAlignment w:val="baseline"/>
        <w:rPr>
          <w:rStyle w:val="normaltextrun"/>
          <w:rFonts w:ascii="Arial" w:hAnsi="Arial" w:cs="Arial"/>
        </w:rPr>
      </w:pPr>
      <w:bookmarkStart w:id="10" w:name="_Toc256000002"/>
      <w:bookmarkStart w:id="11" w:name="_Toc527015608"/>
      <w:r>
        <w:rPr>
          <w:rStyle w:val="normaltextrun"/>
          <w:rFonts w:ascii="Arial" w:hAnsi="Arial" w:cs="Arial"/>
        </w:rPr>
        <w:t>NCC is seeking proposals from qualified providers to deliver comprehensive planned compliance inspections, maintenance, and certification for our Hot Wa</w:t>
      </w:r>
      <w:r w:rsidR="00815238">
        <w:rPr>
          <w:rStyle w:val="normaltextrun"/>
          <w:rFonts w:ascii="Arial" w:hAnsi="Arial" w:cs="Arial"/>
        </w:rPr>
        <w:t>t</w:t>
      </w:r>
      <w:r>
        <w:rPr>
          <w:rStyle w:val="normaltextrun"/>
          <w:rFonts w:ascii="Arial" w:hAnsi="Arial" w:cs="Arial"/>
        </w:rPr>
        <w:t xml:space="preserve">er and Heating Assets and Associated Plant.  This tender covers a wide range of systems, for example, Gas Boilers, Oil Fuelled Boilers, </w:t>
      </w:r>
      <w:r w:rsidR="00B8229A">
        <w:rPr>
          <w:rStyle w:val="normaltextrun"/>
          <w:rFonts w:ascii="Arial" w:hAnsi="Arial" w:cs="Arial"/>
        </w:rPr>
        <w:t>Biofueled</w:t>
      </w:r>
      <w:r w:rsidR="000136D5">
        <w:rPr>
          <w:rStyle w:val="normaltextrun"/>
          <w:rFonts w:ascii="Arial" w:hAnsi="Arial" w:cs="Arial"/>
        </w:rPr>
        <w:t xml:space="preserve"> </w:t>
      </w:r>
      <w:r w:rsidR="002967AA">
        <w:rPr>
          <w:rStyle w:val="normaltextrun"/>
          <w:rFonts w:ascii="Arial" w:hAnsi="Arial" w:cs="Arial"/>
        </w:rPr>
        <w:t>Boilers, Vented / Unvented Water Heaters, Electrical Water Heaters, as well as Air Source and Ground Source Heating Pump  Systems.  Our assets range from domestic systems to large commercial systems and associated plant.</w:t>
      </w:r>
    </w:p>
    <w:p w14:paraId="0EB0F8F5" w14:textId="77777777" w:rsidR="002967AA" w:rsidRDefault="002967AA" w:rsidP="004D7922">
      <w:pPr>
        <w:pStyle w:val="paragraph"/>
        <w:spacing w:before="0" w:beforeAutospacing="0" w:after="0" w:afterAutospacing="0"/>
        <w:jc w:val="both"/>
        <w:textAlignment w:val="baseline"/>
        <w:rPr>
          <w:rStyle w:val="normaltextrun"/>
          <w:rFonts w:ascii="Arial" w:hAnsi="Arial" w:cs="Arial"/>
        </w:rPr>
      </w:pPr>
    </w:p>
    <w:p w14:paraId="0BBC64A2" w14:textId="3B84E4F1" w:rsidR="002967AA" w:rsidRDefault="002967AA" w:rsidP="004D7922">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The NCC estate covers </w:t>
      </w:r>
      <w:r w:rsidR="00815238">
        <w:rPr>
          <w:rStyle w:val="normaltextrun"/>
          <w:rFonts w:ascii="Arial" w:hAnsi="Arial" w:cs="Arial"/>
        </w:rPr>
        <w:t>circ</w:t>
      </w:r>
      <w:r w:rsidR="003A4A0C">
        <w:rPr>
          <w:rStyle w:val="normaltextrun"/>
          <w:rFonts w:ascii="Arial" w:hAnsi="Arial" w:cs="Arial"/>
        </w:rPr>
        <w:t>a</w:t>
      </w:r>
      <w:r>
        <w:rPr>
          <w:rStyle w:val="normaltextrun"/>
          <w:rFonts w:ascii="Arial" w:hAnsi="Arial" w:cs="Arial"/>
        </w:rPr>
        <w:t xml:space="preserve"> 200 properties including libraries, museums, fire stations, residential and semi residential properties for Children and Adult Soc</w:t>
      </w:r>
      <w:r w:rsidR="003A4A0C">
        <w:rPr>
          <w:rStyle w:val="normaltextrun"/>
          <w:rFonts w:ascii="Arial" w:hAnsi="Arial" w:cs="Arial"/>
        </w:rPr>
        <w:t>i</w:t>
      </w:r>
      <w:r>
        <w:rPr>
          <w:rStyle w:val="normaltextrun"/>
          <w:rFonts w:ascii="Arial" w:hAnsi="Arial" w:cs="Arial"/>
        </w:rPr>
        <w:t>al Services</w:t>
      </w:r>
      <w:r w:rsidR="004D7922">
        <w:rPr>
          <w:rStyle w:val="normaltextrun"/>
          <w:rFonts w:ascii="Arial" w:hAnsi="Arial" w:cs="Arial"/>
        </w:rPr>
        <w:t>, offices, Traveller sites, farms, and vacant properties.  For a full list of properties please see annex 2.3.</w:t>
      </w:r>
    </w:p>
    <w:p w14:paraId="23E76073" w14:textId="77777777" w:rsidR="004D7922" w:rsidRDefault="004D7922"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71E6DFAA" w14:textId="77777777" w:rsidR="00C10059" w:rsidRPr="00843BB4" w:rsidRDefault="00C10059" w:rsidP="00C10059">
      <w:pPr>
        <w:spacing w:before="120" w:after="120" w:line="240" w:lineRule="auto"/>
        <w:jc w:val="both"/>
        <w:rPr>
          <w:rStyle w:val="Strong"/>
          <w:rFonts w:ascii="Arial" w:hAnsi="Arial" w:cs="Arial"/>
          <w:b w:val="0"/>
          <w:bCs/>
          <w:sz w:val="24"/>
          <w:szCs w:val="24"/>
        </w:rPr>
      </w:pPr>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5EE74295"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ED0E8A">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r w:rsidR="0023684B">
        <w:rPr>
          <w:rFonts w:ascii="Arial" w:hAnsi="Arial" w:cs="Arial"/>
        </w:rPr>
        <w:t>responses to the Invitation to Tender</w:t>
      </w:r>
      <w:r w:rsidRPr="0070179F">
        <w:rPr>
          <w:rFonts w:ascii="Arial" w:hAnsi="Arial" w:cs="Arial"/>
        </w:rPr>
        <w:t xml:space="preserve">. </w:t>
      </w:r>
    </w:p>
    <w:p w14:paraId="4BBDAB88" w14:textId="7875D52D"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2" w:name="_Toc326234121"/>
      <w:r w:rsidRPr="00FD2E4A">
        <w:rPr>
          <w:rFonts w:ascii="Arial" w:hAnsi="Arial" w:cs="Arial"/>
          <w:spacing w:val="0"/>
          <w:sz w:val="24"/>
          <w:szCs w:val="24"/>
          <w:u w:val="none"/>
        </w:rPr>
        <w:t>First steps</w:t>
      </w:r>
      <w:bookmarkEnd w:id="22"/>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3" w:name="_Toc326234124"/>
      <w:r w:rsidRPr="00324C5E">
        <w:rPr>
          <w:rFonts w:ascii="Arial" w:hAnsi="Arial" w:cs="Arial"/>
          <w:spacing w:val="0"/>
          <w:sz w:val="24"/>
          <w:szCs w:val="24"/>
          <w:u w:val="none"/>
        </w:rPr>
        <w:t xml:space="preserve">Content of the </w:t>
      </w:r>
      <w:bookmarkEnd w:id="23"/>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4" w:name="_Toc326234126"/>
      <w:r w:rsidRPr="004C18A7">
        <w:rPr>
          <w:rFonts w:ascii="Arial" w:hAnsi="Arial" w:cs="Arial"/>
          <w:spacing w:val="0"/>
          <w:sz w:val="24"/>
          <w:szCs w:val="24"/>
          <w:u w:val="none"/>
        </w:rPr>
        <w:t xml:space="preserve">Completion of the </w:t>
      </w:r>
      <w:bookmarkEnd w:id="24"/>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5" w:name="_Toc326234127"/>
      <w:r w:rsidRPr="004C18A7">
        <w:rPr>
          <w:rFonts w:ascii="Arial" w:hAnsi="Arial" w:cs="Arial"/>
          <w:spacing w:val="0"/>
          <w:sz w:val="24"/>
          <w:szCs w:val="24"/>
          <w:u w:val="none"/>
        </w:rPr>
        <w:t xml:space="preserve">Submission </w:t>
      </w:r>
    </w:p>
    <w:bookmarkEnd w:id="25"/>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6" w:name="_Toc256000005"/>
      <w:bookmarkStart w:id="27" w:name="_Toc527015611"/>
      <w:r w:rsidRPr="00CC44D1">
        <w:rPr>
          <w:rFonts w:asciiTheme="majorHAnsi" w:hAnsiTheme="majorHAnsi" w:cstheme="majorHAnsi"/>
          <w:color w:val="auto"/>
          <w:sz w:val="24"/>
          <w:szCs w:val="24"/>
        </w:rPr>
        <w:t>Procurement Process Information and Procurement Timeline</w:t>
      </w:r>
      <w:bookmarkEnd w:id="26"/>
      <w:bookmarkEnd w:id="27"/>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5291B47B"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8A7C31" w:rsidRPr="007349FD">
              <w:rPr>
                <w:rFonts w:ascii="Arial" w:hAnsi="Arial" w:cs="Arial"/>
                <w:noProof/>
                <w:sz w:val="24"/>
                <w:szCs w:val="24"/>
              </w:rPr>
              <w:t>3</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2E01124B"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3D71C6">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2F160E85"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w:t>
            </w:r>
            <w:r w:rsidR="00300E58">
              <w:rPr>
                <w:rFonts w:ascii="Arial" w:hAnsi="Arial" w:cs="Arial"/>
                <w:noProof/>
                <w:sz w:val="24"/>
                <w:szCs w:val="24"/>
              </w:rPr>
              <w:t>r</w:t>
            </w:r>
            <w:r w:rsidRPr="007349FD">
              <w:rPr>
                <w:rFonts w:ascii="Arial" w:hAnsi="Arial" w:cs="Arial"/>
                <w:noProof/>
                <w:sz w:val="24"/>
                <w:szCs w:val="24"/>
              </w:rPr>
              <w:t xml:space="preserve">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28"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28"/>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483C0FDA"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4338F590"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Any amendments will therefore be communicated in full at the appropriate time.</w:t>
      </w:r>
    </w:p>
    <w:p w14:paraId="7B316735"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The structure of this Competitive Flexible Process is detailed below.</w:t>
      </w:r>
    </w:p>
    <w:p w14:paraId="31514A8D"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Bidders will be invited to complete all schedules of the ITT Documentation pack and submit their initial bids including their Quality &amp; Price submissions.  Please note Your Price Submission should be labelled as a Annex 3 Form G (Excel document) and not included in the Annex 4 Form F Quality return as these elements will be evaluated by different evaluators.</w:t>
      </w:r>
    </w:p>
    <w:p w14:paraId="16A5C516" w14:textId="683F281D"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423494">
        <w:rPr>
          <w:rStyle w:val="Strong"/>
          <w:rFonts w:ascii="Arial" w:hAnsi="Arial" w:cs="Arial"/>
          <w:b w:val="0"/>
          <w:sz w:val="24"/>
          <w:szCs w:val="24"/>
        </w:rPr>
        <w:t>C</w:t>
      </w:r>
      <w:r w:rsidRPr="00D4433A">
        <w:rPr>
          <w:rStyle w:val="Strong"/>
          <w:rFonts w:ascii="Arial" w:hAnsi="Arial" w:cs="Arial"/>
          <w:b w:val="0"/>
          <w:sz w:val="24"/>
          <w:szCs w:val="24"/>
        </w:rPr>
        <w:t>).</w:t>
      </w:r>
    </w:p>
    <w:p w14:paraId="7086A9DE" w14:textId="1A6F8A61"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This will then be followed by an assessment of the remaining Form A, </w:t>
      </w:r>
      <w:r w:rsidR="00423494">
        <w:rPr>
          <w:rStyle w:val="Strong"/>
          <w:rFonts w:ascii="Arial" w:hAnsi="Arial" w:cs="Arial"/>
          <w:b w:val="0"/>
          <w:sz w:val="24"/>
          <w:szCs w:val="24"/>
        </w:rPr>
        <w:t xml:space="preserve">B, </w:t>
      </w:r>
      <w:r w:rsidRPr="00D4433A">
        <w:rPr>
          <w:rStyle w:val="Strong"/>
          <w:rFonts w:ascii="Arial" w:hAnsi="Arial" w:cs="Arial"/>
          <w:b w:val="0"/>
          <w:sz w:val="24"/>
          <w:szCs w:val="24"/>
        </w:rPr>
        <w:t>C and D.</w:t>
      </w:r>
    </w:p>
    <w:p w14:paraId="792F916C"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Those bidders that pass each of the above assessments will then have their ITT Quality Questions Annex 4 (Form F) evaluated.  Annex 3 Form G Price will be evaluated at the same time by separate evaluators to that of the Quality assessors.  </w:t>
      </w:r>
    </w:p>
    <w:p w14:paraId="30EACC1B" w14:textId="77777777" w:rsidR="00D4433A" w:rsidRPr="00D4433A" w:rsidRDefault="00D4433A" w:rsidP="00D4433A">
      <w:pPr>
        <w:pStyle w:val="NoSpacing"/>
        <w:tabs>
          <w:tab w:val="left" w:pos="3455"/>
        </w:tabs>
        <w:jc w:val="both"/>
        <w:rPr>
          <w:rStyle w:val="Strong"/>
          <w:rFonts w:ascii="Arial" w:hAnsi="Arial" w:cs="Arial"/>
          <w:b w:val="0"/>
          <w:sz w:val="24"/>
          <w:szCs w:val="24"/>
        </w:rPr>
      </w:pPr>
    </w:p>
    <w:p w14:paraId="3AA4E2A1"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62970484" w14:textId="77777777" w:rsidR="00D4433A" w:rsidRPr="00D4433A" w:rsidRDefault="00D4433A" w:rsidP="00D4433A">
      <w:pPr>
        <w:pStyle w:val="NoSpacing"/>
        <w:tabs>
          <w:tab w:val="left" w:pos="3455"/>
        </w:tabs>
        <w:jc w:val="both"/>
        <w:rPr>
          <w:rStyle w:val="Strong"/>
          <w:rFonts w:ascii="Arial" w:hAnsi="Arial" w:cs="Arial"/>
          <w:b w:val="0"/>
          <w:sz w:val="24"/>
          <w:szCs w:val="24"/>
        </w:rPr>
      </w:pPr>
    </w:p>
    <w:p w14:paraId="56952779"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Where bidders pricing is incomplete and this is not able to resolved / corrected within a calendar week of notifying them then they will score a zero for their pricing submission and not be eligible for award with their bid being rejected.</w:t>
      </w:r>
    </w:p>
    <w:p w14:paraId="33183FE6" w14:textId="77777777" w:rsidR="00D4433A" w:rsidRPr="00D4433A" w:rsidRDefault="00D4433A" w:rsidP="00D4433A">
      <w:pPr>
        <w:pStyle w:val="NoSpacing"/>
        <w:tabs>
          <w:tab w:val="left" w:pos="3455"/>
        </w:tabs>
        <w:jc w:val="both"/>
        <w:rPr>
          <w:rStyle w:val="Strong"/>
          <w:rFonts w:ascii="Arial" w:hAnsi="Arial" w:cs="Arial"/>
          <w:b w:val="0"/>
          <w:sz w:val="24"/>
          <w:szCs w:val="24"/>
        </w:rPr>
      </w:pPr>
    </w:p>
    <w:p w14:paraId="44582675"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 xml:space="preserve">Any bidder who did not make the Quality Threshold Score (their pricing submissions will be disregarded with no feedback provided on the Pricing element as this will cease to be assessed) </w:t>
      </w:r>
    </w:p>
    <w:p w14:paraId="04C8306C" w14:textId="77777777" w:rsidR="00D4433A" w:rsidRPr="00D4433A" w:rsidRDefault="00D4433A" w:rsidP="00D4433A">
      <w:pPr>
        <w:pStyle w:val="NoSpacing"/>
        <w:tabs>
          <w:tab w:val="left" w:pos="3455"/>
        </w:tabs>
        <w:jc w:val="both"/>
        <w:rPr>
          <w:rStyle w:val="Strong"/>
          <w:rFonts w:ascii="Arial" w:hAnsi="Arial" w:cs="Arial"/>
          <w:b w:val="0"/>
          <w:sz w:val="24"/>
          <w:szCs w:val="24"/>
        </w:rPr>
      </w:pPr>
      <w:r w:rsidRPr="00D4433A">
        <w:rPr>
          <w:rStyle w:val="Strong"/>
          <w:rFonts w:ascii="Arial" w:hAnsi="Arial" w:cs="Arial"/>
          <w:b w:val="0"/>
          <w:sz w:val="24"/>
          <w:szCs w:val="24"/>
        </w:rPr>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0EF65184" w14:textId="77777777" w:rsidR="00D4433A" w:rsidRPr="00D4433A" w:rsidRDefault="00D4433A" w:rsidP="00D4433A">
      <w:pPr>
        <w:pStyle w:val="NoSpacing"/>
        <w:tabs>
          <w:tab w:val="left" w:pos="3455"/>
        </w:tabs>
        <w:jc w:val="both"/>
        <w:rPr>
          <w:rStyle w:val="Strong"/>
          <w:rFonts w:ascii="Arial" w:hAnsi="Arial" w:cs="Arial"/>
          <w:b w:val="0"/>
          <w:sz w:val="24"/>
          <w:szCs w:val="24"/>
        </w:rPr>
      </w:pPr>
    </w:p>
    <w:p w14:paraId="57541B21" w14:textId="1AA1E3DC" w:rsidR="004312B5" w:rsidRPr="00AC2CEF" w:rsidRDefault="00D4433A" w:rsidP="00D4433A">
      <w:pPr>
        <w:pStyle w:val="NoSpacing"/>
        <w:tabs>
          <w:tab w:val="left" w:pos="3455"/>
        </w:tabs>
        <w:jc w:val="both"/>
        <w:rPr>
          <w:rFonts w:ascii="Arial" w:hAnsi="Arial" w:cs="Arial"/>
          <w:sz w:val="24"/>
          <w:szCs w:val="24"/>
        </w:rPr>
      </w:pPr>
      <w:r w:rsidRPr="00D4433A">
        <w:rPr>
          <w:rStyle w:val="Strong"/>
          <w:rFonts w:ascii="Arial" w:hAnsi="Arial" w:cs="Arial"/>
          <w:b w:val="0"/>
          <w:sz w:val="24"/>
          <w:szCs w:val="24"/>
        </w:rPr>
        <w:lastRenderedPageBreak/>
        <w:t>Those bidders which were ranked outside of the Top scoring outcome will also no longer be eligible for award and will be classed as an unsuccessful bidder in this procurement process.</w:t>
      </w: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6"/>
      <w:bookmarkStart w:id="30" w:name="_Toc326234131"/>
      <w:bookmarkStart w:id="31" w:name="_Toc326241328"/>
      <w:bookmarkStart w:id="32" w:name="_Toc527015612"/>
      <w:r w:rsidRPr="00CC44D1">
        <w:rPr>
          <w:rFonts w:asciiTheme="majorHAnsi" w:hAnsiTheme="majorHAnsi" w:cstheme="majorHAnsi"/>
          <w:color w:val="auto"/>
          <w:sz w:val="24"/>
          <w:szCs w:val="24"/>
        </w:rPr>
        <w:t>Contract Data</w:t>
      </w:r>
      <w:bookmarkEnd w:id="29"/>
      <w:bookmarkEnd w:id="30"/>
      <w:bookmarkEnd w:id="31"/>
      <w:bookmarkEnd w:id="32"/>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326234132"/>
      <w:bookmarkStart w:id="34" w:name="_Toc326241329"/>
      <w:bookmarkStart w:id="35" w:name="_Toc256000007"/>
      <w:bookmarkStart w:id="36" w:name="_Ref527012343"/>
      <w:bookmarkStart w:id="37" w:name="_Toc527015613"/>
      <w:r w:rsidRPr="00CC44D1">
        <w:rPr>
          <w:rFonts w:asciiTheme="majorHAnsi" w:hAnsiTheme="majorHAnsi" w:cstheme="majorHAnsi"/>
          <w:color w:val="auto"/>
          <w:sz w:val="24"/>
          <w:szCs w:val="24"/>
        </w:rPr>
        <w:t>Receipt and evaluation of Applications</w:t>
      </w:r>
      <w:bookmarkEnd w:id="33"/>
      <w:bookmarkEnd w:id="34"/>
      <w:r w:rsidRPr="00CC44D1">
        <w:rPr>
          <w:rFonts w:asciiTheme="majorHAnsi" w:hAnsiTheme="majorHAnsi" w:cstheme="majorHAnsi"/>
          <w:color w:val="auto"/>
          <w:sz w:val="24"/>
          <w:szCs w:val="24"/>
        </w:rPr>
        <w:t xml:space="preserve"> by the Council</w:t>
      </w:r>
      <w:bookmarkEnd w:id="35"/>
      <w:bookmarkEnd w:id="36"/>
      <w:bookmarkEnd w:id="37"/>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38" w:name="_Toc326234133"/>
      <w:r w:rsidRPr="00246ED9">
        <w:rPr>
          <w:rFonts w:ascii="Arial" w:hAnsi="Arial" w:cs="Arial"/>
          <w:spacing w:val="0"/>
          <w:sz w:val="24"/>
          <w:szCs w:val="24"/>
          <w:u w:val="none"/>
        </w:rPr>
        <w:t>General</w:t>
      </w:r>
      <w:bookmarkEnd w:id="38"/>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39" w:name="_Toc326234134"/>
      <w:r w:rsidRPr="00246ED9">
        <w:rPr>
          <w:rFonts w:ascii="Arial" w:hAnsi="Arial" w:cs="Arial"/>
          <w:spacing w:val="0"/>
          <w:sz w:val="24"/>
          <w:szCs w:val="24"/>
          <w:u w:val="none"/>
        </w:rPr>
        <w:t>Clarification</w:t>
      </w:r>
      <w:bookmarkEnd w:id="39"/>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lastRenderedPageBreak/>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0"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0"/>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1" w:name="_Toc326234137"/>
      <w:r w:rsidRPr="00246ED9">
        <w:rPr>
          <w:rFonts w:ascii="Arial" w:hAnsi="Arial" w:cs="Arial"/>
          <w:spacing w:val="0"/>
          <w:sz w:val="24"/>
          <w:szCs w:val="24"/>
          <w:u w:val="none"/>
        </w:rPr>
        <w:t>Compliance with minimum standards (Form C)</w:t>
      </w:r>
      <w:bookmarkEnd w:id="41"/>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2" w:name="_Ref451341801"/>
      <w:bookmarkStart w:id="43" w:name="_Toc256000008"/>
      <w:bookmarkStart w:id="44" w:name="_Ref527013540"/>
      <w:bookmarkStart w:id="45" w:name="_Toc527015614"/>
      <w:r w:rsidRPr="00CC44D1">
        <w:rPr>
          <w:rFonts w:asciiTheme="majorHAnsi" w:hAnsiTheme="majorHAnsi" w:cstheme="majorHAnsi"/>
          <w:color w:val="auto"/>
          <w:sz w:val="24"/>
          <w:szCs w:val="24"/>
        </w:rPr>
        <w:lastRenderedPageBreak/>
        <w:t xml:space="preserve">Evaluation </w:t>
      </w:r>
      <w:bookmarkEnd w:id="42"/>
      <w:r w:rsidRPr="00CC44D1">
        <w:rPr>
          <w:rFonts w:asciiTheme="majorHAnsi" w:hAnsiTheme="majorHAnsi" w:cstheme="majorHAnsi"/>
          <w:color w:val="auto"/>
          <w:sz w:val="24"/>
          <w:szCs w:val="24"/>
        </w:rPr>
        <w:t>Information</w:t>
      </w:r>
      <w:bookmarkEnd w:id="43"/>
      <w:bookmarkEnd w:id="44"/>
      <w:bookmarkEnd w:id="45"/>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2A5F1F57" w14:textId="77777777" w:rsidR="005E6CF3" w:rsidRDefault="005E6CF3" w:rsidP="004312B5">
      <w:pPr>
        <w:spacing w:before="0" w:after="0" w:line="240" w:lineRule="auto"/>
        <w:rPr>
          <w:rStyle w:val="Strong"/>
          <w:b w:val="0"/>
          <w:sz w:val="24"/>
          <w:szCs w:val="24"/>
        </w:rPr>
      </w:pPr>
    </w:p>
    <w:p w14:paraId="015D9166" w14:textId="77777777" w:rsidR="005E6CF3" w:rsidRDefault="005E6CF3" w:rsidP="004312B5">
      <w:pPr>
        <w:spacing w:before="0" w:after="0" w:line="240" w:lineRule="auto"/>
        <w:rPr>
          <w:rStyle w:val="Strong"/>
          <w:b w:val="0"/>
          <w:sz w:val="24"/>
          <w:szCs w:val="24"/>
        </w:rPr>
      </w:pPr>
    </w:p>
    <w:p w14:paraId="702F23FA" w14:textId="77777777" w:rsidR="005E6CF3" w:rsidRDefault="005E6CF3" w:rsidP="004312B5">
      <w:pPr>
        <w:spacing w:before="0" w:after="0" w:line="240" w:lineRule="auto"/>
        <w:rPr>
          <w:rStyle w:val="Strong"/>
          <w:b w:val="0"/>
          <w:sz w:val="24"/>
          <w:szCs w:val="24"/>
        </w:rPr>
      </w:pPr>
    </w:p>
    <w:p w14:paraId="7423A4C2" w14:textId="77777777" w:rsidR="005E6CF3" w:rsidRDefault="005E6CF3" w:rsidP="004312B5">
      <w:pPr>
        <w:spacing w:before="0" w:after="0" w:line="240" w:lineRule="auto"/>
        <w:rPr>
          <w:rStyle w:val="Strong"/>
          <w:b w:val="0"/>
          <w:sz w:val="24"/>
          <w:szCs w:val="24"/>
        </w:rPr>
      </w:pPr>
    </w:p>
    <w:p w14:paraId="128A65CA" w14:textId="77777777" w:rsidR="005E6CF3" w:rsidRDefault="005E6CF3" w:rsidP="004312B5">
      <w:pPr>
        <w:spacing w:before="0" w:after="0" w:line="240" w:lineRule="auto"/>
        <w:rPr>
          <w:rStyle w:val="Strong"/>
          <w:b w:val="0"/>
          <w:sz w:val="24"/>
          <w:szCs w:val="24"/>
        </w:rPr>
      </w:pPr>
    </w:p>
    <w:p w14:paraId="7069D360" w14:textId="77777777" w:rsidR="005E6CF3" w:rsidRDefault="005E6CF3" w:rsidP="004312B5">
      <w:pPr>
        <w:spacing w:before="0" w:after="0" w:line="240" w:lineRule="auto"/>
        <w:rPr>
          <w:rStyle w:val="Strong"/>
          <w:b w:val="0"/>
          <w:sz w:val="24"/>
          <w:szCs w:val="24"/>
        </w:rPr>
      </w:pPr>
    </w:p>
    <w:p w14:paraId="555BD565" w14:textId="77777777" w:rsidR="005E6CF3" w:rsidRDefault="005E6CF3" w:rsidP="004312B5">
      <w:pPr>
        <w:spacing w:before="0" w:after="0" w:line="240" w:lineRule="auto"/>
        <w:rPr>
          <w:rStyle w:val="Strong"/>
          <w:b w:val="0"/>
          <w:sz w:val="24"/>
          <w:szCs w:val="24"/>
        </w:rPr>
      </w:pPr>
    </w:p>
    <w:p w14:paraId="583A1A23" w14:textId="77777777" w:rsidR="005E6CF3" w:rsidRDefault="005E6CF3" w:rsidP="004312B5">
      <w:pPr>
        <w:spacing w:before="0" w:after="0" w:line="240" w:lineRule="auto"/>
        <w:rPr>
          <w:rStyle w:val="Strong"/>
          <w:b w:val="0"/>
          <w:sz w:val="24"/>
          <w:szCs w:val="24"/>
        </w:rPr>
      </w:pPr>
    </w:p>
    <w:p w14:paraId="3340024D" w14:textId="77777777" w:rsidR="005E6CF3" w:rsidRDefault="005E6CF3" w:rsidP="004312B5">
      <w:pPr>
        <w:spacing w:before="0" w:after="0" w:line="240" w:lineRule="auto"/>
        <w:rPr>
          <w:rStyle w:val="Strong"/>
          <w:b w:val="0"/>
          <w:sz w:val="24"/>
          <w:szCs w:val="24"/>
        </w:rPr>
      </w:pPr>
    </w:p>
    <w:p w14:paraId="0A2E5783" w14:textId="77777777" w:rsidR="005E6CF3" w:rsidRDefault="005E6CF3"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6" w:name="_Hlk31115896"/>
            <w:r w:rsidRPr="00F47DFE">
              <w:rPr>
                <w:rFonts w:ascii="Arial" w:hAnsi="Arial" w:cs="Arial"/>
                <w:b/>
                <w:bCs/>
                <w:sz w:val="24"/>
                <w:szCs w:val="24"/>
              </w:rPr>
              <w:t>If any response receives a score of ‘0’, the entire submission will be rejected.</w:t>
            </w:r>
            <w:bookmarkEnd w:id="46"/>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7" w:name="_Toc256000009"/>
      <w:bookmarkStart w:id="48" w:name="_Toc326234116"/>
      <w:bookmarkStart w:id="49" w:name="_Toc326241323"/>
      <w:bookmarkStart w:id="50" w:name="_Ref526495321"/>
      <w:bookmarkStart w:id="51" w:name="_Ref526495772"/>
      <w:bookmarkStart w:id="52" w:name="_Toc527015616"/>
      <w:r w:rsidRPr="00CC44D1">
        <w:rPr>
          <w:rFonts w:asciiTheme="majorHAnsi" w:hAnsiTheme="majorHAnsi" w:cstheme="majorHAnsi"/>
          <w:color w:val="auto"/>
          <w:sz w:val="24"/>
          <w:szCs w:val="24"/>
        </w:rPr>
        <w:t>Important legal notice</w:t>
      </w:r>
      <w:bookmarkEnd w:id="47"/>
      <w:bookmarkEnd w:id="48"/>
      <w:bookmarkEnd w:id="49"/>
      <w:bookmarkEnd w:id="50"/>
      <w:bookmarkEnd w:id="51"/>
      <w:bookmarkEnd w:id="52"/>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3"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3"/>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4" w:name="_Ref337304642"/>
      <w:r w:rsidRPr="005B29A9">
        <w:rPr>
          <w:rFonts w:ascii="Arial" w:hAnsi="Arial" w:cs="Arial"/>
          <w:sz w:val="24"/>
          <w:szCs w:val="24"/>
        </w:rPr>
        <w:t>Applicants shall not, in connection with this procurement process or the proposed contract:</w:t>
      </w:r>
      <w:bookmarkEnd w:id="54"/>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281EB7B"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6005E7">
        <w:rPr>
          <w:rFonts w:ascii="Calibri Light" w:hAnsi="Calibri Light" w:cs="Calibri Light"/>
          <w:noProof/>
          <w:sz w:val="44"/>
          <w:szCs w:val="44"/>
          <w:lang w:val="fr-FR"/>
        </w:rPr>
        <w:t>3</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2EE78818" w14:textId="77777777" w:rsidR="0062018F" w:rsidRPr="009077FD" w:rsidRDefault="0062018F" w:rsidP="0062018F">
      <w:pPr>
        <w:pStyle w:val="NoSpacing"/>
        <w:jc w:val="center"/>
        <w:rPr>
          <w:rFonts w:ascii="Calibri Light" w:hAnsi="Calibri Light" w:cs="Calibri Light"/>
          <w:sz w:val="40"/>
          <w:szCs w:val="40"/>
        </w:rPr>
      </w:pPr>
      <w:r w:rsidRPr="00C50409">
        <w:rPr>
          <w:rFonts w:ascii="Calibri Light" w:hAnsi="Calibri Light" w:cs="Calibri Light"/>
          <w:sz w:val="40"/>
          <w:szCs w:val="40"/>
        </w:rPr>
        <w:t>Electrical and Mechanical Servicing for all Hot Water &amp; Heating Service Assets &amp; Associated Plant</w:t>
      </w:r>
    </w:p>
    <w:p w14:paraId="08B8A6E6" w14:textId="77777777" w:rsidR="0062018F" w:rsidRPr="00CC44D1" w:rsidRDefault="0062018F" w:rsidP="004312B5">
      <w:pPr>
        <w:spacing w:before="0" w:after="0" w:line="240" w:lineRule="auto"/>
        <w:jc w:val="center"/>
        <w:rPr>
          <w:rFonts w:ascii="Calibri Light" w:hAnsi="Calibri Light" w:cs="Calibri Light"/>
          <w:sz w:val="44"/>
          <w:szCs w:val="44"/>
          <w:lang w:val="fr-FR"/>
        </w:rPr>
      </w:pP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5" w:name="_Ref262475730"/>
      <w:bookmarkStart w:id="56" w:name="_Toc278293688"/>
      <w:bookmarkStart w:id="57" w:name="_Toc256000010"/>
      <w:bookmarkStart w:id="58" w:name="_Toc315951541"/>
      <w:bookmarkStart w:id="59" w:name="_Toc367268711"/>
      <w:bookmarkStart w:id="60" w:name="_Toc45727000"/>
      <w:r w:rsidRPr="00CC44D1">
        <w:rPr>
          <w:rFonts w:asciiTheme="majorHAnsi" w:hAnsiTheme="majorHAnsi" w:cstheme="majorHAnsi"/>
          <w:color w:val="auto"/>
          <w:sz w:val="24"/>
          <w:szCs w:val="24"/>
        </w:rPr>
        <w:lastRenderedPageBreak/>
        <w:t xml:space="preserve">Form A: Details of </w:t>
      </w:r>
      <w:bookmarkEnd w:id="55"/>
      <w:bookmarkEnd w:id="56"/>
      <w:r w:rsidRPr="00CC44D1">
        <w:rPr>
          <w:rFonts w:asciiTheme="majorHAnsi" w:hAnsiTheme="majorHAnsi" w:cstheme="majorHAnsi"/>
          <w:color w:val="auto"/>
          <w:sz w:val="24"/>
          <w:szCs w:val="24"/>
        </w:rPr>
        <w:t>Applicant</w:t>
      </w:r>
      <w:bookmarkEnd w:id="57"/>
      <w:bookmarkEnd w:id="58"/>
      <w:bookmarkEnd w:id="59"/>
      <w:bookmarkEnd w:id="60"/>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5DC50910"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9F2C3A" w:rsidRPr="009F2C3A">
        <w:t xml:space="preserve"> </w:t>
      </w:r>
      <w:r w:rsidR="009F2C3A" w:rsidRPr="009F2C3A">
        <w:rPr>
          <w:rStyle w:val="Strong"/>
          <w:rFonts w:ascii="Arial" w:hAnsi="Arial" w:cs="Arial"/>
          <w:sz w:val="24"/>
          <w:szCs w:val="24"/>
        </w:rPr>
        <w:t>Please include in your bid response a PDF of your information from the Central Digital Platform.</w:t>
      </w:r>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1" w:name="_Ref526761616"/>
      <w:r w:rsidRPr="00CC44D1">
        <w:rPr>
          <w:rFonts w:cs="Arial"/>
          <w:sz w:val="24"/>
          <w:szCs w:val="24"/>
        </w:rPr>
        <w:t>Part 1</w:t>
      </w:r>
      <w:bookmarkEnd w:id="61"/>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2" w:name="_Toc271553306"/>
            <w:bookmarkStart w:id="63" w:name="_Toc271553461"/>
            <w:bookmarkStart w:id="64" w:name="_Toc271553607"/>
            <w:bookmarkStart w:id="65" w:name="_Toc271704164"/>
            <w:bookmarkStart w:id="66" w:name="_Toc271553308"/>
            <w:bookmarkStart w:id="67" w:name="_Toc271553463"/>
            <w:bookmarkStart w:id="68" w:name="_Toc271553609"/>
            <w:bookmarkStart w:id="69" w:name="_Toc271704166"/>
            <w:bookmarkStart w:id="70" w:name="_Toc271553315"/>
            <w:bookmarkStart w:id="71" w:name="_Toc271553470"/>
            <w:bookmarkStart w:id="72" w:name="_Toc271553616"/>
            <w:bookmarkStart w:id="73" w:name="_Toc271704173"/>
            <w:bookmarkStart w:id="74" w:name="_Toc271553319"/>
            <w:bookmarkStart w:id="75" w:name="_Toc271553474"/>
            <w:bookmarkStart w:id="76" w:name="_Toc271553620"/>
            <w:bookmarkStart w:id="77" w:name="_Toc271704177"/>
            <w:bookmarkStart w:id="78" w:name="_Toc271553323"/>
            <w:bookmarkStart w:id="79" w:name="_Toc271553478"/>
            <w:bookmarkStart w:id="80" w:name="_Toc271553624"/>
            <w:bookmarkStart w:id="81" w:name="_Toc271704181"/>
            <w:bookmarkStart w:id="82" w:name="_Toc271553340"/>
            <w:bookmarkStart w:id="83" w:name="_Toc271553495"/>
            <w:bookmarkStart w:id="84" w:name="_Toc271553641"/>
            <w:bookmarkStart w:id="85" w:name="_Toc271704198"/>
            <w:bookmarkStart w:id="86" w:name="_Toc271553356"/>
            <w:bookmarkStart w:id="87" w:name="_Toc271553511"/>
            <w:bookmarkStart w:id="88" w:name="_Toc271553657"/>
            <w:bookmarkStart w:id="89" w:name="_Toc271704214"/>
            <w:bookmarkStart w:id="90" w:name="_Toc271553361"/>
            <w:bookmarkStart w:id="91" w:name="_Toc271553516"/>
            <w:bookmarkStart w:id="92" w:name="_Toc271553662"/>
            <w:bookmarkStart w:id="93" w:name="_Toc271704219"/>
            <w:bookmarkStart w:id="94" w:name="_Toc271553391"/>
            <w:bookmarkStart w:id="95" w:name="_Toc271553546"/>
            <w:bookmarkStart w:id="96" w:name="_Toc271553692"/>
            <w:bookmarkStart w:id="97" w:name="_Toc27170424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E2FBC">
              <w:rPr>
                <w:rFonts w:ascii="Arial" w:hAnsi="Arial" w:cs="Arial"/>
                <w:sz w:val="24"/>
                <w:szCs w:val="24"/>
              </w:rPr>
              <w:t xml:space="preserve">Name of person or organisation tendering </w:t>
            </w:r>
          </w:p>
        </w:tc>
        <w:bookmarkStart w:id="98"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8"/>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99"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9"/>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0"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0"/>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63235EA3"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1" w:name="_Hlk204853856"/>
      <w:r w:rsidR="00BC559F">
        <w:rPr>
          <w:rFonts w:cs="Arial"/>
          <w:sz w:val="24"/>
          <w:szCs w:val="24"/>
        </w:rPr>
        <w:t>Sub-Contractors</w:t>
      </w:r>
      <w:bookmarkEnd w:id="101"/>
    </w:p>
    <w:p w14:paraId="4FD71B09" w14:textId="77777777" w:rsidR="00575485" w:rsidRPr="00575485" w:rsidRDefault="00575485" w:rsidP="00575485">
      <w:pPr>
        <w:rPr>
          <w:rFonts w:ascii="Arial" w:hAnsi="Arial" w:cs="Arial"/>
          <w:sz w:val="24"/>
          <w:szCs w:val="24"/>
        </w:rPr>
      </w:pPr>
      <w:bookmarkStart w:id="102" w:name="_Hlk204853870"/>
      <w:r w:rsidRPr="00575485">
        <w:rPr>
          <w:rFonts w:ascii="Arial" w:hAnsi="Arial" w:cs="Arial"/>
          <w:sz w:val="24"/>
          <w:szCs w:val="24"/>
        </w:rPr>
        <w:t>Please list all sub-contractors you will be using for this contract.</w:t>
      </w:r>
    </w:p>
    <w:bookmarkEnd w:id="102"/>
    <w:p w14:paraId="071E705D" w14:textId="77777777" w:rsidR="004312B5" w:rsidRPr="00CC44D1" w:rsidRDefault="004312B5" w:rsidP="004312B5">
      <w:pPr>
        <w:rPr>
          <w:sz w:val="24"/>
          <w:szCs w:val="24"/>
        </w:rPr>
      </w:pP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3" w:name="_Toc276026270"/>
      <w:bookmarkStart w:id="104" w:name="_Toc341700137"/>
      <w:bookmarkStart w:id="105" w:name="_Toc367268712"/>
      <w:bookmarkStart w:id="106" w:name="_Toc256000011"/>
      <w:bookmarkStart w:id="107" w:name="_Toc45727001"/>
      <w:r w:rsidRPr="00CC44D1">
        <w:rPr>
          <w:rFonts w:asciiTheme="majorHAnsi" w:hAnsiTheme="majorHAnsi" w:cstheme="majorHAnsi"/>
          <w:color w:val="auto"/>
          <w:sz w:val="24"/>
          <w:szCs w:val="24"/>
        </w:rPr>
        <w:lastRenderedPageBreak/>
        <w:t xml:space="preserve">Form B: Grounds for </w:t>
      </w:r>
      <w:bookmarkEnd w:id="103"/>
      <w:bookmarkEnd w:id="104"/>
      <w:bookmarkEnd w:id="105"/>
      <w:r w:rsidRPr="00CC44D1">
        <w:rPr>
          <w:rFonts w:asciiTheme="majorHAnsi" w:hAnsiTheme="majorHAnsi" w:cstheme="majorHAnsi"/>
          <w:color w:val="auto"/>
          <w:sz w:val="24"/>
          <w:szCs w:val="24"/>
        </w:rPr>
        <w:t>exclusion</w:t>
      </w:r>
      <w:bookmarkEnd w:id="106"/>
      <w:bookmarkEnd w:id="107"/>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08" w:name="_Toc341700138"/>
      <w:bookmarkStart w:id="109"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423494"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423494"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423494"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423494"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423494"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423494"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423494"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423494"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0" w:name="_Toc256000012"/>
      <w:bookmarkStart w:id="111" w:name="_Toc45727002"/>
      <w:r w:rsidRPr="00CC44D1">
        <w:rPr>
          <w:rFonts w:asciiTheme="majorHAnsi" w:hAnsiTheme="majorHAnsi" w:cstheme="majorHAnsi"/>
          <w:color w:val="auto"/>
          <w:sz w:val="24"/>
          <w:szCs w:val="24"/>
        </w:rPr>
        <w:lastRenderedPageBreak/>
        <w:t>Form C: Compliance with minimum standards</w:t>
      </w:r>
      <w:bookmarkEnd w:id="108"/>
      <w:bookmarkEnd w:id="109"/>
      <w:bookmarkEnd w:id="110"/>
      <w:bookmarkEnd w:id="111"/>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06560257"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Pr="00613159">
        <w:rPr>
          <w:rFonts w:ascii="Arial" w:hAnsi="Arial" w:cs="Arial"/>
          <w:b/>
          <w:bCs/>
          <w:sz w:val="24"/>
          <w:szCs w:val="24"/>
        </w:rPr>
        <w:t>Electrical and Mechanical Servicing for all Hot Water &amp; Heating Service Assets &amp; Associated Plant</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423494"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423494"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04C0D71C" w:rsidR="000A1D9B" w:rsidRPr="00D4625E" w:rsidRDefault="00C144F0" w:rsidP="000A1D9B">
      <w:pPr>
        <w:spacing w:line="288" w:lineRule="auto"/>
        <w:rPr>
          <w:rFonts w:ascii="Arial" w:hAnsi="Arial" w:cs="Arial"/>
          <w:bCs/>
          <w:sz w:val="24"/>
          <w:szCs w:val="24"/>
        </w:rPr>
      </w:pPr>
      <w:bookmarkStart w:id="112"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C16535" w:rsidRPr="00D4625E">
        <w:rPr>
          <w:rFonts w:ascii="Arial" w:hAnsi="Arial" w:cs="Arial"/>
          <w:bCs/>
          <w:sz w:val="24"/>
          <w:szCs w:val="24"/>
        </w:rPr>
        <w:t xml:space="preserve">Electrical and Mechanical Servicing for all Hot Water &amp; Heating Service Assets &amp; Associated Plant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2"/>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392E71B1"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4829A8" w:rsidRPr="004829A8">
        <w:rPr>
          <w:rFonts w:ascii="Arial" w:hAnsi="Arial" w:cs="Arial"/>
          <w:b/>
          <w:sz w:val="24"/>
          <w:szCs w:val="24"/>
        </w:rPr>
        <w:t>Electrical and Mechanical Servicing for all Hot Water &amp; Heating Service Assets &amp; Associated Plant</w:t>
      </w:r>
      <w:r w:rsidRPr="004829A8">
        <w:rPr>
          <w:rStyle w:val="NoSpacingChar"/>
          <w:rFonts w:ascii="Arial" w:hAnsi="Arial" w:cs="Arial"/>
          <w:b/>
          <w:sz w:val="24"/>
          <w:szCs w:val="24"/>
        </w:rPr>
        <w:t xml:space="preserve"> as defined in the specification of requirements hold relevant and current professional qualifications?</w:t>
      </w:r>
    </w:p>
    <w:p w14:paraId="606A550A" w14:textId="77777777" w:rsidR="000A1D9B" w:rsidRPr="00D4625E" w:rsidRDefault="00423494"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423494"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60A82E13" w:rsidR="000A1D9B" w:rsidRPr="00D4625E" w:rsidRDefault="00C144F0" w:rsidP="000A1D9B">
      <w:pPr>
        <w:rPr>
          <w:rFonts w:ascii="Arial" w:hAnsi="Arial" w:cs="Arial"/>
          <w:sz w:val="24"/>
          <w:szCs w:val="24"/>
        </w:rPr>
      </w:pPr>
      <w:bookmarkStart w:id="113"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592CF8" w:rsidRPr="00D4625E">
        <w:rPr>
          <w:rFonts w:ascii="Arial" w:hAnsi="Arial" w:cs="Arial"/>
          <w:bCs/>
          <w:sz w:val="24"/>
          <w:szCs w:val="24"/>
        </w:rPr>
        <w:t xml:space="preserve">Electrical and Mechanical Servicing for all Hot Water &amp; Heating Service Assets &amp; Associated Plant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3"/>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423494"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423494"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423494"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423494"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423494"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423494"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4" w:name="_Hlk183094329"/>
      <w:r w:rsidR="003E0DD8" w:rsidRPr="00821E61">
        <w:rPr>
          <w:rFonts w:ascii="Arial" w:hAnsi="Arial" w:cs="Arial"/>
          <w:sz w:val="24"/>
          <w:szCs w:val="24"/>
        </w:rPr>
        <w:t xml:space="preserve"> If you are unable to evidence what you have done to put matters right, your application will fail.</w:t>
      </w:r>
      <w:bookmarkEnd w:id="114"/>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5" w:name="_Hlk139361346"/>
    <w:p w14:paraId="3F46D2EC" w14:textId="77777777" w:rsidR="009524DD" w:rsidRPr="00083E5D" w:rsidRDefault="00423494"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423494"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5"/>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423494"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423494"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423494"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423494"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423494"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423494"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423494"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423494"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423494"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423494"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6"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423494"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423494"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423494"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17"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17"/>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18" w:name="_Ref137735286"/>
      <w:r w:rsidRPr="00CC44D1">
        <w:rPr>
          <w:sz w:val="24"/>
          <w:szCs w:val="24"/>
        </w:rPr>
        <w:t>Health and Safety</w:t>
      </w:r>
      <w:bookmarkEnd w:id="118"/>
    </w:p>
    <w:p w14:paraId="267A0BAC" w14:textId="77777777" w:rsidR="005B518B" w:rsidRPr="007B6E50" w:rsidRDefault="005B518B" w:rsidP="005B518B">
      <w:pPr>
        <w:spacing w:before="120" w:after="120"/>
        <w:jc w:val="both"/>
        <w:rPr>
          <w:rFonts w:ascii="Arial" w:hAnsi="Arial" w:cs="Arial"/>
          <w:sz w:val="24"/>
          <w:szCs w:val="24"/>
        </w:rPr>
      </w:pPr>
      <w:bookmarkStart w:id="119" w:name="_Toc256000013"/>
      <w:bookmarkStart w:id="120" w:name="_Toc276026273"/>
      <w:bookmarkStart w:id="121" w:name="_Toc327166657"/>
      <w:bookmarkStart w:id="122" w:name="_Toc367268714"/>
      <w:bookmarkStart w:id="123" w:name="_Toc45727003"/>
      <w:bookmarkEnd w:id="116"/>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56E361B9"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Pr="00DE34CD" w:rsidRDefault="005B518B" w:rsidP="005B518B">
      <w:pPr>
        <w:pStyle w:val="ListParagraph"/>
        <w:spacing w:before="0" w:after="0"/>
        <w:ind w:left="360"/>
        <w:rPr>
          <w:sz w:val="24"/>
          <w:szCs w:val="24"/>
        </w:rPr>
      </w:pPr>
    </w:p>
    <w:p w14:paraId="031C99C7" w14:textId="77777777" w:rsidR="00911703" w:rsidRDefault="00911703" w:rsidP="002E0443">
      <w:pPr>
        <w:spacing w:before="0" w:after="0"/>
        <w:rPr>
          <w:sz w:val="24"/>
          <w:szCs w:val="24"/>
        </w:rPr>
      </w:pPr>
    </w:p>
    <w:p w14:paraId="7E706CFD" w14:textId="77777777" w:rsidR="00911703" w:rsidRPr="00CC44D1" w:rsidRDefault="00911703" w:rsidP="002E0443">
      <w:pPr>
        <w:spacing w:before="0" w:after="0"/>
        <w:rPr>
          <w:sz w:val="24"/>
          <w:szCs w:val="24"/>
        </w:rPr>
      </w:pPr>
    </w:p>
    <w:p w14:paraId="3B444B9C" w14:textId="77777777" w:rsidR="002E0443" w:rsidRPr="00CC44D1" w:rsidRDefault="002E0443" w:rsidP="002E0443">
      <w:pPr>
        <w:spacing w:before="0" w:after="0" w:line="240" w:lineRule="auto"/>
        <w:rPr>
          <w:rStyle w:val="Strong"/>
          <w:b w:val="0"/>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19"/>
      <w:bookmarkEnd w:id="120"/>
      <w:bookmarkEnd w:id="121"/>
      <w:bookmarkEnd w:id="122"/>
      <w:bookmarkEnd w:id="123"/>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423494"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423494"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4" w:name="_Toc256000014"/>
      <w:bookmarkStart w:id="125" w:name="_Toc45727004"/>
      <w:bookmarkStart w:id="126" w:name="_Hlk203042775"/>
      <w:r w:rsidRPr="00CC44D1">
        <w:rPr>
          <w:rFonts w:asciiTheme="majorHAnsi" w:hAnsiTheme="majorHAnsi" w:cstheme="majorHAnsi"/>
          <w:color w:val="auto"/>
          <w:sz w:val="24"/>
          <w:szCs w:val="24"/>
        </w:rPr>
        <w:lastRenderedPageBreak/>
        <w:t>Form E: Shortlisting Questions</w:t>
      </w:r>
      <w:bookmarkEnd w:id="124"/>
      <w:bookmarkEnd w:id="125"/>
    </w:p>
    <w:bookmarkEnd w:id="126"/>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27" w:name="_Toc256000015"/>
      <w:bookmarkStart w:id="128"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27"/>
    <w:bookmarkEnd w:id="128"/>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423494"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423494"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111780FB" w14:textId="4CE1E139" w:rsidR="00A72EC3" w:rsidRDefault="006B1888" w:rsidP="00A72EC3">
            <w:pPr>
              <w:pStyle w:val="paragraph"/>
              <w:spacing w:before="0" w:beforeAutospacing="0" w:after="0" w:afterAutospacing="0"/>
              <w:ind w:right="255"/>
              <w:textAlignment w:val="baseline"/>
              <w:rPr>
                <w:rStyle w:val="eop"/>
                <w:rFonts w:ascii="Arial"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A72EC3" w:rsidRPr="00A72EC3">
              <w:rPr>
                <w:rStyle w:val="normaltextrun"/>
                <w:rFonts w:ascii="Arial" w:hAnsi="Arial" w:cs="Arial"/>
              </w:rPr>
              <w:t>Describe how your servicing methodology ensures full compliance with both manufacturer instructions and NCC’s SOPs 11, 12, 13, 14, and 19. In cases where manufacturer guidance conflicts with SOP requirements, how do you identify, assess, and resolve these discrepancies, and how is this communicated to NCC?</w:t>
            </w:r>
            <w:r w:rsidR="00A72EC3" w:rsidRPr="00A72EC3">
              <w:rPr>
                <w:rStyle w:val="eop"/>
                <w:rFonts w:ascii="Arial" w:hAnsi="Arial" w:cs="Arial"/>
              </w:rPr>
              <w:t> </w:t>
            </w:r>
          </w:p>
          <w:p w14:paraId="5F165CBD" w14:textId="77777777" w:rsidR="00AC2CEF" w:rsidRPr="00A72EC3" w:rsidRDefault="00AC2CEF" w:rsidP="00A72EC3">
            <w:pPr>
              <w:pStyle w:val="paragraph"/>
              <w:spacing w:before="0" w:beforeAutospacing="0" w:after="0" w:afterAutospacing="0"/>
              <w:ind w:right="255"/>
              <w:textAlignment w:val="baseline"/>
              <w:rPr>
                <w:rFonts w:ascii="Arial" w:hAnsi="Arial" w:cs="Arial"/>
                <w:sz w:val="18"/>
                <w:szCs w:val="18"/>
              </w:rPr>
            </w:pPr>
          </w:p>
          <w:p w14:paraId="4DBBDAD9" w14:textId="77777777" w:rsidR="00A72EC3" w:rsidRPr="00A72EC3" w:rsidRDefault="00A72EC3" w:rsidP="00A72EC3">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hAnsi="Arial" w:cs="Arial"/>
              </w:rPr>
              <w:t>25% 2.5 x A4 pages, 12pt Arial</w:t>
            </w:r>
            <w:r w:rsidRPr="00A72EC3">
              <w:rPr>
                <w:rStyle w:val="eop"/>
                <w:rFonts w:ascii="Arial" w:hAnsi="Arial" w:cs="Arial"/>
              </w:rPr>
              <w:t> </w:t>
            </w:r>
          </w:p>
          <w:p w14:paraId="590A09D0" w14:textId="77777777" w:rsidR="00A72EC3" w:rsidRPr="00A72EC3" w:rsidRDefault="00A72EC3" w:rsidP="00A72EC3">
            <w:pPr>
              <w:pStyle w:val="paragraph"/>
              <w:spacing w:before="0" w:beforeAutospacing="0" w:after="0" w:afterAutospacing="0"/>
              <w:ind w:right="255"/>
              <w:textAlignment w:val="baseline"/>
              <w:rPr>
                <w:rFonts w:ascii="Arial" w:hAnsi="Arial" w:cs="Arial"/>
                <w:b/>
                <w:bCs/>
                <w:color w:val="FF0000"/>
              </w:rPr>
            </w:pPr>
          </w:p>
        </w:tc>
      </w:tr>
      <w:tr w:rsidR="00A72EC3" w:rsidRPr="00A72EC3" w14:paraId="760B1D87" w14:textId="77777777">
        <w:tc>
          <w:tcPr>
            <w:tcW w:w="9016" w:type="dxa"/>
          </w:tcPr>
          <w:p w14:paraId="65F74293" w14:textId="77777777" w:rsidR="00AC2CEF" w:rsidRDefault="006B1888" w:rsidP="00A72EC3">
            <w:pPr>
              <w:pStyle w:val="paragraph"/>
              <w:spacing w:before="0" w:beforeAutospacing="0" w:after="0" w:afterAutospacing="0"/>
              <w:ind w:right="255"/>
              <w:textAlignment w:val="baseline"/>
              <w:rPr>
                <w:rStyle w:val="normaltextrun"/>
                <w:rFonts w:ascii="Arial" w:hAnsi="Arial" w:cs="Arial"/>
              </w:rPr>
            </w:pPr>
            <w:r w:rsidRPr="006B1888">
              <w:rPr>
                <w:rStyle w:val="normaltextrun"/>
                <w:rFonts w:ascii="Arial" w:hAnsi="Arial" w:cs="Arial"/>
                <w:b/>
                <w:bCs/>
              </w:rPr>
              <w:t>F2</w:t>
            </w:r>
            <w:r>
              <w:rPr>
                <w:rStyle w:val="normaltextrun"/>
                <w:rFonts w:ascii="Arial" w:hAnsi="Arial" w:cs="Arial"/>
              </w:rPr>
              <w:t xml:space="preserve">   </w:t>
            </w:r>
            <w:r w:rsidR="00A72EC3" w:rsidRPr="00A72EC3">
              <w:rPr>
                <w:rStyle w:val="normaltextrun"/>
                <w:rFonts w:ascii="Arial" w:hAnsi="Arial" w:cs="Arial"/>
              </w:rPr>
              <w:t>Explain your approach to delivering planned inspection, testing, and maintenance across a wide range of heating and hot water systems, including gas, oil, biofuel, electric, and renewable technologies. How do you ensure your operatives are appropriately qualified and experienced to service each system type and its associated plant (e.g., flues, dosing units, pressurisation vessels)?</w:t>
            </w:r>
          </w:p>
          <w:p w14:paraId="6DB499D7" w14:textId="77F0A502" w:rsidR="00A72EC3" w:rsidRPr="00A72EC3" w:rsidRDefault="00A72EC3" w:rsidP="00A72EC3">
            <w:pPr>
              <w:pStyle w:val="paragraph"/>
              <w:spacing w:before="0" w:beforeAutospacing="0" w:after="0" w:afterAutospacing="0"/>
              <w:ind w:right="255"/>
              <w:textAlignment w:val="baseline"/>
              <w:rPr>
                <w:rFonts w:ascii="Arial" w:hAnsi="Arial" w:cs="Arial"/>
                <w:sz w:val="18"/>
                <w:szCs w:val="18"/>
              </w:rPr>
            </w:pPr>
            <w:r w:rsidRPr="00A72EC3">
              <w:rPr>
                <w:rStyle w:val="eop"/>
                <w:rFonts w:ascii="Arial" w:hAnsi="Arial" w:cs="Arial"/>
              </w:rPr>
              <w:t> </w:t>
            </w:r>
          </w:p>
          <w:p w14:paraId="447ECDE8" w14:textId="77777777" w:rsidR="00A72EC3" w:rsidRPr="00A72EC3" w:rsidRDefault="00A72EC3" w:rsidP="00A72EC3">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hAnsi="Arial" w:cs="Arial"/>
              </w:rPr>
              <w:t>15% 2 x A4 pages, 12pt, Arial</w:t>
            </w:r>
            <w:r w:rsidRPr="00A72EC3">
              <w:rPr>
                <w:rStyle w:val="eop"/>
                <w:rFonts w:ascii="Arial" w:hAnsi="Arial" w:cs="Arial"/>
              </w:rPr>
              <w:t> </w:t>
            </w:r>
          </w:p>
          <w:p w14:paraId="0DC2678C" w14:textId="77777777" w:rsidR="00A72EC3" w:rsidRPr="00A72EC3" w:rsidRDefault="00A72EC3" w:rsidP="00A72EC3">
            <w:pPr>
              <w:pStyle w:val="paragraph"/>
              <w:spacing w:before="0" w:beforeAutospacing="0" w:after="0" w:afterAutospacing="0"/>
              <w:ind w:right="255"/>
              <w:textAlignment w:val="baseline"/>
              <w:rPr>
                <w:rFonts w:ascii="Arial" w:hAnsi="Arial" w:cs="Arial"/>
                <w:b/>
                <w:bCs/>
                <w:color w:val="FF0000"/>
              </w:rPr>
            </w:pPr>
          </w:p>
        </w:tc>
      </w:tr>
      <w:tr w:rsidR="00A72EC3" w:rsidRPr="00A72EC3" w14:paraId="6AD1196C" w14:textId="77777777">
        <w:tc>
          <w:tcPr>
            <w:tcW w:w="9016" w:type="dxa"/>
          </w:tcPr>
          <w:p w14:paraId="1292FB2B" w14:textId="0D5BB594" w:rsidR="00A72EC3" w:rsidRDefault="006B1888" w:rsidP="00A72EC3">
            <w:pPr>
              <w:pStyle w:val="paragraph"/>
              <w:spacing w:before="0" w:beforeAutospacing="0" w:after="0" w:afterAutospacing="0"/>
              <w:ind w:right="255"/>
              <w:textAlignment w:val="baseline"/>
              <w:rPr>
                <w:rStyle w:val="eop"/>
                <w:rFonts w:ascii="Arial" w:hAnsi="Arial" w:cs="Arial"/>
              </w:rPr>
            </w:pPr>
            <w:r w:rsidRPr="006B1888">
              <w:rPr>
                <w:rStyle w:val="normaltextrun"/>
                <w:rFonts w:ascii="Arial" w:hAnsi="Arial" w:cs="Arial"/>
                <w:b/>
                <w:bCs/>
              </w:rPr>
              <w:t xml:space="preserve">F3 </w:t>
            </w:r>
            <w:r>
              <w:rPr>
                <w:rStyle w:val="normaltextrun"/>
                <w:rFonts w:ascii="Arial" w:hAnsi="Arial" w:cs="Arial"/>
              </w:rPr>
              <w:t xml:space="preserve">  </w:t>
            </w:r>
            <w:r w:rsidR="00A72EC3" w:rsidRPr="00A72EC3">
              <w:rPr>
                <w:rStyle w:val="normaltextrun"/>
                <w:rFonts w:ascii="Arial" w:hAnsi="Arial" w:cs="Arial"/>
              </w:rPr>
              <w:t>What systems and processes do you use to ensure accurate asset identification, certification, and reporting across over 200 properties? How do you ensure that documentation is submitted within the required timeframe and that remedial actions are tracked and closed out effectively?</w:t>
            </w:r>
            <w:r w:rsidR="00A72EC3" w:rsidRPr="00A72EC3">
              <w:rPr>
                <w:rStyle w:val="eop"/>
                <w:rFonts w:ascii="Arial" w:hAnsi="Arial" w:cs="Arial"/>
              </w:rPr>
              <w:t> </w:t>
            </w:r>
          </w:p>
          <w:p w14:paraId="7D4F67D4" w14:textId="77777777" w:rsidR="00AC2CEF" w:rsidRPr="00A72EC3" w:rsidRDefault="00AC2CEF" w:rsidP="00A72EC3">
            <w:pPr>
              <w:pStyle w:val="paragraph"/>
              <w:spacing w:before="0" w:beforeAutospacing="0" w:after="0" w:afterAutospacing="0"/>
              <w:ind w:right="255"/>
              <w:textAlignment w:val="baseline"/>
              <w:rPr>
                <w:rFonts w:ascii="Arial" w:hAnsi="Arial" w:cs="Arial"/>
                <w:sz w:val="18"/>
                <w:szCs w:val="18"/>
              </w:rPr>
            </w:pPr>
          </w:p>
          <w:p w14:paraId="2BBA5034" w14:textId="77777777" w:rsidR="00A72EC3" w:rsidRPr="00A72EC3" w:rsidRDefault="00A72EC3" w:rsidP="00A72EC3">
            <w:pPr>
              <w:pStyle w:val="paragraph"/>
              <w:spacing w:before="0" w:beforeAutospacing="0" w:after="0" w:afterAutospacing="0"/>
              <w:ind w:right="255"/>
              <w:textAlignment w:val="baseline"/>
              <w:rPr>
                <w:rFonts w:ascii="Arial" w:hAnsi="Arial" w:cs="Arial"/>
                <w:sz w:val="18"/>
                <w:szCs w:val="18"/>
              </w:rPr>
            </w:pPr>
            <w:r w:rsidRPr="00A72EC3">
              <w:rPr>
                <w:rStyle w:val="normaltextrun"/>
                <w:rFonts w:ascii="Arial" w:hAnsi="Arial" w:cs="Arial"/>
              </w:rPr>
              <w:t>10% 1.5 x A4 pages, 12pt, Arial</w:t>
            </w:r>
            <w:r w:rsidRPr="00A72EC3">
              <w:rPr>
                <w:rStyle w:val="eop"/>
                <w:rFonts w:ascii="Arial" w:hAnsi="Arial" w:cs="Arial"/>
              </w:rPr>
              <w:t> </w:t>
            </w:r>
          </w:p>
          <w:p w14:paraId="2378C2AD" w14:textId="77777777" w:rsidR="00A72EC3" w:rsidRPr="00A72EC3" w:rsidRDefault="00A72EC3" w:rsidP="00552B54">
            <w:pPr>
              <w:rPr>
                <w:rFonts w:ascii="Arial" w:hAnsi="Arial" w:cs="Arial"/>
                <w:b/>
                <w:bCs/>
                <w:color w:val="FF0000"/>
              </w:rPr>
            </w:pP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9" w:name="_Toc276026276"/>
      <w:bookmarkStart w:id="130" w:name="_Toc256000016"/>
      <w:bookmarkStart w:id="131" w:name="_Toc339365998"/>
      <w:bookmarkStart w:id="132" w:name="_Toc367268719"/>
      <w:bookmarkStart w:id="133" w:name="_Toc45727007"/>
      <w:r w:rsidRPr="00CC44D1">
        <w:rPr>
          <w:rFonts w:asciiTheme="majorHAnsi" w:hAnsiTheme="majorHAnsi" w:cstheme="majorHAnsi"/>
          <w:color w:val="auto"/>
          <w:sz w:val="24"/>
          <w:szCs w:val="24"/>
        </w:rPr>
        <w:lastRenderedPageBreak/>
        <w:t>Form Z:</w:t>
      </w:r>
      <w:bookmarkEnd w:id="129"/>
      <w:r w:rsidRPr="00CC44D1">
        <w:rPr>
          <w:rFonts w:asciiTheme="majorHAnsi" w:hAnsiTheme="majorHAnsi" w:cstheme="majorHAnsi"/>
          <w:color w:val="auto"/>
          <w:sz w:val="24"/>
          <w:szCs w:val="24"/>
        </w:rPr>
        <w:t xml:space="preserve"> Applicant's declaration</w:t>
      </w:r>
      <w:bookmarkEnd w:id="130"/>
      <w:bookmarkEnd w:id="131"/>
      <w:bookmarkEnd w:id="132"/>
      <w:bookmarkEnd w:id="133"/>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4"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423494"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423494"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423494"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4"/>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423494"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423494"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423494"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423494"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423494"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423494"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423494"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204" w14:textId="77777777" w:rsidR="00C90A0F" w:rsidRDefault="00C90A0F">
      <w:pPr>
        <w:spacing w:before="0" w:after="0" w:line="240" w:lineRule="auto"/>
      </w:pPr>
      <w:r>
        <w:separator/>
      </w:r>
    </w:p>
  </w:endnote>
  <w:endnote w:type="continuationSeparator" w:id="0">
    <w:p w14:paraId="26198400" w14:textId="77777777" w:rsidR="00C90A0F" w:rsidRDefault="00C90A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3BF9" w14:textId="77777777" w:rsidR="00C90A0F" w:rsidRDefault="00C90A0F">
      <w:pPr>
        <w:spacing w:before="0" w:after="0" w:line="240" w:lineRule="auto"/>
      </w:pPr>
      <w:r>
        <w:separator/>
      </w:r>
    </w:p>
  </w:footnote>
  <w:footnote w:type="continuationSeparator" w:id="0">
    <w:p w14:paraId="66D883C2" w14:textId="77777777" w:rsidR="00C90A0F" w:rsidRDefault="00C90A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748F14C0"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0B52BF">
      <w:rPr>
        <w:rStyle w:val="Emphasis"/>
        <w:rFonts w:asciiTheme="minorHAnsi" w:hAnsiTheme="minorHAnsi"/>
        <w:caps w:val="0"/>
        <w:noProof/>
        <w:color w:val="auto"/>
        <w:spacing w:val="0"/>
        <w:sz w:val="24"/>
        <w:szCs w:val="28"/>
      </w:rPr>
      <w:t>3</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31C11BD9"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13</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4EC2F693"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911703">
      <w:rPr>
        <w:rStyle w:val="Emphasis"/>
        <w:rFonts w:asciiTheme="minorHAnsi" w:hAnsiTheme="minorHAnsi"/>
        <w:caps w:val="0"/>
        <w:noProof/>
        <w:color w:val="auto"/>
        <w:spacing w:val="0"/>
        <w:sz w:val="24"/>
        <w:szCs w:val="28"/>
      </w:rPr>
      <w:t>3</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684B"/>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0E58"/>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504"/>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1C6"/>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494"/>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E18"/>
    <w:rsid w:val="00495F46"/>
    <w:rsid w:val="004A4BFB"/>
    <w:rsid w:val="004A4D68"/>
    <w:rsid w:val="004A5125"/>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485"/>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E6CF3"/>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2FAA"/>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3A"/>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2E72"/>
    <w:rsid w:val="00B250B2"/>
    <w:rsid w:val="00B27CE7"/>
    <w:rsid w:val="00B30BF6"/>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559F"/>
    <w:rsid w:val="00BC614A"/>
    <w:rsid w:val="00BD2E1A"/>
    <w:rsid w:val="00BD315D"/>
    <w:rsid w:val="00BD7718"/>
    <w:rsid w:val="00BE0A30"/>
    <w:rsid w:val="00BE1653"/>
    <w:rsid w:val="00BE1EEA"/>
    <w:rsid w:val="00BE53C5"/>
    <w:rsid w:val="00BF3389"/>
    <w:rsid w:val="00BF73CB"/>
    <w:rsid w:val="00BF76B3"/>
    <w:rsid w:val="00C000A6"/>
    <w:rsid w:val="00C0134B"/>
    <w:rsid w:val="00C0628B"/>
    <w:rsid w:val="00C07327"/>
    <w:rsid w:val="00C0743D"/>
    <w:rsid w:val="00C10059"/>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0A0F"/>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09C8"/>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433A"/>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0E8A"/>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27583"/>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DocFusionParameter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799D4-6596-4040-8388-5BB0A37C234B}">
  <ds:schemaRefs/>
</ds:datastoreItem>
</file>

<file path=customXml/itemProps2.xml><?xml version="1.0" encoding="utf-8"?>
<ds:datastoreItem xmlns:ds="http://schemas.openxmlformats.org/officeDocument/2006/customXml" ds:itemID="{77EA5BA0-5F32-4E49-9446-3DA4325A7BFB}">
  <ds:schemaRefs>
    <ds:schemaRef ds:uri="http://www.w3.org/2001/XMLSchema"/>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11438</Words>
  <Characters>65199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39</cp:revision>
  <dcterms:created xsi:type="dcterms:W3CDTF">2025-07-15T14:24:00Z</dcterms:created>
  <dcterms:modified xsi:type="dcterms:W3CDTF">2025-08-04T04:47:00Z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