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Bold" w:eastAsia="DengXian Light" w:hAnsi="Arial Bold" w:cs="Times New Roman"/>
          <w:b/>
          <w:color w:val="253268" w:themeColor="text2"/>
          <w:sz w:val="60"/>
          <w:szCs w:val="32"/>
        </w:rPr>
        <w:alias w:val="Title"/>
        <w:id w:val="-699473600"/>
        <w:placeholder>
          <w:docPart w:val="00CBC6C1D9C4464599ACEE682FD872B3"/>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1A01438" w14:textId="77777777" w:rsidR="002449A5" w:rsidRPr="002449A5" w:rsidRDefault="002449A5" w:rsidP="002449A5">
          <w:pPr>
            <w:widowControl w:val="0"/>
            <w:outlineLvl w:val="0"/>
            <w:rPr>
              <w:rFonts w:ascii="Arial Bold" w:eastAsia="DengXian Light" w:hAnsi="Arial Bold" w:cs="Times New Roman"/>
              <w:b/>
              <w:color w:val="253268" w:themeColor="text2"/>
              <w:sz w:val="60"/>
              <w:szCs w:val="32"/>
            </w:rPr>
          </w:pPr>
          <w:r w:rsidRPr="002449A5">
            <w:rPr>
              <w:rFonts w:ascii="Arial Bold" w:eastAsia="DengXian Light" w:hAnsi="Arial Bold" w:cs="Times New Roman"/>
              <w:b/>
              <w:color w:val="253268" w:themeColor="text2"/>
              <w:sz w:val="60"/>
              <w:szCs w:val="32"/>
            </w:rPr>
            <w:t>Invitation to Tender (ITT) and Statement of Requirement</w:t>
          </w:r>
        </w:p>
      </w:sdtContent>
    </w:sdt>
    <w:bookmarkStart w:id="0" w:name="_Hlk202965113"/>
    <w:p w14:paraId="55348914" w14:textId="5DE656EC" w:rsidR="002449A5" w:rsidRPr="002449A5" w:rsidRDefault="00E62282" w:rsidP="002449A5">
      <w:pPr>
        <w:widowControl w:val="0"/>
        <w:outlineLvl w:val="0"/>
        <w:rPr>
          <w:rFonts w:eastAsia="DengXian Light" w:cs="Times New Roman"/>
          <w:bCs/>
          <w:color w:val="B1173B"/>
          <w:sz w:val="40"/>
          <w:szCs w:val="32"/>
        </w:rPr>
      </w:pPr>
      <w:sdt>
        <w:sdtPr>
          <w:rPr>
            <w:rFonts w:eastAsia="DengXian Light" w:cs="Arial"/>
            <w:b/>
            <w:bCs/>
            <w:color w:val="B1173B"/>
            <w:sz w:val="40"/>
            <w:szCs w:val="32"/>
          </w:rPr>
          <w:alias w:val="Subject"/>
          <w:id w:val="-1191455524"/>
          <w:placeholder>
            <w:docPart w:val="5F12DCDEE96A442EAB9DE804E2EA470A"/>
          </w:placeholder>
          <w:dataBinding w:prefixMappings="xmlns:ns0='http://purl.org/dc/elements/1.1/' xmlns:ns1='http://schemas.openxmlformats.org/package/2006/metadata/core-properties' " w:xpath="/ns1:coreProperties[1]/ns0:subject[1]" w:storeItemID="{6C3C8BC8-F283-45AE-878A-BAB7291924A1}"/>
          <w:text/>
        </w:sdtPr>
        <w:sdtEndPr/>
        <w:sdtContent>
          <w:r w:rsidR="00AA2EAB">
            <w:rPr>
              <w:rFonts w:eastAsia="DengXian Light" w:cs="Arial"/>
              <w:b/>
              <w:bCs/>
              <w:color w:val="B1173B"/>
              <w:sz w:val="40"/>
              <w:szCs w:val="32"/>
            </w:rPr>
            <w:t xml:space="preserve">Independent </w:t>
          </w:r>
          <w:r w:rsidR="00D41C03">
            <w:rPr>
              <w:rFonts w:eastAsia="DengXian Light" w:cs="Arial"/>
              <w:b/>
              <w:bCs/>
              <w:color w:val="B1173B"/>
              <w:sz w:val="40"/>
              <w:szCs w:val="32"/>
            </w:rPr>
            <w:t xml:space="preserve">skilled </w:t>
          </w:r>
          <w:r w:rsidR="00AA2EAB">
            <w:rPr>
              <w:rFonts w:eastAsia="DengXian Light" w:cs="Arial"/>
              <w:b/>
              <w:bCs/>
              <w:color w:val="B1173B"/>
              <w:sz w:val="40"/>
              <w:szCs w:val="32"/>
            </w:rPr>
            <w:t>analysis</w:t>
          </w:r>
          <w:r w:rsidR="00DA5A45">
            <w:rPr>
              <w:rFonts w:eastAsia="DengXian Light" w:cs="Arial"/>
              <w:b/>
              <w:bCs/>
              <w:color w:val="B1173B"/>
              <w:sz w:val="40"/>
              <w:szCs w:val="32"/>
            </w:rPr>
            <w:t xml:space="preserve">, </w:t>
          </w:r>
          <w:r w:rsidR="00A41334">
            <w:rPr>
              <w:rFonts w:eastAsia="DengXian Light" w:cs="Arial"/>
              <w:b/>
              <w:bCs/>
              <w:color w:val="B1173B"/>
              <w:sz w:val="40"/>
              <w:szCs w:val="32"/>
            </w:rPr>
            <w:t xml:space="preserve">facilitation </w:t>
          </w:r>
          <w:r w:rsidR="00076107">
            <w:rPr>
              <w:rFonts w:eastAsia="DengXian Light" w:cs="Arial"/>
              <w:b/>
              <w:bCs/>
              <w:color w:val="B1173B"/>
              <w:sz w:val="40"/>
              <w:szCs w:val="32"/>
            </w:rPr>
            <w:t xml:space="preserve">and project design </w:t>
          </w:r>
          <w:r w:rsidR="00AA2EAB">
            <w:rPr>
              <w:rFonts w:eastAsia="DengXian Light" w:cs="Arial"/>
              <w:b/>
              <w:bCs/>
              <w:color w:val="B1173B"/>
              <w:sz w:val="40"/>
              <w:szCs w:val="32"/>
            </w:rPr>
            <w:t xml:space="preserve">to improve regulatory </w:t>
          </w:r>
          <w:r w:rsidR="000B4A97">
            <w:rPr>
              <w:rFonts w:eastAsia="DengXian Light" w:cs="Arial"/>
              <w:b/>
              <w:bCs/>
              <w:color w:val="B1173B"/>
              <w:sz w:val="40"/>
              <w:szCs w:val="32"/>
            </w:rPr>
            <w:t xml:space="preserve">effectiveness </w:t>
          </w:r>
          <w:r w:rsidR="00AA2EAB">
            <w:rPr>
              <w:rFonts w:eastAsia="DengXian Light" w:cs="Arial"/>
              <w:b/>
              <w:bCs/>
              <w:color w:val="B1173B"/>
              <w:sz w:val="40"/>
              <w:szCs w:val="32"/>
            </w:rPr>
            <w:t>with Network Rail</w:t>
          </w:r>
          <w:r w:rsidR="000B4A97">
            <w:rPr>
              <w:rFonts w:eastAsia="DengXian Light" w:cs="Arial"/>
              <w:b/>
              <w:bCs/>
              <w:color w:val="B1173B"/>
              <w:sz w:val="40"/>
              <w:szCs w:val="32"/>
            </w:rPr>
            <w:t xml:space="preserve"> on complex issues</w:t>
          </w:r>
        </w:sdtContent>
      </w:sdt>
    </w:p>
    <w:bookmarkEnd w:id="0" w:displacedByCustomXml="next"/>
    <w:sdt>
      <w:sdtPr>
        <w:rPr>
          <w:rFonts w:eastAsia="Calibri" w:cs="Arial"/>
          <w:b/>
          <w:color w:val="253268" w:themeColor="text2"/>
        </w:rPr>
        <w:alias w:val="Date"/>
        <w:id w:val="1579170274"/>
        <w:placeholder>
          <w:docPart w:val="57D963B5245241B59C48F07336191321"/>
        </w:placeholder>
        <w:dataBinding w:prefixMappings="xmlns:ns0='http://schemas.microsoft.com/office/2006/coverPageProps' " w:xpath="/ns0:CoverPageProperties[1]/ns0:PublishDate[1]" w:storeItemID="{55AF091B-3C7A-41E3-B477-F2FDAA23CFDA}"/>
        <w:date w:fullDate="2025-07-28T00:00:00Z">
          <w:dateFormat w:val="dd MMMM yyyy"/>
          <w:lid w:val="en-GB"/>
          <w:storeMappedDataAs w:val="dateTime"/>
          <w:calendar w:val="gregorian"/>
        </w:date>
      </w:sdtPr>
      <w:sdtEndPr/>
      <w:sdtContent>
        <w:p w14:paraId="5B7BA1DA" w14:textId="31EA8305" w:rsidR="002449A5" w:rsidRPr="002449A5" w:rsidRDefault="00E62282" w:rsidP="002449A5">
          <w:pPr>
            <w:rPr>
              <w:rFonts w:eastAsia="Calibri" w:cs="Arial"/>
              <w:b/>
              <w:color w:val="253268" w:themeColor="text2"/>
            </w:rPr>
          </w:pPr>
          <w:r>
            <w:rPr>
              <w:rFonts w:eastAsia="Calibri" w:cs="Arial"/>
              <w:b/>
              <w:color w:val="253268" w:themeColor="text2"/>
            </w:rPr>
            <w:t>28 July 2025</w:t>
          </w:r>
        </w:p>
      </w:sdtContent>
    </w:sdt>
    <w:p w14:paraId="30FCFD04" w14:textId="77777777" w:rsidR="002449A5" w:rsidRPr="002449A5" w:rsidRDefault="002449A5" w:rsidP="002449A5">
      <w:pPr>
        <w:rPr>
          <w:rFonts w:eastAsia="Calibri" w:cs="Arial"/>
        </w:rPr>
      </w:pPr>
    </w:p>
    <w:p w14:paraId="74834D9A" w14:textId="77777777" w:rsidR="002449A5" w:rsidRPr="002449A5" w:rsidRDefault="002449A5" w:rsidP="002449A5">
      <w:pPr>
        <w:numPr>
          <w:ilvl w:val="4"/>
          <w:numId w:val="37"/>
        </w:numPr>
        <w:rPr>
          <w:rFonts w:eastAsia="Calibri" w:cs="Arial"/>
          <w:b/>
          <w:bCs/>
          <w:color w:val="B1173B"/>
        </w:rPr>
      </w:pPr>
      <w:r w:rsidRPr="002449A5">
        <w:rPr>
          <w:rFonts w:eastAsia="Calibri" w:cs="Arial"/>
          <w:b/>
          <w:bCs/>
        </w:rPr>
        <w:t xml:space="preserve">CPV Code: </w:t>
      </w:r>
      <w:hyperlink r:id="rId12" w:history="1">
        <w:r w:rsidRPr="002449A5">
          <w:rPr>
            <w:rFonts w:eastAsia="Calibri" w:cs="Arial"/>
            <w:b/>
            <w:bCs/>
            <w:color w:val="B1173B"/>
          </w:rPr>
          <w:t>79400000</w:t>
        </w:r>
      </w:hyperlink>
    </w:p>
    <w:p w14:paraId="6C451443" w14:textId="77777777" w:rsidR="002449A5" w:rsidRPr="002449A5" w:rsidRDefault="002449A5" w:rsidP="002449A5">
      <w:pPr>
        <w:numPr>
          <w:ilvl w:val="4"/>
          <w:numId w:val="37"/>
        </w:numPr>
        <w:rPr>
          <w:rFonts w:eastAsia="Calibri" w:cs="Arial"/>
          <w:b/>
          <w:bCs/>
          <w:color w:val="B1173B"/>
        </w:rPr>
      </w:pPr>
      <w:r w:rsidRPr="002449A5">
        <w:rPr>
          <w:rFonts w:eastAsia="Calibri" w:cs="Arial"/>
          <w:b/>
          <w:bCs/>
        </w:rPr>
        <w:t>Supplementary Code:</w:t>
      </w:r>
      <w:r w:rsidRPr="002449A5">
        <w:rPr>
          <w:rFonts w:eastAsia="Calibri" w:cs="Arial"/>
          <w:b/>
          <w:bCs/>
          <w:color w:val="B1173B"/>
        </w:rPr>
        <w:t xml:space="preserve"> 80500000</w:t>
      </w:r>
    </w:p>
    <w:p w14:paraId="31275057" w14:textId="77777777" w:rsidR="002449A5" w:rsidRPr="002449A5" w:rsidRDefault="002449A5" w:rsidP="002449A5">
      <w:pPr>
        <w:numPr>
          <w:ilvl w:val="4"/>
          <w:numId w:val="37"/>
        </w:numPr>
        <w:rPr>
          <w:rFonts w:eastAsia="Calibri" w:cs="Arial"/>
        </w:rPr>
      </w:pPr>
      <w:r w:rsidRPr="002449A5">
        <w:rPr>
          <w:rFonts w:eastAsia="Calibri" w:cs="Arial"/>
          <w:b/>
          <w:bCs/>
        </w:rPr>
        <w:t>Tender Reference:</w:t>
      </w:r>
      <w:r w:rsidRPr="002449A5">
        <w:rPr>
          <w:rFonts w:eastAsia="Calibri" w:cs="Arial"/>
          <w:b/>
          <w:bCs/>
          <w:color w:val="B1173B"/>
        </w:rPr>
        <w:t xml:space="preserve"> ORR/CT/25-36</w:t>
      </w:r>
    </w:p>
    <w:p w14:paraId="4C41F923" w14:textId="77777777" w:rsidR="002449A5" w:rsidRPr="002449A5" w:rsidRDefault="002449A5" w:rsidP="002449A5">
      <w:pPr>
        <w:spacing w:after="0"/>
        <w:rPr>
          <w:rFonts w:eastAsia="Calibri" w:cs="Arial"/>
        </w:rPr>
        <w:sectPr w:rsidR="002449A5" w:rsidRPr="002449A5" w:rsidSect="002449A5">
          <w:pgSz w:w="11906" w:h="16838"/>
          <w:pgMar w:top="5443" w:right="1134" w:bottom="1134" w:left="1134" w:header="709" w:footer="709" w:gutter="0"/>
          <w:pgNumType w:start="1"/>
          <w:cols w:space="720"/>
        </w:sectPr>
      </w:pPr>
    </w:p>
    <w:p w14:paraId="6F6DAD95" w14:textId="77777777" w:rsidR="00FC6860" w:rsidRDefault="00FC6860" w:rsidP="003A16E9">
      <w:pPr>
        <w:pStyle w:val="Heading2NoToc"/>
      </w:pPr>
      <w:r>
        <w:lastRenderedPageBreak/>
        <w:t>Contents</w:t>
      </w:r>
    </w:p>
    <w:p w14:paraId="1EF37041" w14:textId="48104253" w:rsidR="002449A5" w:rsidRDefault="00FC6860">
      <w:pPr>
        <w:pStyle w:val="TOC1"/>
        <w:rPr>
          <w:rFonts w:asciiTheme="minorHAnsi" w:eastAsiaTheme="minorEastAsia" w:hAnsiTheme="minorHAnsi"/>
          <w:b w:val="0"/>
          <w:bCs w:val="0"/>
          <w:color w:val="auto"/>
          <w:kern w:val="2"/>
          <w:szCs w:val="24"/>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204170975" w:history="1">
        <w:r w:rsidR="002449A5" w:rsidRPr="00DF2748">
          <w:rPr>
            <w:rStyle w:val="Hyperlink"/>
          </w:rPr>
          <w:t>Purpose of the document</w:t>
        </w:r>
        <w:r w:rsidR="002449A5">
          <w:rPr>
            <w:webHidden/>
          </w:rPr>
          <w:tab/>
        </w:r>
        <w:r w:rsidR="002449A5">
          <w:rPr>
            <w:webHidden/>
          </w:rPr>
          <w:fldChar w:fldCharType="begin"/>
        </w:r>
        <w:r w:rsidR="002449A5">
          <w:rPr>
            <w:webHidden/>
          </w:rPr>
          <w:instrText xml:space="preserve"> PAGEREF _Toc204170975 \h </w:instrText>
        </w:r>
        <w:r w:rsidR="002449A5">
          <w:rPr>
            <w:webHidden/>
          </w:rPr>
        </w:r>
        <w:r w:rsidR="002449A5">
          <w:rPr>
            <w:webHidden/>
          </w:rPr>
          <w:fldChar w:fldCharType="separate"/>
        </w:r>
        <w:r w:rsidR="002449A5">
          <w:rPr>
            <w:webHidden/>
          </w:rPr>
          <w:t>3</w:t>
        </w:r>
        <w:r w:rsidR="002449A5">
          <w:rPr>
            <w:webHidden/>
          </w:rPr>
          <w:fldChar w:fldCharType="end"/>
        </w:r>
      </w:hyperlink>
    </w:p>
    <w:p w14:paraId="7C262535" w14:textId="07519D7A" w:rsidR="002449A5" w:rsidRDefault="002449A5">
      <w:pPr>
        <w:pStyle w:val="TOC1"/>
        <w:rPr>
          <w:rFonts w:asciiTheme="minorHAnsi" w:eastAsiaTheme="minorEastAsia" w:hAnsiTheme="minorHAnsi"/>
          <w:b w:val="0"/>
          <w:bCs w:val="0"/>
          <w:color w:val="auto"/>
          <w:kern w:val="2"/>
          <w:szCs w:val="24"/>
          <w:lang w:eastAsia="en-GB"/>
          <w14:ligatures w14:val="standardContextual"/>
        </w:rPr>
      </w:pPr>
      <w:hyperlink w:anchor="_Toc204170976" w:history="1">
        <w:r w:rsidRPr="00DF2748">
          <w:rPr>
            <w:rStyle w:val="Hyperlink"/>
          </w:rPr>
          <w:t>1.</w:t>
        </w:r>
        <w:r>
          <w:rPr>
            <w:rFonts w:asciiTheme="minorHAnsi" w:eastAsiaTheme="minorEastAsia" w:hAnsiTheme="minorHAnsi"/>
            <w:b w:val="0"/>
            <w:bCs w:val="0"/>
            <w:color w:val="auto"/>
            <w:kern w:val="2"/>
            <w:szCs w:val="24"/>
            <w:lang w:eastAsia="en-GB"/>
            <w14:ligatures w14:val="standardContextual"/>
          </w:rPr>
          <w:tab/>
        </w:r>
        <w:r w:rsidRPr="00DF2748">
          <w:rPr>
            <w:rStyle w:val="Hyperlink"/>
          </w:rPr>
          <w:t>Introduction to the Office of Rail and Road</w:t>
        </w:r>
        <w:r>
          <w:rPr>
            <w:webHidden/>
          </w:rPr>
          <w:tab/>
        </w:r>
        <w:r>
          <w:rPr>
            <w:webHidden/>
          </w:rPr>
          <w:fldChar w:fldCharType="begin"/>
        </w:r>
        <w:r>
          <w:rPr>
            <w:webHidden/>
          </w:rPr>
          <w:instrText xml:space="preserve"> PAGEREF _Toc204170976 \h </w:instrText>
        </w:r>
        <w:r>
          <w:rPr>
            <w:webHidden/>
          </w:rPr>
        </w:r>
        <w:r>
          <w:rPr>
            <w:webHidden/>
          </w:rPr>
          <w:fldChar w:fldCharType="separate"/>
        </w:r>
        <w:r>
          <w:rPr>
            <w:webHidden/>
          </w:rPr>
          <w:t>4</w:t>
        </w:r>
        <w:r>
          <w:rPr>
            <w:webHidden/>
          </w:rPr>
          <w:fldChar w:fldCharType="end"/>
        </w:r>
      </w:hyperlink>
    </w:p>
    <w:p w14:paraId="5E6E59EA" w14:textId="30390877"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77" w:history="1">
        <w:r w:rsidRPr="00DF2748">
          <w:rPr>
            <w:rStyle w:val="Hyperlink"/>
            <w:noProof/>
          </w:rPr>
          <w:t>Our strategic objectives</w:t>
        </w:r>
        <w:r>
          <w:rPr>
            <w:noProof/>
            <w:webHidden/>
          </w:rPr>
          <w:tab/>
        </w:r>
        <w:r>
          <w:rPr>
            <w:noProof/>
            <w:webHidden/>
          </w:rPr>
          <w:fldChar w:fldCharType="begin"/>
        </w:r>
        <w:r>
          <w:rPr>
            <w:noProof/>
            <w:webHidden/>
          </w:rPr>
          <w:instrText xml:space="preserve"> PAGEREF _Toc204170977 \h </w:instrText>
        </w:r>
        <w:r>
          <w:rPr>
            <w:noProof/>
            <w:webHidden/>
          </w:rPr>
        </w:r>
        <w:r>
          <w:rPr>
            <w:noProof/>
            <w:webHidden/>
          </w:rPr>
          <w:fldChar w:fldCharType="separate"/>
        </w:r>
        <w:r>
          <w:rPr>
            <w:noProof/>
            <w:webHidden/>
          </w:rPr>
          <w:t>4</w:t>
        </w:r>
        <w:r>
          <w:rPr>
            <w:noProof/>
            <w:webHidden/>
          </w:rPr>
          <w:fldChar w:fldCharType="end"/>
        </w:r>
      </w:hyperlink>
    </w:p>
    <w:p w14:paraId="4A7C42FE" w14:textId="71FB496D"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78" w:history="1">
        <w:r w:rsidRPr="00DF2748">
          <w:rPr>
            <w:rStyle w:val="Hyperlink"/>
            <w:noProof/>
          </w:rPr>
          <w:t>Supplying ORR</w:t>
        </w:r>
        <w:r>
          <w:rPr>
            <w:noProof/>
            <w:webHidden/>
          </w:rPr>
          <w:tab/>
        </w:r>
        <w:r>
          <w:rPr>
            <w:noProof/>
            <w:webHidden/>
          </w:rPr>
          <w:fldChar w:fldCharType="begin"/>
        </w:r>
        <w:r>
          <w:rPr>
            <w:noProof/>
            <w:webHidden/>
          </w:rPr>
          <w:instrText xml:space="preserve"> PAGEREF _Toc204170978 \h </w:instrText>
        </w:r>
        <w:r>
          <w:rPr>
            <w:noProof/>
            <w:webHidden/>
          </w:rPr>
        </w:r>
        <w:r>
          <w:rPr>
            <w:noProof/>
            <w:webHidden/>
          </w:rPr>
          <w:fldChar w:fldCharType="separate"/>
        </w:r>
        <w:r>
          <w:rPr>
            <w:noProof/>
            <w:webHidden/>
          </w:rPr>
          <w:t>4</w:t>
        </w:r>
        <w:r>
          <w:rPr>
            <w:noProof/>
            <w:webHidden/>
          </w:rPr>
          <w:fldChar w:fldCharType="end"/>
        </w:r>
      </w:hyperlink>
    </w:p>
    <w:p w14:paraId="1C22F413" w14:textId="469D7F15" w:rsidR="002449A5" w:rsidRDefault="002449A5">
      <w:pPr>
        <w:pStyle w:val="TOC1"/>
        <w:rPr>
          <w:rFonts w:asciiTheme="minorHAnsi" w:eastAsiaTheme="minorEastAsia" w:hAnsiTheme="minorHAnsi"/>
          <w:b w:val="0"/>
          <w:bCs w:val="0"/>
          <w:color w:val="auto"/>
          <w:kern w:val="2"/>
          <w:szCs w:val="24"/>
          <w:lang w:eastAsia="en-GB"/>
          <w14:ligatures w14:val="standardContextual"/>
        </w:rPr>
      </w:pPr>
      <w:hyperlink w:anchor="_Toc204170979" w:history="1">
        <w:r w:rsidRPr="00DF2748">
          <w:rPr>
            <w:rStyle w:val="Hyperlink"/>
          </w:rPr>
          <w:t>Small and Medium Enterprises</w:t>
        </w:r>
        <w:r>
          <w:rPr>
            <w:webHidden/>
          </w:rPr>
          <w:tab/>
        </w:r>
        <w:r>
          <w:rPr>
            <w:webHidden/>
          </w:rPr>
          <w:fldChar w:fldCharType="begin"/>
        </w:r>
        <w:r>
          <w:rPr>
            <w:webHidden/>
          </w:rPr>
          <w:instrText xml:space="preserve"> PAGEREF _Toc204170979 \h </w:instrText>
        </w:r>
        <w:r>
          <w:rPr>
            <w:webHidden/>
          </w:rPr>
        </w:r>
        <w:r>
          <w:rPr>
            <w:webHidden/>
          </w:rPr>
          <w:fldChar w:fldCharType="separate"/>
        </w:r>
        <w:r>
          <w:rPr>
            <w:webHidden/>
          </w:rPr>
          <w:t>6</w:t>
        </w:r>
        <w:r>
          <w:rPr>
            <w:webHidden/>
          </w:rPr>
          <w:fldChar w:fldCharType="end"/>
        </w:r>
      </w:hyperlink>
    </w:p>
    <w:p w14:paraId="03FA42AA" w14:textId="4AA136D7" w:rsidR="002449A5" w:rsidRDefault="002449A5">
      <w:pPr>
        <w:pStyle w:val="TOC1"/>
        <w:rPr>
          <w:rFonts w:asciiTheme="minorHAnsi" w:eastAsiaTheme="minorEastAsia" w:hAnsiTheme="minorHAnsi"/>
          <w:b w:val="0"/>
          <w:bCs w:val="0"/>
          <w:color w:val="auto"/>
          <w:kern w:val="2"/>
          <w:szCs w:val="24"/>
          <w:lang w:eastAsia="en-GB"/>
          <w14:ligatures w14:val="standardContextual"/>
        </w:rPr>
      </w:pPr>
      <w:hyperlink w:anchor="_Toc204170980" w:history="1">
        <w:r w:rsidRPr="00DF2748">
          <w:rPr>
            <w:rStyle w:val="Hyperlink"/>
          </w:rPr>
          <w:t>2.</w:t>
        </w:r>
        <w:r>
          <w:rPr>
            <w:rFonts w:asciiTheme="minorHAnsi" w:eastAsiaTheme="minorEastAsia" w:hAnsiTheme="minorHAnsi"/>
            <w:b w:val="0"/>
            <w:bCs w:val="0"/>
            <w:color w:val="auto"/>
            <w:kern w:val="2"/>
            <w:szCs w:val="24"/>
            <w:lang w:eastAsia="en-GB"/>
            <w14:ligatures w14:val="standardContextual"/>
          </w:rPr>
          <w:tab/>
        </w:r>
        <w:r w:rsidRPr="00DF2748">
          <w:rPr>
            <w:rStyle w:val="Hyperlink"/>
          </w:rPr>
          <w:t>Statement of Requirement</w:t>
        </w:r>
        <w:r>
          <w:rPr>
            <w:webHidden/>
          </w:rPr>
          <w:tab/>
        </w:r>
        <w:r>
          <w:rPr>
            <w:webHidden/>
          </w:rPr>
          <w:fldChar w:fldCharType="begin"/>
        </w:r>
        <w:r>
          <w:rPr>
            <w:webHidden/>
          </w:rPr>
          <w:instrText xml:space="preserve"> PAGEREF _Toc204170980 \h </w:instrText>
        </w:r>
        <w:r>
          <w:rPr>
            <w:webHidden/>
          </w:rPr>
        </w:r>
        <w:r>
          <w:rPr>
            <w:webHidden/>
          </w:rPr>
          <w:fldChar w:fldCharType="separate"/>
        </w:r>
        <w:r>
          <w:rPr>
            <w:webHidden/>
          </w:rPr>
          <w:t>7</w:t>
        </w:r>
        <w:r>
          <w:rPr>
            <w:webHidden/>
          </w:rPr>
          <w:fldChar w:fldCharType="end"/>
        </w:r>
      </w:hyperlink>
    </w:p>
    <w:p w14:paraId="32DC2B5B" w14:textId="148471B3"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81" w:history="1">
        <w:r w:rsidRPr="00DF2748">
          <w:rPr>
            <w:rStyle w:val="Hyperlink"/>
            <w:noProof/>
          </w:rPr>
          <w:t>2.1 Background of the project</w:t>
        </w:r>
        <w:r>
          <w:rPr>
            <w:noProof/>
            <w:webHidden/>
          </w:rPr>
          <w:tab/>
        </w:r>
        <w:r>
          <w:rPr>
            <w:noProof/>
            <w:webHidden/>
          </w:rPr>
          <w:fldChar w:fldCharType="begin"/>
        </w:r>
        <w:r>
          <w:rPr>
            <w:noProof/>
            <w:webHidden/>
          </w:rPr>
          <w:instrText xml:space="preserve"> PAGEREF _Toc204170981 \h </w:instrText>
        </w:r>
        <w:r>
          <w:rPr>
            <w:noProof/>
            <w:webHidden/>
          </w:rPr>
        </w:r>
        <w:r>
          <w:rPr>
            <w:noProof/>
            <w:webHidden/>
          </w:rPr>
          <w:fldChar w:fldCharType="separate"/>
        </w:r>
        <w:r>
          <w:rPr>
            <w:noProof/>
            <w:webHidden/>
          </w:rPr>
          <w:t>7</w:t>
        </w:r>
        <w:r>
          <w:rPr>
            <w:noProof/>
            <w:webHidden/>
          </w:rPr>
          <w:fldChar w:fldCharType="end"/>
        </w:r>
      </w:hyperlink>
    </w:p>
    <w:p w14:paraId="4378135B" w14:textId="08A42F38"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82" w:history="1">
        <w:r w:rsidRPr="00DF2748">
          <w:rPr>
            <w:rStyle w:val="Hyperlink"/>
            <w:noProof/>
          </w:rPr>
          <w:t>2.2 Project Objectives and Scope</w:t>
        </w:r>
        <w:r>
          <w:rPr>
            <w:noProof/>
            <w:webHidden/>
          </w:rPr>
          <w:tab/>
        </w:r>
        <w:r>
          <w:rPr>
            <w:noProof/>
            <w:webHidden/>
          </w:rPr>
          <w:fldChar w:fldCharType="begin"/>
        </w:r>
        <w:r>
          <w:rPr>
            <w:noProof/>
            <w:webHidden/>
          </w:rPr>
          <w:instrText xml:space="preserve"> PAGEREF _Toc204170982 \h </w:instrText>
        </w:r>
        <w:r>
          <w:rPr>
            <w:noProof/>
            <w:webHidden/>
          </w:rPr>
        </w:r>
        <w:r>
          <w:rPr>
            <w:noProof/>
            <w:webHidden/>
          </w:rPr>
          <w:fldChar w:fldCharType="separate"/>
        </w:r>
        <w:r>
          <w:rPr>
            <w:noProof/>
            <w:webHidden/>
          </w:rPr>
          <w:t>8</w:t>
        </w:r>
        <w:r>
          <w:rPr>
            <w:noProof/>
            <w:webHidden/>
          </w:rPr>
          <w:fldChar w:fldCharType="end"/>
        </w:r>
      </w:hyperlink>
    </w:p>
    <w:p w14:paraId="708B66F8" w14:textId="2611D27C"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83" w:history="1">
        <w:r w:rsidRPr="00DF2748">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_Toc204170983 \h </w:instrText>
        </w:r>
        <w:r>
          <w:rPr>
            <w:noProof/>
            <w:webHidden/>
          </w:rPr>
        </w:r>
        <w:r>
          <w:rPr>
            <w:noProof/>
            <w:webHidden/>
          </w:rPr>
          <w:fldChar w:fldCharType="separate"/>
        </w:r>
        <w:r>
          <w:rPr>
            <w:noProof/>
            <w:webHidden/>
          </w:rPr>
          <w:t>9</w:t>
        </w:r>
        <w:r>
          <w:rPr>
            <w:noProof/>
            <w:webHidden/>
          </w:rPr>
          <w:fldChar w:fldCharType="end"/>
        </w:r>
      </w:hyperlink>
    </w:p>
    <w:p w14:paraId="2EFA1AED" w14:textId="58F5D9A5"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84" w:history="1">
        <w:r w:rsidRPr="00DF2748">
          <w:rPr>
            <w:rStyle w:val="Hyperlink"/>
            <w:noProof/>
          </w:rPr>
          <w:t>2.4 Project Timescales</w:t>
        </w:r>
        <w:r>
          <w:rPr>
            <w:noProof/>
            <w:webHidden/>
          </w:rPr>
          <w:tab/>
        </w:r>
        <w:r>
          <w:rPr>
            <w:noProof/>
            <w:webHidden/>
          </w:rPr>
          <w:fldChar w:fldCharType="begin"/>
        </w:r>
        <w:r>
          <w:rPr>
            <w:noProof/>
            <w:webHidden/>
          </w:rPr>
          <w:instrText xml:space="preserve"> PAGEREF _Toc204170984 \h </w:instrText>
        </w:r>
        <w:r>
          <w:rPr>
            <w:noProof/>
            <w:webHidden/>
          </w:rPr>
        </w:r>
        <w:r>
          <w:rPr>
            <w:noProof/>
            <w:webHidden/>
          </w:rPr>
          <w:fldChar w:fldCharType="separate"/>
        </w:r>
        <w:r>
          <w:rPr>
            <w:noProof/>
            <w:webHidden/>
          </w:rPr>
          <w:t>10</w:t>
        </w:r>
        <w:r>
          <w:rPr>
            <w:noProof/>
            <w:webHidden/>
          </w:rPr>
          <w:fldChar w:fldCharType="end"/>
        </w:r>
      </w:hyperlink>
    </w:p>
    <w:p w14:paraId="4BE7C00D" w14:textId="50074DFD"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85" w:history="1">
        <w:r w:rsidRPr="00DF2748">
          <w:rPr>
            <w:rStyle w:val="Hyperlink"/>
            <w:noProof/>
          </w:rPr>
          <w:t>2.5 Budget and Payment Schedule</w:t>
        </w:r>
        <w:r>
          <w:rPr>
            <w:noProof/>
            <w:webHidden/>
          </w:rPr>
          <w:tab/>
        </w:r>
        <w:r>
          <w:rPr>
            <w:noProof/>
            <w:webHidden/>
          </w:rPr>
          <w:fldChar w:fldCharType="begin"/>
        </w:r>
        <w:r>
          <w:rPr>
            <w:noProof/>
            <w:webHidden/>
          </w:rPr>
          <w:instrText xml:space="preserve"> PAGEREF _Toc204170985 \h </w:instrText>
        </w:r>
        <w:r>
          <w:rPr>
            <w:noProof/>
            <w:webHidden/>
          </w:rPr>
        </w:r>
        <w:r>
          <w:rPr>
            <w:noProof/>
            <w:webHidden/>
          </w:rPr>
          <w:fldChar w:fldCharType="separate"/>
        </w:r>
        <w:r>
          <w:rPr>
            <w:noProof/>
            <w:webHidden/>
          </w:rPr>
          <w:t>10</w:t>
        </w:r>
        <w:r>
          <w:rPr>
            <w:noProof/>
            <w:webHidden/>
          </w:rPr>
          <w:fldChar w:fldCharType="end"/>
        </w:r>
      </w:hyperlink>
    </w:p>
    <w:p w14:paraId="14BF9748" w14:textId="30FE907C"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86" w:history="1">
        <w:r w:rsidRPr="00DF2748">
          <w:rPr>
            <w:rStyle w:val="Hyperlink"/>
            <w:noProof/>
          </w:rPr>
          <w:t>2.6 Further project related information for bidders</w:t>
        </w:r>
        <w:r>
          <w:rPr>
            <w:noProof/>
            <w:webHidden/>
          </w:rPr>
          <w:tab/>
        </w:r>
        <w:r>
          <w:rPr>
            <w:noProof/>
            <w:webHidden/>
          </w:rPr>
          <w:fldChar w:fldCharType="begin"/>
        </w:r>
        <w:r>
          <w:rPr>
            <w:noProof/>
            <w:webHidden/>
          </w:rPr>
          <w:instrText xml:space="preserve"> PAGEREF _Toc204170986 \h </w:instrText>
        </w:r>
        <w:r>
          <w:rPr>
            <w:noProof/>
            <w:webHidden/>
          </w:rPr>
        </w:r>
        <w:r>
          <w:rPr>
            <w:noProof/>
            <w:webHidden/>
          </w:rPr>
          <w:fldChar w:fldCharType="separate"/>
        </w:r>
        <w:r>
          <w:rPr>
            <w:noProof/>
            <w:webHidden/>
          </w:rPr>
          <w:t>11</w:t>
        </w:r>
        <w:r>
          <w:rPr>
            <w:noProof/>
            <w:webHidden/>
          </w:rPr>
          <w:fldChar w:fldCharType="end"/>
        </w:r>
      </w:hyperlink>
    </w:p>
    <w:p w14:paraId="151B4F7E" w14:textId="772E46DE" w:rsidR="002449A5" w:rsidRDefault="002449A5">
      <w:pPr>
        <w:pStyle w:val="TOC1"/>
        <w:rPr>
          <w:rFonts w:asciiTheme="minorHAnsi" w:eastAsiaTheme="minorEastAsia" w:hAnsiTheme="minorHAnsi"/>
          <w:b w:val="0"/>
          <w:bCs w:val="0"/>
          <w:color w:val="auto"/>
          <w:kern w:val="2"/>
          <w:szCs w:val="24"/>
          <w:lang w:eastAsia="en-GB"/>
          <w14:ligatures w14:val="standardContextual"/>
        </w:rPr>
      </w:pPr>
      <w:hyperlink w:anchor="_Toc204170987" w:history="1">
        <w:r w:rsidRPr="00DF2748">
          <w:rPr>
            <w:rStyle w:val="Hyperlink"/>
          </w:rPr>
          <w:t>3.</w:t>
        </w:r>
        <w:r>
          <w:rPr>
            <w:rFonts w:asciiTheme="minorHAnsi" w:eastAsiaTheme="minorEastAsia" w:hAnsiTheme="minorHAnsi"/>
            <w:b w:val="0"/>
            <w:bCs w:val="0"/>
            <w:color w:val="auto"/>
            <w:kern w:val="2"/>
            <w:szCs w:val="24"/>
            <w:lang w:eastAsia="en-GB"/>
            <w14:ligatures w14:val="standardContextual"/>
          </w:rPr>
          <w:tab/>
        </w:r>
        <w:r w:rsidRPr="00DF2748">
          <w:rPr>
            <w:rStyle w:val="Hyperlink"/>
          </w:rPr>
          <w:t>Tender Response and Evaluation Criteria</w:t>
        </w:r>
        <w:r>
          <w:rPr>
            <w:webHidden/>
          </w:rPr>
          <w:tab/>
        </w:r>
        <w:r>
          <w:rPr>
            <w:webHidden/>
          </w:rPr>
          <w:fldChar w:fldCharType="begin"/>
        </w:r>
        <w:r>
          <w:rPr>
            <w:webHidden/>
          </w:rPr>
          <w:instrText xml:space="preserve"> PAGEREF _Toc204170987 \h </w:instrText>
        </w:r>
        <w:r>
          <w:rPr>
            <w:webHidden/>
          </w:rPr>
        </w:r>
        <w:r>
          <w:rPr>
            <w:webHidden/>
          </w:rPr>
          <w:fldChar w:fldCharType="separate"/>
        </w:r>
        <w:r>
          <w:rPr>
            <w:webHidden/>
          </w:rPr>
          <w:t>13</w:t>
        </w:r>
        <w:r>
          <w:rPr>
            <w:webHidden/>
          </w:rPr>
          <w:fldChar w:fldCharType="end"/>
        </w:r>
      </w:hyperlink>
    </w:p>
    <w:p w14:paraId="53C5604D" w14:textId="4F8A4D5A"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88" w:history="1">
        <w:r w:rsidRPr="00DF2748">
          <w:rPr>
            <w:rStyle w:val="Hyperlink"/>
            <w:noProof/>
          </w:rPr>
          <w:t>3.1 The Tender Response</w:t>
        </w:r>
        <w:r>
          <w:rPr>
            <w:noProof/>
            <w:webHidden/>
          </w:rPr>
          <w:tab/>
        </w:r>
        <w:r>
          <w:rPr>
            <w:noProof/>
            <w:webHidden/>
          </w:rPr>
          <w:fldChar w:fldCharType="begin"/>
        </w:r>
        <w:r>
          <w:rPr>
            <w:noProof/>
            <w:webHidden/>
          </w:rPr>
          <w:instrText xml:space="preserve"> PAGEREF _Toc204170988 \h </w:instrText>
        </w:r>
        <w:r>
          <w:rPr>
            <w:noProof/>
            <w:webHidden/>
          </w:rPr>
        </w:r>
        <w:r>
          <w:rPr>
            <w:noProof/>
            <w:webHidden/>
          </w:rPr>
          <w:fldChar w:fldCharType="separate"/>
        </w:r>
        <w:r>
          <w:rPr>
            <w:noProof/>
            <w:webHidden/>
          </w:rPr>
          <w:t>13</w:t>
        </w:r>
        <w:r>
          <w:rPr>
            <w:noProof/>
            <w:webHidden/>
          </w:rPr>
          <w:fldChar w:fldCharType="end"/>
        </w:r>
      </w:hyperlink>
    </w:p>
    <w:p w14:paraId="560C4768" w14:textId="616F83B4"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89" w:history="1">
        <w:r w:rsidRPr="00DF2748">
          <w:rPr>
            <w:rStyle w:val="Hyperlink"/>
            <w:noProof/>
          </w:rPr>
          <w:t>3.2 Evaluation Criteria</w:t>
        </w:r>
        <w:r>
          <w:rPr>
            <w:noProof/>
            <w:webHidden/>
          </w:rPr>
          <w:tab/>
        </w:r>
        <w:r>
          <w:rPr>
            <w:noProof/>
            <w:webHidden/>
          </w:rPr>
          <w:fldChar w:fldCharType="begin"/>
        </w:r>
        <w:r>
          <w:rPr>
            <w:noProof/>
            <w:webHidden/>
          </w:rPr>
          <w:instrText xml:space="preserve"> PAGEREF _Toc204170989 \h </w:instrText>
        </w:r>
        <w:r>
          <w:rPr>
            <w:noProof/>
            <w:webHidden/>
          </w:rPr>
        </w:r>
        <w:r>
          <w:rPr>
            <w:noProof/>
            <w:webHidden/>
          </w:rPr>
          <w:fldChar w:fldCharType="separate"/>
        </w:r>
        <w:r>
          <w:rPr>
            <w:noProof/>
            <w:webHidden/>
          </w:rPr>
          <w:t>14</w:t>
        </w:r>
        <w:r>
          <w:rPr>
            <w:noProof/>
            <w:webHidden/>
          </w:rPr>
          <w:fldChar w:fldCharType="end"/>
        </w:r>
      </w:hyperlink>
    </w:p>
    <w:p w14:paraId="301C4E07" w14:textId="74018125" w:rsidR="002449A5" w:rsidRDefault="002449A5">
      <w:pPr>
        <w:pStyle w:val="TOC1"/>
        <w:rPr>
          <w:rFonts w:asciiTheme="minorHAnsi" w:eastAsiaTheme="minorEastAsia" w:hAnsiTheme="minorHAnsi"/>
          <w:b w:val="0"/>
          <w:bCs w:val="0"/>
          <w:color w:val="auto"/>
          <w:kern w:val="2"/>
          <w:szCs w:val="24"/>
          <w:lang w:eastAsia="en-GB"/>
          <w14:ligatures w14:val="standardContextual"/>
        </w:rPr>
      </w:pPr>
      <w:hyperlink w:anchor="_Toc204170990" w:history="1">
        <w:r w:rsidRPr="00DF2748">
          <w:rPr>
            <w:rStyle w:val="Hyperlink"/>
          </w:rPr>
          <w:t>4.</w:t>
        </w:r>
        <w:r>
          <w:rPr>
            <w:rFonts w:asciiTheme="minorHAnsi" w:eastAsiaTheme="minorEastAsia" w:hAnsiTheme="minorHAnsi"/>
            <w:b w:val="0"/>
            <w:bCs w:val="0"/>
            <w:color w:val="auto"/>
            <w:kern w:val="2"/>
            <w:szCs w:val="24"/>
            <w:lang w:eastAsia="en-GB"/>
            <w14:ligatures w14:val="standardContextual"/>
          </w:rPr>
          <w:tab/>
        </w:r>
        <w:r w:rsidRPr="00DF2748">
          <w:rPr>
            <w:rStyle w:val="Hyperlink"/>
          </w:rPr>
          <w:t>Procurement Procedures</w:t>
        </w:r>
        <w:r>
          <w:rPr>
            <w:webHidden/>
          </w:rPr>
          <w:tab/>
        </w:r>
        <w:r>
          <w:rPr>
            <w:webHidden/>
          </w:rPr>
          <w:fldChar w:fldCharType="begin"/>
        </w:r>
        <w:r>
          <w:rPr>
            <w:webHidden/>
          </w:rPr>
          <w:instrText xml:space="preserve"> PAGEREF _Toc204170990 \h </w:instrText>
        </w:r>
        <w:r>
          <w:rPr>
            <w:webHidden/>
          </w:rPr>
        </w:r>
        <w:r>
          <w:rPr>
            <w:webHidden/>
          </w:rPr>
          <w:fldChar w:fldCharType="separate"/>
        </w:r>
        <w:r>
          <w:rPr>
            <w:webHidden/>
          </w:rPr>
          <w:t>19</w:t>
        </w:r>
        <w:r>
          <w:rPr>
            <w:webHidden/>
          </w:rPr>
          <w:fldChar w:fldCharType="end"/>
        </w:r>
      </w:hyperlink>
    </w:p>
    <w:p w14:paraId="48EA35F0" w14:textId="204E8685"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91" w:history="1">
        <w:r w:rsidRPr="00DF2748">
          <w:rPr>
            <w:rStyle w:val="Hyperlink"/>
            <w:noProof/>
          </w:rPr>
          <w:t>Tendering Timetable</w:t>
        </w:r>
        <w:r>
          <w:rPr>
            <w:noProof/>
            <w:webHidden/>
          </w:rPr>
          <w:tab/>
        </w:r>
        <w:r>
          <w:rPr>
            <w:noProof/>
            <w:webHidden/>
          </w:rPr>
          <w:fldChar w:fldCharType="begin"/>
        </w:r>
        <w:r>
          <w:rPr>
            <w:noProof/>
            <w:webHidden/>
          </w:rPr>
          <w:instrText xml:space="preserve"> PAGEREF _Toc204170991 \h </w:instrText>
        </w:r>
        <w:r>
          <w:rPr>
            <w:noProof/>
            <w:webHidden/>
          </w:rPr>
        </w:r>
        <w:r>
          <w:rPr>
            <w:noProof/>
            <w:webHidden/>
          </w:rPr>
          <w:fldChar w:fldCharType="separate"/>
        </w:r>
        <w:r>
          <w:rPr>
            <w:noProof/>
            <w:webHidden/>
          </w:rPr>
          <w:t>19</w:t>
        </w:r>
        <w:r>
          <w:rPr>
            <w:noProof/>
            <w:webHidden/>
          </w:rPr>
          <w:fldChar w:fldCharType="end"/>
        </w:r>
      </w:hyperlink>
    </w:p>
    <w:p w14:paraId="5C241865" w14:textId="1E197513" w:rsidR="002449A5" w:rsidRDefault="002449A5">
      <w:pPr>
        <w:pStyle w:val="TOC2"/>
        <w:tabs>
          <w:tab w:val="right" w:pos="9628"/>
        </w:tabs>
        <w:rPr>
          <w:rFonts w:asciiTheme="minorHAnsi" w:eastAsiaTheme="minorEastAsia" w:hAnsiTheme="minorHAnsi"/>
          <w:noProof/>
          <w:kern w:val="2"/>
          <w:szCs w:val="24"/>
          <w:lang w:eastAsia="en-GB"/>
          <w14:ligatures w14:val="standardContextual"/>
        </w:rPr>
      </w:pPr>
      <w:hyperlink w:anchor="_Toc204170992" w:history="1">
        <w:r w:rsidRPr="00DF2748">
          <w:rPr>
            <w:rStyle w:val="Hyperlink"/>
            <w:noProof/>
          </w:rPr>
          <w:t>Tendering Instructions and Guidance</w:t>
        </w:r>
        <w:r>
          <w:rPr>
            <w:noProof/>
            <w:webHidden/>
          </w:rPr>
          <w:tab/>
        </w:r>
        <w:r>
          <w:rPr>
            <w:noProof/>
            <w:webHidden/>
          </w:rPr>
          <w:fldChar w:fldCharType="begin"/>
        </w:r>
        <w:r>
          <w:rPr>
            <w:noProof/>
            <w:webHidden/>
          </w:rPr>
          <w:instrText xml:space="preserve"> PAGEREF _Toc204170992 \h </w:instrText>
        </w:r>
        <w:r>
          <w:rPr>
            <w:noProof/>
            <w:webHidden/>
          </w:rPr>
        </w:r>
        <w:r>
          <w:rPr>
            <w:noProof/>
            <w:webHidden/>
          </w:rPr>
          <w:fldChar w:fldCharType="separate"/>
        </w:r>
        <w:r>
          <w:rPr>
            <w:noProof/>
            <w:webHidden/>
          </w:rPr>
          <w:t>19</w:t>
        </w:r>
        <w:r>
          <w:rPr>
            <w:noProof/>
            <w:webHidden/>
          </w:rPr>
          <w:fldChar w:fldCharType="end"/>
        </w:r>
      </w:hyperlink>
    </w:p>
    <w:p w14:paraId="0DC04E62" w14:textId="6FC8BD38" w:rsidR="002449A5" w:rsidRDefault="00FC6860" w:rsidP="002449A5">
      <w:pPr>
        <w:pStyle w:val="Heading2NoNumb"/>
      </w:pPr>
      <w:r>
        <w:lastRenderedPageBreak/>
        <w:fldChar w:fldCharType="end"/>
      </w:r>
      <w:bookmarkStart w:id="1" w:name="_Toc203571232"/>
      <w:bookmarkStart w:id="2" w:name="_Toc204170975"/>
      <w:r w:rsidR="002449A5">
        <w:t>Purpose of the document</w:t>
      </w:r>
      <w:bookmarkEnd w:id="1"/>
      <w:bookmarkEnd w:id="2"/>
    </w:p>
    <w:p w14:paraId="258BC7D7" w14:textId="350F2C34" w:rsidR="002449A5" w:rsidRDefault="002449A5" w:rsidP="002449A5">
      <w:r>
        <w:t xml:space="preserve">The purpose of this document is to invite proposals for </w:t>
      </w:r>
      <w:r w:rsidR="009B1311">
        <w:rPr>
          <w:b/>
          <w:bCs/>
          <w:color w:val="B1173B"/>
        </w:rPr>
        <w:t>i</w:t>
      </w:r>
      <w:r w:rsidR="009B1311" w:rsidRPr="0064460A">
        <w:rPr>
          <w:b/>
          <w:bCs/>
          <w:color w:val="B1173B"/>
        </w:rPr>
        <w:t xml:space="preserve">ndependent skilled analysis, </w:t>
      </w:r>
      <w:r w:rsidR="008309C9" w:rsidRPr="008309C9">
        <w:rPr>
          <w:b/>
          <w:bCs/>
          <w:color w:val="B1173B"/>
        </w:rPr>
        <w:t>facilitation and project design to improve regulatory effectiveness with Network Rail on complex issues</w:t>
      </w:r>
      <w:r w:rsidR="00B259C1">
        <w:rPr>
          <w:b/>
          <w:bCs/>
          <w:color w:val="B1173B"/>
        </w:rPr>
        <w:t xml:space="preserve"> </w:t>
      </w:r>
      <w:r>
        <w:t>for the Office of Rail and Road (ORR).</w:t>
      </w:r>
    </w:p>
    <w:p w14:paraId="7E7E4C75" w14:textId="77777777" w:rsidR="002449A5" w:rsidRDefault="002449A5" w:rsidP="002449A5">
      <w:r>
        <w:t>This document contains the following sections:</w:t>
      </w:r>
    </w:p>
    <w:p w14:paraId="4E481E09" w14:textId="77777777" w:rsidR="002449A5" w:rsidRDefault="002449A5" w:rsidP="002449A5">
      <w:pPr>
        <w:pStyle w:val="NormalBulletnumber"/>
        <w:numPr>
          <w:ilvl w:val="3"/>
          <w:numId w:val="28"/>
        </w:numPr>
        <w:tabs>
          <w:tab w:val="clear" w:pos="2268"/>
        </w:tabs>
        <w:ind w:left="709"/>
      </w:pPr>
      <w:r>
        <w:t>Introduction to the Office of Rail and Road</w:t>
      </w:r>
    </w:p>
    <w:p w14:paraId="3FB53116" w14:textId="77777777" w:rsidR="002449A5" w:rsidRDefault="002449A5" w:rsidP="002449A5">
      <w:pPr>
        <w:pStyle w:val="NormalBulletnumber"/>
        <w:tabs>
          <w:tab w:val="clear" w:pos="2268"/>
        </w:tabs>
        <w:ind w:left="709"/>
      </w:pPr>
      <w:r>
        <w:t>Statement of Requirement</w:t>
      </w:r>
    </w:p>
    <w:p w14:paraId="2528EF76" w14:textId="77777777" w:rsidR="002449A5" w:rsidRDefault="002449A5" w:rsidP="002449A5">
      <w:pPr>
        <w:pStyle w:val="NormalBulletnumber"/>
        <w:tabs>
          <w:tab w:val="clear" w:pos="2268"/>
        </w:tabs>
        <w:ind w:left="709"/>
      </w:pPr>
      <w:r>
        <w:t>Tender Proposal &amp; Evaluation Criteria</w:t>
      </w:r>
    </w:p>
    <w:p w14:paraId="2E774CDF" w14:textId="77777777" w:rsidR="002449A5" w:rsidRPr="00451C67" w:rsidRDefault="002449A5" w:rsidP="002449A5">
      <w:pPr>
        <w:pStyle w:val="NormalBulletnumber"/>
        <w:tabs>
          <w:tab w:val="clear" w:pos="2268"/>
        </w:tabs>
        <w:ind w:left="709"/>
      </w:pPr>
      <w:r>
        <w:t>Procurement Procedures</w:t>
      </w:r>
    </w:p>
    <w:p w14:paraId="31CCDA09" w14:textId="77777777" w:rsidR="002449A5" w:rsidRDefault="002449A5" w:rsidP="002449A5">
      <w:pPr>
        <w:pStyle w:val="Heading2"/>
      </w:pPr>
      <w:bookmarkStart w:id="3" w:name="_Toc203571233"/>
      <w:bookmarkStart w:id="4" w:name="_Toc204170976"/>
      <w:r>
        <w:lastRenderedPageBreak/>
        <w:t>Introduction to the Office of Rail and Road</w:t>
      </w:r>
      <w:bookmarkEnd w:id="3"/>
      <w:bookmarkEnd w:id="4"/>
    </w:p>
    <w:p w14:paraId="1AD548A3" w14:textId="77777777" w:rsidR="002449A5" w:rsidRDefault="002449A5" w:rsidP="002449A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035065FE" w14:textId="77777777" w:rsidR="002449A5" w:rsidRDefault="002449A5" w:rsidP="002449A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3E656D68" w14:textId="77777777" w:rsidR="002449A5" w:rsidRDefault="002449A5" w:rsidP="002449A5">
      <w:pPr>
        <w:pStyle w:val="Heading3"/>
      </w:pPr>
      <w:bookmarkStart w:id="5" w:name="_Toc203571234"/>
      <w:bookmarkStart w:id="6" w:name="_Toc204170977"/>
      <w:r>
        <w:t>Our strategic objectives</w:t>
      </w:r>
      <w:bookmarkEnd w:id="5"/>
      <w:bookmarkEnd w:id="6"/>
    </w:p>
    <w:p w14:paraId="54230819" w14:textId="77777777" w:rsidR="002449A5" w:rsidRDefault="002449A5" w:rsidP="002449A5">
      <w:pPr>
        <w:pStyle w:val="Heading4"/>
      </w:pPr>
      <w:r>
        <w:t>1. A safer railway:</w:t>
      </w:r>
    </w:p>
    <w:p w14:paraId="5EFA8557" w14:textId="77777777" w:rsidR="002449A5" w:rsidRDefault="002449A5" w:rsidP="002449A5">
      <w:r>
        <w:t>Enforce the law and ensure that the industry delivers continuous improvement in the health and safety of passengers, the workforce and public, by achieving excellence in health and safety culture, management and risk control.</w:t>
      </w:r>
    </w:p>
    <w:p w14:paraId="4BDA47C7" w14:textId="77777777" w:rsidR="002449A5" w:rsidRDefault="002449A5" w:rsidP="002449A5">
      <w:pPr>
        <w:pStyle w:val="Heading4"/>
      </w:pPr>
      <w:r>
        <w:t>2. Better rail customer service:</w:t>
      </w:r>
    </w:p>
    <w:p w14:paraId="100069B9" w14:textId="77777777" w:rsidR="002449A5" w:rsidRDefault="002449A5" w:rsidP="002449A5">
      <w:r>
        <w:t>Improve the rail passenger experience in the consumer areas for which we have regulatory responsibility and take prompt and effective action to improve the service that passengers receive where it is required.</w:t>
      </w:r>
    </w:p>
    <w:p w14:paraId="7AE49C2B" w14:textId="77777777" w:rsidR="002449A5" w:rsidRDefault="002449A5" w:rsidP="002449A5">
      <w:pPr>
        <w:pStyle w:val="Heading4"/>
      </w:pPr>
      <w:r>
        <w:t>3. Value for money from the railway:</w:t>
      </w:r>
    </w:p>
    <w:p w14:paraId="2F482624" w14:textId="77777777" w:rsidR="002449A5" w:rsidRDefault="002449A5" w:rsidP="002449A5">
      <w:r>
        <w:t xml:space="preserve">Support the delivery of an efficient, high-performing rail service that provides value for money for passengers, freight customers, governments, and taxpayers. </w:t>
      </w:r>
    </w:p>
    <w:p w14:paraId="7DEC0B1E" w14:textId="77777777" w:rsidR="002449A5" w:rsidRDefault="002449A5" w:rsidP="002449A5">
      <w:pPr>
        <w:pStyle w:val="Heading4"/>
      </w:pPr>
      <w:r>
        <w:t>4. Better Highways:</w:t>
      </w:r>
    </w:p>
    <w:p w14:paraId="63736825" w14:textId="77777777" w:rsidR="002449A5" w:rsidRDefault="002449A5" w:rsidP="002449A5">
      <w:r>
        <w:t>National Highways operates the strategic road network, managing motorways and major roads in England. Our role is to monitor and hold it to account for its performance and delivery, so that its customers enjoy predictable journeys on England’s roads.</w:t>
      </w:r>
    </w:p>
    <w:p w14:paraId="5D6F4328" w14:textId="77777777" w:rsidR="002449A5" w:rsidRDefault="002449A5" w:rsidP="002449A5">
      <w:pPr>
        <w:pStyle w:val="Heading3"/>
      </w:pPr>
      <w:bookmarkStart w:id="7" w:name="_Toc203571235"/>
      <w:bookmarkStart w:id="8" w:name="_Toc204170978"/>
      <w:r>
        <w:t>Supplying ORR</w:t>
      </w:r>
      <w:bookmarkEnd w:id="7"/>
      <w:bookmarkEnd w:id="8"/>
    </w:p>
    <w:p w14:paraId="10704F11" w14:textId="77777777" w:rsidR="002449A5" w:rsidRDefault="002449A5" w:rsidP="002449A5">
      <w:r>
        <w:t>The ORR procurement unit is responsible for purchasing the goods and services necessary for ORR to achieve its role as the economic and health &amp; safety regulator of the rail industry.</w:t>
      </w:r>
    </w:p>
    <w:p w14:paraId="3F960A7B" w14:textId="77777777" w:rsidR="002449A5" w:rsidRDefault="002449A5" w:rsidP="002449A5">
      <w:r>
        <w:lastRenderedPageBreak/>
        <w:t>The ORR Procurement unit subscribes to the following values:</w:t>
      </w:r>
    </w:p>
    <w:p w14:paraId="7A1CD936" w14:textId="77777777" w:rsidR="002449A5" w:rsidRDefault="002449A5" w:rsidP="002449A5">
      <w:pPr>
        <w:pStyle w:val="NormalBulletround"/>
      </w:pPr>
      <w:r>
        <w:t xml:space="preserve">to provide a modern, efficient, transparent and responsible procurement </w:t>
      </w:r>
      <w:proofErr w:type="gramStart"/>
      <w:r>
        <w:t>service;</w:t>
      </w:r>
      <w:proofErr w:type="gramEnd"/>
      <w:r>
        <w:t xml:space="preserve"> </w:t>
      </w:r>
    </w:p>
    <w:p w14:paraId="3FC5E63A" w14:textId="77777777" w:rsidR="002449A5" w:rsidRDefault="002449A5" w:rsidP="002449A5">
      <w:pPr>
        <w:pStyle w:val="NormalBulletround"/>
      </w:pPr>
      <w:r>
        <w:t xml:space="preserve">to achieve value for money by balancing quality and </w:t>
      </w:r>
      <w:proofErr w:type="gramStart"/>
      <w:r>
        <w:t>cost;</w:t>
      </w:r>
      <w:proofErr w:type="gramEnd"/>
      <w:r>
        <w:t xml:space="preserve"> </w:t>
      </w:r>
    </w:p>
    <w:p w14:paraId="261E116B" w14:textId="77777777" w:rsidR="002449A5" w:rsidRDefault="002449A5" w:rsidP="002449A5">
      <w:pPr>
        <w:pStyle w:val="NormalBulletround"/>
      </w:pPr>
      <w:r>
        <w:t xml:space="preserve">to ensure contracts are managed effectively and outputs are </w:t>
      </w:r>
      <w:proofErr w:type="gramStart"/>
      <w:r>
        <w:t>delivered;</w:t>
      </w:r>
      <w:proofErr w:type="gramEnd"/>
      <w:r>
        <w:t xml:space="preserve"> </w:t>
      </w:r>
    </w:p>
    <w:p w14:paraId="6A8F013F" w14:textId="77777777" w:rsidR="002449A5" w:rsidRDefault="002449A5" w:rsidP="002449A5">
      <w:pPr>
        <w:pStyle w:val="NormalBulletround"/>
      </w:pPr>
      <w:r>
        <w:t xml:space="preserve">to ensure that processes have regard for equality and diversity; and </w:t>
      </w:r>
    </w:p>
    <w:p w14:paraId="0B2FC3C1" w14:textId="77777777" w:rsidR="002449A5" w:rsidRDefault="002449A5" w:rsidP="002449A5">
      <w:pPr>
        <w:pStyle w:val="NormalBulletround"/>
      </w:pPr>
      <w:r>
        <w:t xml:space="preserve">to ensure that procurement is undertaken </w:t>
      </w:r>
      <w:proofErr w:type="gramStart"/>
      <w:r>
        <w:t>with regard to</w:t>
      </w:r>
      <w:proofErr w:type="gramEnd"/>
      <w:r>
        <w:t xml:space="preserve"> Law and best practice.</w:t>
      </w:r>
    </w:p>
    <w:p w14:paraId="42756BE0" w14:textId="77777777" w:rsidR="002449A5" w:rsidRDefault="002449A5" w:rsidP="002449A5">
      <w:r>
        <w:t xml:space="preserve">For further information on ORR please visit our website: </w:t>
      </w:r>
      <w:hyperlink r:id="rId13" w:history="1">
        <w:r w:rsidRPr="005F74FA">
          <w:rPr>
            <w:rStyle w:val="Hyperlink"/>
          </w:rPr>
          <w:t>www.orr.gov.uk</w:t>
        </w:r>
      </w:hyperlink>
      <w:r>
        <w:t>.</w:t>
      </w:r>
    </w:p>
    <w:p w14:paraId="2DB84306" w14:textId="77777777" w:rsidR="002449A5" w:rsidRDefault="002449A5" w:rsidP="002449A5"/>
    <w:p w14:paraId="10EFFE12" w14:textId="77777777" w:rsidR="002449A5" w:rsidRDefault="002449A5" w:rsidP="002449A5">
      <w:pPr>
        <w:pStyle w:val="Heading2NoNumb"/>
      </w:pPr>
      <w:bookmarkStart w:id="9" w:name="_Toc203571236"/>
      <w:bookmarkStart w:id="10" w:name="_Toc204170979"/>
      <w:r>
        <w:lastRenderedPageBreak/>
        <w:t>Small and Medium Enterprises</w:t>
      </w:r>
      <w:bookmarkEnd w:id="9"/>
      <w:bookmarkEnd w:id="10"/>
    </w:p>
    <w:p w14:paraId="61F2B78D" w14:textId="77777777" w:rsidR="002449A5" w:rsidRDefault="002449A5" w:rsidP="002449A5">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7789336" w14:textId="77777777" w:rsidR="002449A5" w:rsidRDefault="002449A5" w:rsidP="002449A5">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2449A5" w:rsidRPr="00D6160E" w14:paraId="135B8BE5" w14:textId="77777777" w:rsidTr="00306F63">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27B4432E" w14:textId="77777777" w:rsidR="002449A5" w:rsidRPr="00D6160E" w:rsidRDefault="002449A5" w:rsidP="00306F63">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4981F6E7" w14:textId="77777777" w:rsidR="002449A5" w:rsidRPr="00D6160E" w:rsidRDefault="002449A5" w:rsidP="00306F63">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19E9E8CB" w14:textId="77777777" w:rsidR="002449A5" w:rsidRPr="00D6160E" w:rsidRDefault="002449A5" w:rsidP="00306F63">
            <w:pPr>
              <w:pStyle w:val="TblHeading"/>
            </w:pPr>
            <w:r w:rsidRPr="00D6160E">
              <w:t xml:space="preserve">Turnover </w:t>
            </w:r>
          </w:p>
        </w:tc>
        <w:tc>
          <w:tcPr>
            <w:tcW w:w="894" w:type="dxa"/>
            <w:shd w:val="solid" w:color="253268" w:themeColor="dark2" w:fill="253268" w:themeFill="dark2"/>
            <w:vAlign w:val="center"/>
          </w:tcPr>
          <w:p w14:paraId="3D94644D" w14:textId="77777777" w:rsidR="002449A5" w:rsidRPr="00D6160E" w:rsidRDefault="002449A5" w:rsidP="00306F63">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0D8AC6D" w14:textId="77777777" w:rsidR="002449A5" w:rsidRPr="00D6160E" w:rsidRDefault="002449A5" w:rsidP="00306F63">
            <w:pPr>
              <w:pStyle w:val="TblHeading"/>
            </w:pPr>
            <w:r w:rsidRPr="00D6160E">
              <w:t>Balance Sheet Total</w:t>
            </w:r>
          </w:p>
        </w:tc>
      </w:tr>
      <w:tr w:rsidR="002449A5" w:rsidRPr="00D6160E" w14:paraId="077C73DA" w14:textId="77777777" w:rsidTr="00306F63">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3A128FCF" w14:textId="77777777" w:rsidR="002449A5" w:rsidRPr="00D6160E" w:rsidRDefault="002449A5" w:rsidP="00306F63">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7523BF57" w14:textId="77777777" w:rsidR="002449A5" w:rsidRPr="00D6160E" w:rsidRDefault="002449A5" w:rsidP="00306F63">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77706B88" w14:textId="77777777" w:rsidR="002449A5" w:rsidRPr="00D6160E" w:rsidRDefault="002449A5" w:rsidP="00306F63">
            <w:pPr>
              <w:pStyle w:val="TblText"/>
            </w:pPr>
            <w:r w:rsidRPr="00D6160E">
              <w:t>≤ € 2 million</w:t>
            </w:r>
          </w:p>
        </w:tc>
        <w:tc>
          <w:tcPr>
            <w:tcW w:w="894" w:type="dxa"/>
            <w:shd w:val="solid" w:color="E4E7F5" w:themeColor="text2" w:themeTint="19" w:fill="E4E7F5" w:themeFill="text2" w:themeFillTint="19"/>
          </w:tcPr>
          <w:p w14:paraId="2EDA3539" w14:textId="77777777" w:rsidR="002449A5" w:rsidRPr="00D6160E" w:rsidRDefault="002449A5" w:rsidP="00306F63">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04388615" w14:textId="77777777" w:rsidR="002449A5" w:rsidRPr="00D6160E" w:rsidRDefault="002449A5" w:rsidP="00306F63">
            <w:pPr>
              <w:pStyle w:val="TblText"/>
            </w:pPr>
            <w:r w:rsidRPr="00D6160E">
              <w:t>≤ € 2 million</w:t>
            </w:r>
          </w:p>
        </w:tc>
      </w:tr>
      <w:tr w:rsidR="002449A5" w:rsidRPr="00D6160E" w14:paraId="39F44230" w14:textId="77777777" w:rsidTr="00306F63">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4C7529B7" w14:textId="77777777" w:rsidR="002449A5" w:rsidRPr="00D6160E" w:rsidRDefault="002449A5" w:rsidP="00306F63">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5CE422C" w14:textId="77777777" w:rsidR="002449A5" w:rsidRPr="00D6160E" w:rsidRDefault="002449A5" w:rsidP="00306F63">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14CD7305" w14:textId="77777777" w:rsidR="002449A5" w:rsidRPr="00D6160E" w:rsidRDefault="002449A5" w:rsidP="00306F63">
            <w:pPr>
              <w:pStyle w:val="TblText"/>
            </w:pPr>
            <w:r w:rsidRPr="00D6160E">
              <w:t>≤ € 10 million</w:t>
            </w:r>
          </w:p>
        </w:tc>
        <w:tc>
          <w:tcPr>
            <w:tcW w:w="894" w:type="dxa"/>
          </w:tcPr>
          <w:p w14:paraId="28C242E9" w14:textId="77777777" w:rsidR="002449A5" w:rsidRPr="00D6160E" w:rsidRDefault="002449A5" w:rsidP="00306F63">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3F8DB20C" w14:textId="77777777" w:rsidR="002449A5" w:rsidRPr="00D6160E" w:rsidRDefault="002449A5" w:rsidP="00306F63">
            <w:pPr>
              <w:pStyle w:val="TblText"/>
            </w:pPr>
            <w:r w:rsidRPr="00D6160E">
              <w:t>≤ € 10 million</w:t>
            </w:r>
          </w:p>
        </w:tc>
      </w:tr>
      <w:tr w:rsidR="002449A5" w:rsidRPr="00D6160E" w14:paraId="2A783A1B" w14:textId="77777777" w:rsidTr="00306F63">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6A9BFE61" w14:textId="77777777" w:rsidR="002449A5" w:rsidRPr="00D6160E" w:rsidRDefault="002449A5" w:rsidP="00306F63">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7D7AD25C" w14:textId="77777777" w:rsidR="002449A5" w:rsidRPr="00D6160E" w:rsidRDefault="002449A5" w:rsidP="00306F63">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6BE50EAD" w14:textId="77777777" w:rsidR="002449A5" w:rsidRPr="00D6160E" w:rsidRDefault="002449A5" w:rsidP="00306F63">
            <w:pPr>
              <w:pStyle w:val="TblText"/>
            </w:pPr>
            <w:r w:rsidRPr="00D6160E">
              <w:t>≤ € 50 million</w:t>
            </w:r>
          </w:p>
        </w:tc>
        <w:tc>
          <w:tcPr>
            <w:tcW w:w="894" w:type="dxa"/>
            <w:shd w:val="solid" w:color="E4E7F5" w:themeColor="text2" w:themeTint="19" w:fill="E4E7F5" w:themeFill="text2" w:themeFillTint="19"/>
          </w:tcPr>
          <w:p w14:paraId="4D70FB68" w14:textId="77777777" w:rsidR="002449A5" w:rsidRPr="00D6160E" w:rsidRDefault="002449A5" w:rsidP="00306F63">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0269A8AA" w14:textId="77777777" w:rsidR="002449A5" w:rsidRPr="00D6160E" w:rsidRDefault="002449A5" w:rsidP="00306F63">
            <w:pPr>
              <w:pStyle w:val="TblText"/>
            </w:pPr>
            <w:r w:rsidRPr="00D6160E">
              <w:t>≤ € 43 million</w:t>
            </w:r>
          </w:p>
        </w:tc>
      </w:tr>
      <w:tr w:rsidR="002449A5" w:rsidRPr="00D6160E" w14:paraId="28240B94" w14:textId="77777777" w:rsidTr="00306F63">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6159E810" w14:textId="77777777" w:rsidR="002449A5" w:rsidRPr="00D6160E" w:rsidRDefault="002449A5" w:rsidP="00306F63">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1289EE1" w14:textId="77777777" w:rsidR="002449A5" w:rsidRPr="00D6160E" w:rsidRDefault="002449A5" w:rsidP="00306F63">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1E63FB40" w14:textId="77777777" w:rsidR="002449A5" w:rsidRPr="00D6160E" w:rsidRDefault="002449A5" w:rsidP="00306F63">
            <w:pPr>
              <w:pStyle w:val="TblText"/>
            </w:pPr>
            <w:r w:rsidRPr="00D6160E">
              <w:t>&gt; € 50 million</w:t>
            </w:r>
          </w:p>
        </w:tc>
        <w:tc>
          <w:tcPr>
            <w:tcW w:w="894" w:type="dxa"/>
          </w:tcPr>
          <w:p w14:paraId="7CAA9419" w14:textId="77777777" w:rsidR="002449A5" w:rsidRPr="00D6160E" w:rsidRDefault="002449A5" w:rsidP="00306F63">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370078B8" w14:textId="77777777" w:rsidR="002449A5" w:rsidRPr="00D6160E" w:rsidRDefault="002449A5" w:rsidP="00306F63">
            <w:pPr>
              <w:pStyle w:val="TblText"/>
            </w:pPr>
            <w:r w:rsidRPr="00D6160E">
              <w:t>&gt; € 43 million</w:t>
            </w:r>
          </w:p>
        </w:tc>
      </w:tr>
    </w:tbl>
    <w:p w14:paraId="09DCF35A" w14:textId="77777777" w:rsidR="002449A5" w:rsidRDefault="002449A5" w:rsidP="002449A5">
      <w:r w:rsidRPr="00F20E70">
        <w:t>Please ensure that you indicate how your organisation is categorised on the Form of Tender document which should be submitted along with your proposal.</w:t>
      </w:r>
    </w:p>
    <w:p w14:paraId="7C707B37" w14:textId="77777777" w:rsidR="002449A5" w:rsidRDefault="002449A5" w:rsidP="002449A5">
      <w:pPr>
        <w:pStyle w:val="Heading2"/>
      </w:pPr>
      <w:bookmarkStart w:id="11" w:name="_Toc203571237"/>
      <w:bookmarkStart w:id="12" w:name="_Toc204170980"/>
      <w:r>
        <w:lastRenderedPageBreak/>
        <w:t>Statement of Requirement</w:t>
      </w:r>
      <w:bookmarkEnd w:id="11"/>
      <w:bookmarkEnd w:id="12"/>
    </w:p>
    <w:p w14:paraId="0233DDAD" w14:textId="77777777" w:rsidR="002449A5" w:rsidRDefault="002449A5" w:rsidP="002449A5">
      <w:pPr>
        <w:pStyle w:val="Heading3"/>
      </w:pPr>
      <w:bookmarkStart w:id="13" w:name="_Toc203571238"/>
      <w:bookmarkStart w:id="14" w:name="_Toc204170981"/>
      <w:r>
        <w:t>2.1 Background of the project</w:t>
      </w:r>
      <w:bookmarkEnd w:id="13"/>
      <w:bookmarkEnd w:id="14"/>
    </w:p>
    <w:p w14:paraId="1ACBF085" w14:textId="77777777" w:rsidR="002449A5" w:rsidRDefault="002449A5" w:rsidP="002449A5">
      <w:pPr>
        <w:pStyle w:val="NormalBulletround"/>
        <w:numPr>
          <w:ilvl w:val="0"/>
          <w:numId w:val="0"/>
        </w:numPr>
      </w:pPr>
      <w:r>
        <w:t>The Office of Rail and Road (ORR) is an independent regulator that looks to</w:t>
      </w:r>
      <w:r w:rsidRPr="00DB2E20">
        <w:t xml:space="preserve"> protect the interests of rail and road users, improving the safety, value and performance of railways and roads, today and in the future</w:t>
      </w:r>
      <w:r>
        <w:t>.</w:t>
      </w:r>
    </w:p>
    <w:p w14:paraId="1CD6DA6A" w14:textId="77777777" w:rsidR="002449A5" w:rsidRDefault="002449A5" w:rsidP="002449A5">
      <w:pPr>
        <w:pStyle w:val="NormalBulletround"/>
        <w:numPr>
          <w:ilvl w:val="0"/>
          <w:numId w:val="0"/>
        </w:numPr>
      </w:pPr>
      <w:r>
        <w:t>In March 2025, HM Treasury (HMT) published a policy paper on ‘New approach to regulators and regulations supporting growth,’ which stated a commitment to ‘reduce bureaucracy for business and cut administrative costs for business by 25% by the end of the Parliament.</w:t>
      </w:r>
    </w:p>
    <w:p w14:paraId="7985D28C" w14:textId="77777777" w:rsidR="002449A5" w:rsidRDefault="002449A5" w:rsidP="002449A5">
      <w:pPr>
        <w:pStyle w:val="NormalBulletround"/>
        <w:numPr>
          <w:ilvl w:val="0"/>
          <w:numId w:val="0"/>
        </w:numPr>
      </w:pPr>
      <w:r>
        <w:t>In June 2025, we achieved our 2025/26 Business Plan commitment to r</w:t>
      </w:r>
      <w:r w:rsidRPr="00181CE7">
        <w:t>eport on our initial engagement with Network Rail</w:t>
      </w:r>
      <w:r>
        <w:t xml:space="preserve"> following this commission. </w:t>
      </w:r>
      <w:hyperlink r:id="rId14" w:history="1">
        <w:r w:rsidRPr="00324383">
          <w:rPr>
            <w:rStyle w:val="Hyperlink"/>
          </w:rPr>
          <w:t>ORR’s letter to Network Rail</w:t>
        </w:r>
      </w:hyperlink>
      <w:r>
        <w:t xml:space="preserve"> sets out our approach and identifies opportunities, which have been categorised based on their timeframe for implementation: “quick wins”, medium- and longer-term opportunities and those that would require legislative change.</w:t>
      </w:r>
    </w:p>
    <w:p w14:paraId="1DEB2DFC" w14:textId="323519CE" w:rsidR="002449A5" w:rsidRDefault="002449A5" w:rsidP="002449A5">
      <w:pPr>
        <w:pStyle w:val="NormalBulletround"/>
        <w:numPr>
          <w:ilvl w:val="0"/>
          <w:numId w:val="0"/>
        </w:numPr>
      </w:pPr>
      <w:r>
        <w:t xml:space="preserve">We have started work on the “quick wins” and have committed to deliver these by October 2025. Assessing opportunity and developing the scope/timeline for the medium and longer-term opportunities is more complex and </w:t>
      </w:r>
      <w:r w:rsidR="00F4480C">
        <w:t xml:space="preserve">will </w:t>
      </w:r>
      <w:r>
        <w:t xml:space="preserve">require </w:t>
      </w:r>
      <w:r w:rsidR="007D0101">
        <w:t xml:space="preserve">deeper analysis of </w:t>
      </w:r>
      <w:r w:rsidR="00350C97">
        <w:t xml:space="preserve">current </w:t>
      </w:r>
      <w:r w:rsidR="00F9415B">
        <w:t xml:space="preserve">approaches to </w:t>
      </w:r>
      <w:r w:rsidR="00350C97">
        <w:t>issues</w:t>
      </w:r>
      <w:r w:rsidR="007D0101">
        <w:t xml:space="preserve">, </w:t>
      </w:r>
      <w:r w:rsidR="005B43A6">
        <w:t xml:space="preserve">leading to </w:t>
      </w:r>
      <w:r>
        <w:t xml:space="preserve">challenging discussions </w:t>
      </w:r>
      <w:r w:rsidR="005B43A6">
        <w:t xml:space="preserve">between </w:t>
      </w:r>
      <w:r>
        <w:t>ORR and Network Rail colleagues</w:t>
      </w:r>
      <w:r w:rsidR="005B43A6">
        <w:t xml:space="preserve"> </w:t>
      </w:r>
      <w:proofErr w:type="gramStart"/>
      <w:r w:rsidR="005B43A6">
        <w:t>in order to</w:t>
      </w:r>
      <w:proofErr w:type="gramEnd"/>
      <w:r w:rsidR="005B43A6">
        <w:t xml:space="preserve"> resolve a more efficient and effective way forwards</w:t>
      </w:r>
      <w:r>
        <w:t>.</w:t>
      </w:r>
    </w:p>
    <w:p w14:paraId="624FF064" w14:textId="77777777" w:rsidR="002449A5" w:rsidRDefault="002449A5" w:rsidP="002449A5">
      <w:pPr>
        <w:pStyle w:val="NormalBulletround"/>
        <w:numPr>
          <w:ilvl w:val="0"/>
          <w:numId w:val="0"/>
        </w:numPr>
      </w:pPr>
      <w:r w:rsidRPr="00A54EF7">
        <w:t xml:space="preserve">Rail reform during this Parliament will fundamentally change some of the activities </w:t>
      </w:r>
      <w:r>
        <w:t>ORR</w:t>
      </w:r>
      <w:r w:rsidRPr="00A54EF7">
        <w:t xml:space="preserve"> undertake</w:t>
      </w:r>
      <w:r>
        <w:t>s</w:t>
      </w:r>
      <w:r w:rsidRPr="00A54EF7">
        <w:t xml:space="preserve"> and the nature of our interaction with N</w:t>
      </w:r>
      <w:r>
        <w:t>etwork Rail</w:t>
      </w:r>
      <w:r w:rsidRPr="00A54EF7">
        <w:t xml:space="preserve"> and in future Great British Railways (GBR). </w:t>
      </w:r>
      <w:r>
        <w:t>Therefore, o</w:t>
      </w:r>
      <w:r w:rsidRPr="00A54EF7">
        <w:t xml:space="preserve">pportunities in </w:t>
      </w:r>
      <w:r>
        <w:t>legislative change</w:t>
      </w:r>
      <w:r w:rsidRPr="00A54EF7">
        <w:t xml:space="preserve"> category are subject to change as the detail of rail reform emerges.</w:t>
      </w:r>
    </w:p>
    <w:p w14:paraId="2FC60FFC" w14:textId="77777777" w:rsidR="002449A5" w:rsidRDefault="002449A5" w:rsidP="002449A5">
      <w:pPr>
        <w:pStyle w:val="NormalBulletround"/>
        <w:numPr>
          <w:ilvl w:val="0"/>
          <w:numId w:val="0"/>
        </w:numPr>
      </w:pPr>
      <w:r>
        <w:t>This work is being led by ORR’s Deputy Director for Railway Operations but is a cross-office project and will require engagement from ORR subject matter leads and supporting staff and from colleagues at Network Rail.</w:t>
      </w:r>
    </w:p>
    <w:p w14:paraId="5C60005A" w14:textId="77777777" w:rsidR="002449A5" w:rsidRDefault="002449A5" w:rsidP="002449A5">
      <w:pPr>
        <w:pStyle w:val="NormalBulletround"/>
        <w:numPr>
          <w:ilvl w:val="0"/>
          <w:numId w:val="0"/>
        </w:numPr>
      </w:pPr>
      <w:r>
        <w:t>Alongside this work</w:t>
      </w:r>
      <w:r w:rsidRPr="00A54EF7">
        <w:t xml:space="preserve">, we are also committed to reviewing our set of Service Standards that face the rail industry. The standards are set out in our Business </w:t>
      </w:r>
      <w:proofErr w:type="gramStart"/>
      <w:r w:rsidRPr="00A54EF7">
        <w:t>Plan</w:t>
      </w:r>
      <w:proofErr w:type="gramEnd"/>
      <w:r w:rsidRPr="00A54EF7">
        <w:t xml:space="preserve"> and we will be engaging with the rail industry to ensure that our standards are both relevant and challenging. We will also explore whether there is any scope for bringing in further standards or key performance indicators to drive ORR performance and mitigate any burden on our regulated entities.</w:t>
      </w:r>
    </w:p>
    <w:p w14:paraId="69FA534F" w14:textId="77777777" w:rsidR="002449A5" w:rsidRDefault="002449A5" w:rsidP="002449A5">
      <w:pPr>
        <w:pStyle w:val="Heading3"/>
      </w:pPr>
      <w:bookmarkStart w:id="15" w:name="_Toc203571239"/>
      <w:bookmarkStart w:id="16" w:name="_Toc204170982"/>
      <w:r>
        <w:lastRenderedPageBreak/>
        <w:t>2.2 Project Objectives and Scope</w:t>
      </w:r>
      <w:bookmarkEnd w:id="15"/>
      <w:bookmarkEnd w:id="16"/>
    </w:p>
    <w:p w14:paraId="414C428C" w14:textId="2E02FD15" w:rsidR="00C330DE" w:rsidRDefault="002449A5" w:rsidP="002449A5">
      <w:pPr>
        <w:pStyle w:val="NormalBulletround"/>
        <w:numPr>
          <w:ilvl w:val="0"/>
          <w:numId w:val="0"/>
        </w:numPr>
        <w:rPr>
          <w:b/>
          <w:bCs/>
        </w:rPr>
      </w:pPr>
      <w:r w:rsidRPr="00DB2E20">
        <w:rPr>
          <w:b/>
          <w:bCs/>
        </w:rPr>
        <w:t xml:space="preserve">Objective: </w:t>
      </w:r>
      <w:r>
        <w:rPr>
          <w:b/>
          <w:bCs/>
        </w:rPr>
        <w:t xml:space="preserve">ORR and Network Rail have identified specific, potential medium and longer-term opportunities to improve the effectiveness and efficiency of how they work together, to support the railway delivering for its stakeholders </w:t>
      </w:r>
      <w:r w:rsidR="00261827">
        <w:rPr>
          <w:b/>
          <w:bCs/>
        </w:rPr>
        <w:t xml:space="preserve">including </w:t>
      </w:r>
      <w:r>
        <w:rPr>
          <w:b/>
          <w:bCs/>
        </w:rPr>
        <w:t>and support</w:t>
      </w:r>
      <w:r w:rsidR="00366AB8">
        <w:rPr>
          <w:b/>
          <w:bCs/>
        </w:rPr>
        <w:t>ing</w:t>
      </w:r>
      <w:r>
        <w:rPr>
          <w:b/>
          <w:bCs/>
        </w:rPr>
        <w:t xml:space="preserve"> further growth and investment. The successful bidder will </w:t>
      </w:r>
      <w:r w:rsidR="002D42F6">
        <w:rPr>
          <w:b/>
          <w:bCs/>
        </w:rPr>
        <w:t>provide</w:t>
      </w:r>
      <w:r w:rsidR="00C330DE">
        <w:rPr>
          <w:b/>
          <w:bCs/>
        </w:rPr>
        <w:t>:</w:t>
      </w:r>
    </w:p>
    <w:p w14:paraId="2DB44695" w14:textId="254E4E4E" w:rsidR="00C330DE" w:rsidRPr="00D93835" w:rsidRDefault="00320A7D" w:rsidP="04806F43">
      <w:pPr>
        <w:pStyle w:val="NormalBulletround"/>
        <w:rPr>
          <w:b/>
          <w:bCs/>
        </w:rPr>
      </w:pPr>
      <w:r w:rsidRPr="00D93835">
        <w:rPr>
          <w:b/>
          <w:bCs/>
        </w:rPr>
        <w:t xml:space="preserve">critical </w:t>
      </w:r>
      <w:r w:rsidR="00BB7D89" w:rsidRPr="00D93835">
        <w:rPr>
          <w:b/>
          <w:bCs/>
        </w:rPr>
        <w:t>independent</w:t>
      </w:r>
      <w:r w:rsidR="00EC3E45" w:rsidRPr="00D93835">
        <w:rPr>
          <w:b/>
          <w:bCs/>
        </w:rPr>
        <w:t xml:space="preserve"> </w:t>
      </w:r>
      <w:r w:rsidR="00BB7D89" w:rsidRPr="00D93835">
        <w:rPr>
          <w:b/>
          <w:bCs/>
        </w:rPr>
        <w:t>analysis</w:t>
      </w:r>
      <w:r w:rsidR="002D42F6" w:rsidRPr="00D93835">
        <w:rPr>
          <w:b/>
          <w:bCs/>
        </w:rPr>
        <w:t xml:space="preserve"> of </w:t>
      </w:r>
      <w:r w:rsidR="00EC3E45" w:rsidRPr="00D93835">
        <w:rPr>
          <w:b/>
          <w:bCs/>
        </w:rPr>
        <w:t xml:space="preserve">relevant </w:t>
      </w:r>
      <w:r w:rsidR="00C330DE" w:rsidRPr="00D93835">
        <w:rPr>
          <w:b/>
          <w:bCs/>
        </w:rPr>
        <w:t>data and information</w:t>
      </w:r>
      <w:r w:rsidR="00A21177" w:rsidRPr="00D93835">
        <w:rPr>
          <w:b/>
          <w:bCs/>
        </w:rPr>
        <w:t>, to understand the issue</w:t>
      </w:r>
      <w:r w:rsidR="00366AB8" w:rsidRPr="00D93835">
        <w:rPr>
          <w:b/>
          <w:bCs/>
        </w:rPr>
        <w:t>s</w:t>
      </w:r>
      <w:r w:rsidR="00A21177" w:rsidRPr="00D93835">
        <w:rPr>
          <w:b/>
          <w:bCs/>
        </w:rPr>
        <w:t xml:space="preserve"> and </w:t>
      </w:r>
      <w:r w:rsidR="009201CD" w:rsidRPr="00D93835">
        <w:rPr>
          <w:b/>
          <w:bCs/>
        </w:rPr>
        <w:t xml:space="preserve">the </w:t>
      </w:r>
      <w:r w:rsidR="00A21177" w:rsidRPr="00D93835">
        <w:rPr>
          <w:b/>
          <w:bCs/>
        </w:rPr>
        <w:t xml:space="preserve">range of relevant </w:t>
      </w:r>
      <w:proofErr w:type="gramStart"/>
      <w:r w:rsidR="00A21177" w:rsidRPr="00D93835">
        <w:rPr>
          <w:b/>
          <w:bCs/>
        </w:rPr>
        <w:t>perspectives</w:t>
      </w:r>
      <w:r w:rsidR="00C330DE" w:rsidRPr="00D93835">
        <w:rPr>
          <w:b/>
          <w:bCs/>
        </w:rPr>
        <w:t>;</w:t>
      </w:r>
      <w:proofErr w:type="gramEnd"/>
    </w:p>
    <w:p w14:paraId="7020FCCF" w14:textId="01387397" w:rsidR="00F45D88" w:rsidRPr="00D93835" w:rsidRDefault="00F45D88" w:rsidP="04806F43">
      <w:pPr>
        <w:pStyle w:val="NormalBulletround"/>
        <w:rPr>
          <w:b/>
          <w:bCs/>
        </w:rPr>
      </w:pPr>
      <w:r w:rsidRPr="00D93835">
        <w:rPr>
          <w:b/>
          <w:bCs/>
        </w:rPr>
        <w:t xml:space="preserve">skilled </w:t>
      </w:r>
      <w:r w:rsidR="005B537F" w:rsidRPr="00D93835">
        <w:rPr>
          <w:b/>
          <w:bCs/>
        </w:rPr>
        <w:t xml:space="preserve">design </w:t>
      </w:r>
      <w:r w:rsidRPr="00D93835">
        <w:rPr>
          <w:b/>
          <w:bCs/>
        </w:rPr>
        <w:t xml:space="preserve">and implementation of </w:t>
      </w:r>
      <w:proofErr w:type="gramStart"/>
      <w:r w:rsidR="006C5C07" w:rsidRPr="00D93835">
        <w:rPr>
          <w:b/>
          <w:bCs/>
        </w:rPr>
        <w:t>expertly</w:t>
      </w:r>
      <w:r w:rsidR="00366AB8" w:rsidRPr="00D93835">
        <w:rPr>
          <w:b/>
          <w:bCs/>
        </w:rPr>
        <w:t>-</w:t>
      </w:r>
      <w:r w:rsidRPr="00D93835">
        <w:rPr>
          <w:b/>
          <w:bCs/>
        </w:rPr>
        <w:t>facilitated</w:t>
      </w:r>
      <w:proofErr w:type="gramEnd"/>
      <w:r w:rsidR="006C5C07" w:rsidRPr="00D93835">
        <w:rPr>
          <w:b/>
          <w:bCs/>
        </w:rPr>
        <w:t>, in-person</w:t>
      </w:r>
      <w:r w:rsidRPr="00D93835">
        <w:rPr>
          <w:b/>
          <w:bCs/>
        </w:rPr>
        <w:t xml:space="preserve"> </w:t>
      </w:r>
      <w:r w:rsidR="005B537F" w:rsidRPr="00D93835">
        <w:rPr>
          <w:b/>
          <w:bCs/>
        </w:rPr>
        <w:t>workshops</w:t>
      </w:r>
      <w:r w:rsidRPr="00D93835">
        <w:rPr>
          <w:b/>
          <w:bCs/>
        </w:rPr>
        <w:t xml:space="preserve"> </w:t>
      </w:r>
      <w:r w:rsidR="00EC53E3" w:rsidRPr="00D93835">
        <w:rPr>
          <w:b/>
          <w:bCs/>
        </w:rPr>
        <w:t xml:space="preserve">to </w:t>
      </w:r>
      <w:r w:rsidR="006C5C07" w:rsidRPr="00D93835">
        <w:rPr>
          <w:b/>
          <w:bCs/>
        </w:rPr>
        <w:t xml:space="preserve">develop </w:t>
      </w:r>
      <w:r w:rsidR="003C5151" w:rsidRPr="00D93835">
        <w:rPr>
          <w:b/>
          <w:bCs/>
        </w:rPr>
        <w:t xml:space="preserve">identified </w:t>
      </w:r>
      <w:proofErr w:type="gramStart"/>
      <w:r w:rsidR="003C5151" w:rsidRPr="00D93835">
        <w:rPr>
          <w:b/>
          <w:bCs/>
        </w:rPr>
        <w:t>issues</w:t>
      </w:r>
      <w:r w:rsidRPr="00D93835">
        <w:rPr>
          <w:b/>
          <w:bCs/>
        </w:rPr>
        <w:t>;</w:t>
      </w:r>
      <w:proofErr w:type="gramEnd"/>
    </w:p>
    <w:p w14:paraId="435AFD01" w14:textId="664178DA" w:rsidR="002449A5" w:rsidRPr="00D93835" w:rsidRDefault="002A0A61" w:rsidP="04806F43">
      <w:pPr>
        <w:pStyle w:val="NormalBulletround"/>
        <w:rPr>
          <w:b/>
          <w:bCs/>
        </w:rPr>
      </w:pPr>
      <w:r w:rsidRPr="00D93835">
        <w:rPr>
          <w:b/>
          <w:bCs/>
        </w:rPr>
        <w:t>using the outputs</w:t>
      </w:r>
      <w:r w:rsidR="00494409" w:rsidRPr="00D93835">
        <w:rPr>
          <w:b/>
          <w:bCs/>
        </w:rPr>
        <w:t xml:space="preserve"> of these</w:t>
      </w:r>
      <w:r w:rsidRPr="00D93835">
        <w:rPr>
          <w:b/>
          <w:bCs/>
        </w:rPr>
        <w:t xml:space="preserve">, </w:t>
      </w:r>
      <w:r w:rsidR="00494409" w:rsidRPr="00D93835">
        <w:rPr>
          <w:b/>
          <w:bCs/>
        </w:rPr>
        <w:t xml:space="preserve">refine a </w:t>
      </w:r>
      <w:r w:rsidR="003C5151" w:rsidRPr="00D93835">
        <w:rPr>
          <w:b/>
          <w:bCs/>
        </w:rPr>
        <w:t>scop</w:t>
      </w:r>
      <w:r w:rsidR="00494409" w:rsidRPr="00D93835">
        <w:rPr>
          <w:b/>
          <w:bCs/>
        </w:rPr>
        <w:t>e</w:t>
      </w:r>
      <w:r w:rsidR="003C5151" w:rsidRPr="00D93835">
        <w:rPr>
          <w:b/>
          <w:bCs/>
        </w:rPr>
        <w:t xml:space="preserve"> and programm</w:t>
      </w:r>
      <w:r w:rsidR="00494409" w:rsidRPr="00D93835">
        <w:rPr>
          <w:b/>
          <w:bCs/>
        </w:rPr>
        <w:t>e</w:t>
      </w:r>
      <w:r w:rsidR="003C5151" w:rsidRPr="00D93835">
        <w:rPr>
          <w:b/>
          <w:bCs/>
        </w:rPr>
        <w:t xml:space="preserve"> </w:t>
      </w:r>
      <w:r w:rsidR="00494409" w:rsidRPr="00D93835">
        <w:rPr>
          <w:b/>
          <w:bCs/>
        </w:rPr>
        <w:t xml:space="preserve">of activities </w:t>
      </w:r>
      <w:r w:rsidR="00BB7D89" w:rsidRPr="00D93835">
        <w:rPr>
          <w:b/>
          <w:bCs/>
        </w:rPr>
        <w:t xml:space="preserve">to improve the efficiency and effectiveness of complex regulatory engagement </w:t>
      </w:r>
      <w:r w:rsidR="000F680B" w:rsidRPr="00D93835">
        <w:rPr>
          <w:b/>
          <w:bCs/>
        </w:rPr>
        <w:t xml:space="preserve">between ORR and </w:t>
      </w:r>
      <w:r w:rsidR="00BB7D89" w:rsidRPr="00D93835">
        <w:rPr>
          <w:b/>
          <w:bCs/>
        </w:rPr>
        <w:t>Network Rail</w:t>
      </w:r>
      <w:r w:rsidR="006C5C07" w:rsidRPr="00D93835">
        <w:rPr>
          <w:b/>
          <w:bCs/>
        </w:rPr>
        <w:t>.</w:t>
      </w:r>
      <w:r w:rsidR="002449A5" w:rsidRPr="00D93835">
        <w:rPr>
          <w:b/>
          <w:bCs/>
        </w:rPr>
        <w:t xml:space="preserve"> </w:t>
      </w:r>
    </w:p>
    <w:p w14:paraId="14A8DA25" w14:textId="78C64019" w:rsidR="002449A5" w:rsidRPr="00A53638" w:rsidRDefault="002449A5" w:rsidP="002449A5">
      <w:pPr>
        <w:pStyle w:val="NormalBulletround"/>
        <w:numPr>
          <w:ilvl w:val="0"/>
          <w:numId w:val="0"/>
        </w:numPr>
      </w:pPr>
      <w:r w:rsidRPr="00A53638">
        <w:t xml:space="preserve">The core project will run from 08 September 2025 to 05 December 2025, with a baseline of </w:t>
      </w:r>
      <w:r>
        <w:t>five (</w:t>
      </w:r>
      <w:r w:rsidRPr="00A53638">
        <w:t>5</w:t>
      </w:r>
      <w:r>
        <w:t>)</w:t>
      </w:r>
      <w:r w:rsidRPr="00A53638">
        <w:t xml:space="preserve"> subject areas that will require </w:t>
      </w:r>
      <w:r w:rsidR="00704ADD">
        <w:t xml:space="preserve">the </w:t>
      </w:r>
      <w:r w:rsidR="00556E04">
        <w:t xml:space="preserve">analysis, </w:t>
      </w:r>
      <w:proofErr w:type="gramStart"/>
      <w:r w:rsidRPr="00A53638">
        <w:t>facilitated</w:t>
      </w:r>
      <w:proofErr w:type="gramEnd"/>
      <w:r w:rsidRPr="00A53638">
        <w:t xml:space="preserve"> workshops (and associated pre-meets) </w:t>
      </w:r>
      <w:r w:rsidR="00556E04">
        <w:t xml:space="preserve">and </w:t>
      </w:r>
      <w:r w:rsidR="001232F1">
        <w:t xml:space="preserve">design and scoping </w:t>
      </w:r>
      <w:r w:rsidRPr="00A53638">
        <w:t xml:space="preserve">as described. The topics to be covered are likely to be similar to the medium and longer-term activities identified in </w:t>
      </w:r>
      <w:hyperlink r:id="rId15" w:history="1">
        <w:r w:rsidRPr="00324383">
          <w:rPr>
            <w:rStyle w:val="Hyperlink"/>
          </w:rPr>
          <w:t>ORR’s letter to Network Rail</w:t>
        </w:r>
      </w:hyperlink>
      <w:r w:rsidRPr="00A53638">
        <w:t xml:space="preserve">. </w:t>
      </w:r>
    </w:p>
    <w:p w14:paraId="2CC57B8F" w14:textId="77777777" w:rsidR="002449A5" w:rsidRPr="0021287D" w:rsidRDefault="002449A5" w:rsidP="002449A5">
      <w:pPr>
        <w:pStyle w:val="NormalBulletround"/>
        <w:numPr>
          <w:ilvl w:val="0"/>
          <w:numId w:val="0"/>
        </w:numPr>
      </w:pPr>
      <w:r>
        <w:t>For each selected workshop topic (which is one of these medium or longer-term opportunities) the consultant will use their highly effective facilitation skills to:</w:t>
      </w:r>
    </w:p>
    <w:p w14:paraId="7AEC47DF" w14:textId="6734F3A8" w:rsidR="006652FE" w:rsidRDefault="006652FE" w:rsidP="002449A5">
      <w:pPr>
        <w:pStyle w:val="Bulletround"/>
        <w:numPr>
          <w:ilvl w:val="2"/>
          <w:numId w:val="36"/>
        </w:numPr>
      </w:pPr>
      <w:r>
        <w:t xml:space="preserve">Critically analyse relevant data and information to </w:t>
      </w:r>
      <w:r w:rsidR="00B767E2">
        <w:t xml:space="preserve">develop understanding of </w:t>
      </w:r>
      <w:r w:rsidR="0064460A">
        <w:t xml:space="preserve">the </w:t>
      </w:r>
      <w:proofErr w:type="gramStart"/>
      <w:r w:rsidR="00B767E2">
        <w:t>issue;</w:t>
      </w:r>
      <w:proofErr w:type="gramEnd"/>
    </w:p>
    <w:p w14:paraId="2F21E6AE" w14:textId="3FA12526" w:rsidR="002449A5" w:rsidRPr="00583FE9" w:rsidRDefault="002449A5" w:rsidP="002449A5">
      <w:pPr>
        <w:pStyle w:val="Bulletround"/>
        <w:numPr>
          <w:ilvl w:val="2"/>
          <w:numId w:val="36"/>
        </w:numPr>
      </w:pPr>
      <w:r>
        <w:t>Plan, a</w:t>
      </w:r>
      <w:r w:rsidRPr="00583FE9">
        <w:t xml:space="preserve">rrange and undertake </w:t>
      </w:r>
      <w:r>
        <w:t xml:space="preserve">separate </w:t>
      </w:r>
      <w:r w:rsidRPr="00583FE9">
        <w:t>pre-meets with ORR and Network Rail subject leads and key stakeholders</w:t>
      </w:r>
      <w:r>
        <w:t xml:space="preserve"> </w:t>
      </w:r>
      <w:r w:rsidR="000A4A2F">
        <w:t>as required, then use expert skills to design</w:t>
      </w:r>
      <w:r w:rsidR="00D9392E">
        <w:t xml:space="preserve"> a workshop aimed at resolving ambiguity and establishing a clear way </w:t>
      </w:r>
      <w:proofErr w:type="gramStart"/>
      <w:r w:rsidR="00D9392E">
        <w:t>ahead</w:t>
      </w:r>
      <w:r w:rsidRPr="00583FE9">
        <w:t>;</w:t>
      </w:r>
      <w:proofErr w:type="gramEnd"/>
    </w:p>
    <w:p w14:paraId="429B70DC" w14:textId="5FA3B4F3" w:rsidR="002449A5" w:rsidRPr="00583FE9" w:rsidRDefault="002449A5" w:rsidP="002449A5">
      <w:pPr>
        <w:pStyle w:val="Bulletround"/>
        <w:numPr>
          <w:ilvl w:val="2"/>
          <w:numId w:val="36"/>
        </w:numPr>
      </w:pPr>
      <w:r w:rsidRPr="00583FE9">
        <w:t xml:space="preserve">Work closely with ORR to </w:t>
      </w:r>
      <w:r w:rsidR="00B767E2">
        <w:t xml:space="preserve">programme and </w:t>
      </w:r>
      <w:r w:rsidRPr="00583FE9">
        <w:t xml:space="preserve">set up a </w:t>
      </w:r>
      <w:r>
        <w:t xml:space="preserve">joint </w:t>
      </w:r>
      <w:proofErr w:type="gramStart"/>
      <w:r w:rsidRPr="00583FE9">
        <w:t>workshop</w:t>
      </w:r>
      <w:r>
        <w:t>;</w:t>
      </w:r>
      <w:proofErr w:type="gramEnd"/>
    </w:p>
    <w:p w14:paraId="604584FB" w14:textId="3A4138C7" w:rsidR="002449A5" w:rsidRDefault="00D9392E" w:rsidP="002449A5">
      <w:pPr>
        <w:pStyle w:val="AnnexBulletround"/>
        <w:numPr>
          <w:ilvl w:val="2"/>
          <w:numId w:val="36"/>
        </w:numPr>
      </w:pPr>
      <w:r>
        <w:t>Facilitate and l</w:t>
      </w:r>
      <w:r w:rsidR="002449A5" w:rsidRPr="00A53638">
        <w:t>ead the “in-person” workshops</w:t>
      </w:r>
      <w:r w:rsidR="00492888">
        <w:t xml:space="preserve">, drawing out and resolving ambiguity and points of difference, </w:t>
      </w:r>
      <w:r w:rsidR="002449A5" w:rsidRPr="00A53638">
        <w:t xml:space="preserve">at </w:t>
      </w:r>
      <w:r w:rsidR="002449A5" w:rsidRPr="001A0029">
        <w:t>an agreed ORR office</w:t>
      </w:r>
      <w:r w:rsidR="002449A5" w:rsidRPr="003535CE">
        <w:rPr>
          <w:color w:val="EE0000"/>
        </w:rPr>
        <w:t xml:space="preserve"> </w:t>
      </w:r>
      <w:r w:rsidR="002449A5">
        <w:t>(likely to be London to be cost-effective, but possibly Birmingham), to move towards agreement of scope (and exclusions), indicative timeline and next steps for each activity.</w:t>
      </w:r>
    </w:p>
    <w:p w14:paraId="660B81F3" w14:textId="7A6540FF" w:rsidR="002449A5" w:rsidRPr="00A54EF7" w:rsidRDefault="002449A5" w:rsidP="002449A5">
      <w:pPr>
        <w:pStyle w:val="AnnexBulletround"/>
        <w:numPr>
          <w:ilvl w:val="2"/>
          <w:numId w:val="36"/>
        </w:numPr>
      </w:pPr>
      <w:r>
        <w:t xml:space="preserve">If required, conduct a “post-meet” with ORR </w:t>
      </w:r>
      <w:r w:rsidR="00DE1626">
        <w:t xml:space="preserve">then </w:t>
      </w:r>
      <w:r w:rsidR="00841A18">
        <w:t xml:space="preserve">clearly define </w:t>
      </w:r>
      <w:r>
        <w:t>the scope, objectives, proposed benefits and timeline for implementation/</w:t>
      </w:r>
      <w:proofErr w:type="gramStart"/>
      <w:r>
        <w:t>completion;</w:t>
      </w:r>
      <w:proofErr w:type="gramEnd"/>
      <w:r>
        <w:t> </w:t>
      </w:r>
    </w:p>
    <w:p w14:paraId="62852F47" w14:textId="77777777" w:rsidR="002449A5" w:rsidRDefault="002449A5" w:rsidP="002449A5">
      <w:pPr>
        <w:pStyle w:val="Bulletround"/>
        <w:numPr>
          <w:ilvl w:val="2"/>
          <w:numId w:val="36"/>
        </w:numPr>
      </w:pPr>
      <w:r>
        <w:lastRenderedPageBreak/>
        <w:t>Produce a short close-out report outlining the activities undertaken, summary of discussions, agreed scope, indicative timeline and next steps for each opportunity, including those that may not warrant further activity.</w:t>
      </w:r>
    </w:p>
    <w:p w14:paraId="2A739521" w14:textId="77777777" w:rsidR="002449A5" w:rsidRDefault="002449A5" w:rsidP="002449A5">
      <w:pPr>
        <w:pStyle w:val="NormalBulletround"/>
        <w:numPr>
          <w:ilvl w:val="0"/>
          <w:numId w:val="0"/>
        </w:numPr>
      </w:pPr>
      <w:r>
        <w:t>For each identified area, this scope constitutes one “unit” of work.</w:t>
      </w:r>
    </w:p>
    <w:p w14:paraId="2F2CE0C4" w14:textId="77777777" w:rsidR="002449A5" w:rsidRDefault="002449A5" w:rsidP="002449A5">
      <w:pPr>
        <w:pStyle w:val="NormalBulletround"/>
        <w:numPr>
          <w:ilvl w:val="0"/>
          <w:numId w:val="0"/>
        </w:numPr>
      </w:pPr>
      <w:r>
        <w:t>Across the duration of the core contract, the consultant will:</w:t>
      </w:r>
    </w:p>
    <w:p w14:paraId="67B78782" w14:textId="77777777" w:rsidR="002449A5" w:rsidRDefault="002449A5" w:rsidP="002449A5">
      <w:pPr>
        <w:pStyle w:val="Numberedparagraphdouble"/>
        <w:numPr>
          <w:ilvl w:val="2"/>
          <w:numId w:val="35"/>
        </w:numPr>
      </w:pPr>
      <w:r>
        <w:t xml:space="preserve">Produce a weekly, high-level progress report for ORR including highlighting any risks or blockers for escalation. </w:t>
      </w:r>
    </w:p>
    <w:p w14:paraId="06D66AEF" w14:textId="77777777" w:rsidR="002449A5" w:rsidRPr="00A54EF7" w:rsidRDefault="002449A5" w:rsidP="002449A5">
      <w:pPr>
        <w:pStyle w:val="Numberedparagraphdouble"/>
        <w:numPr>
          <w:ilvl w:val="2"/>
          <w:numId w:val="35"/>
        </w:numPr>
      </w:pPr>
      <w:r w:rsidRPr="00A54EF7">
        <w:t xml:space="preserve">Engage with </w:t>
      </w:r>
      <w:r>
        <w:t xml:space="preserve">ORR and Network Rail </w:t>
      </w:r>
      <w:r w:rsidRPr="00A54EF7">
        <w:t>stakeholders as needed throughout the project</w:t>
      </w:r>
      <w:r>
        <w:t>, updating wider project meetings on occasion as appropriate.</w:t>
      </w:r>
    </w:p>
    <w:p w14:paraId="6AD10B18" w14:textId="77777777" w:rsidR="002449A5" w:rsidRDefault="002449A5" w:rsidP="002449A5">
      <w:pPr>
        <w:pStyle w:val="Numberedparagraphdouble"/>
        <w:numPr>
          <w:ilvl w:val="2"/>
          <w:numId w:val="35"/>
        </w:numPr>
      </w:pPr>
      <w:r w:rsidRPr="00A54EF7">
        <w:t xml:space="preserve">Consider </w:t>
      </w:r>
      <w:r>
        <w:t xml:space="preserve">interaction with other programme activities (such as </w:t>
      </w:r>
      <w:r w:rsidRPr="00A54EF7">
        <w:t>the legislative change activities</w:t>
      </w:r>
      <w:r>
        <w:t>)</w:t>
      </w:r>
      <w:r w:rsidRPr="00A54EF7">
        <w:t xml:space="preserve">, </w:t>
      </w:r>
      <w:r>
        <w:t xml:space="preserve">highlighting crossover </w:t>
      </w:r>
      <w:r w:rsidRPr="00A54EF7">
        <w:t>where necessary</w:t>
      </w:r>
      <w:r>
        <w:t>.</w:t>
      </w:r>
    </w:p>
    <w:p w14:paraId="70A3815D" w14:textId="77777777" w:rsidR="002449A5" w:rsidRPr="009B1434" w:rsidRDefault="002449A5" w:rsidP="002449A5">
      <w:pPr>
        <w:pStyle w:val="NormalBulletround"/>
        <w:numPr>
          <w:ilvl w:val="0"/>
          <w:numId w:val="0"/>
        </w:numPr>
        <w:rPr>
          <w:highlight w:val="yellow"/>
        </w:rPr>
      </w:pPr>
      <w:r w:rsidRPr="00A53638">
        <w:t xml:space="preserve">As described, </w:t>
      </w:r>
      <w:r>
        <w:t xml:space="preserve">this ITT is for a </w:t>
      </w:r>
      <w:r w:rsidRPr="009B1434">
        <w:rPr>
          <w:b/>
          <w:bCs/>
        </w:rPr>
        <w:t xml:space="preserve">core contract </w:t>
      </w:r>
      <w:proofErr w:type="gramStart"/>
      <w:r w:rsidRPr="009B1434">
        <w:rPr>
          <w:b/>
          <w:bCs/>
        </w:rPr>
        <w:t>consisting</w:t>
      </w:r>
      <w:proofErr w:type="gramEnd"/>
      <w:r w:rsidRPr="009B1434">
        <w:rPr>
          <w:b/>
          <w:bCs/>
        </w:rPr>
        <w:t xml:space="preserve"> five (5) subject areas</w:t>
      </w:r>
      <w:r w:rsidRPr="00A53638">
        <w:t xml:space="preserve">. The scope of the core contract is to deliver </w:t>
      </w:r>
      <w:r w:rsidRPr="009B1434">
        <w:t xml:space="preserve">these five “units” of work as described above, within the timescales indicated. </w:t>
      </w:r>
    </w:p>
    <w:p w14:paraId="4BA6D17C" w14:textId="77777777" w:rsidR="002449A5" w:rsidRPr="009B1434" w:rsidRDefault="002449A5" w:rsidP="002449A5">
      <w:pPr>
        <w:pStyle w:val="NormalBulletround"/>
        <w:numPr>
          <w:ilvl w:val="0"/>
          <w:numId w:val="0"/>
        </w:numPr>
      </w:pPr>
      <w:r w:rsidRPr="009B1434">
        <w:t xml:space="preserve">We </w:t>
      </w:r>
      <w:r>
        <w:t xml:space="preserve">also </w:t>
      </w:r>
      <w:r w:rsidRPr="009B1434">
        <w:t xml:space="preserve">require bidders to provide a </w:t>
      </w:r>
      <w:r w:rsidRPr="009B1434">
        <w:rPr>
          <w:b/>
          <w:bCs/>
        </w:rPr>
        <w:t>pre-priced variation per additional “unit” of work</w:t>
      </w:r>
      <w:r w:rsidRPr="009B1434">
        <w:t xml:space="preserve"> (i.e. per additional subject area) up to a maximum of two further units, which we expect would be based on day rates, and must remain within the maximum contract value</w:t>
      </w:r>
      <w:r>
        <w:t>: i</w:t>
      </w:r>
      <w:r w:rsidRPr="009B1434">
        <w:t xml:space="preserve">t is highly likely that additional subject areas requiring facilitated workshops will emerge during the project timetable. These may support the “legislative change required” list or may emerge from other related activity. </w:t>
      </w:r>
      <w:r>
        <w:t>We anticipate these will also be completed within the timeframe indicated, but they could take place at a slightly later date.</w:t>
      </w:r>
    </w:p>
    <w:p w14:paraId="59BF4FE5" w14:textId="77777777" w:rsidR="002449A5" w:rsidRDefault="002449A5" w:rsidP="002449A5">
      <w:pPr>
        <w:pStyle w:val="NormalBulletround"/>
        <w:numPr>
          <w:ilvl w:val="0"/>
          <w:numId w:val="0"/>
        </w:numPr>
        <w:rPr>
          <w:b/>
          <w:bCs/>
        </w:rPr>
      </w:pPr>
      <w:r>
        <w:rPr>
          <w:b/>
          <w:bCs/>
        </w:rPr>
        <w:t>Data and confidentiality</w:t>
      </w:r>
    </w:p>
    <w:p w14:paraId="1B68F9D5" w14:textId="77777777" w:rsidR="002449A5" w:rsidRDefault="002449A5" w:rsidP="002449A5">
      <w:pPr>
        <w:pStyle w:val="NormalBulletround"/>
        <w:numPr>
          <w:ilvl w:val="0"/>
          <w:numId w:val="0"/>
        </w:numPr>
      </w:pPr>
      <w:r>
        <w:t>Discussions during the pre-meets and workshops may highlight commercially sensitive or confidential information and the consultant will be expected to work within these, and their associated risks.</w:t>
      </w:r>
    </w:p>
    <w:p w14:paraId="76C22E20" w14:textId="1CB60BB6" w:rsidR="3B1765EF" w:rsidRDefault="3B1765EF" w:rsidP="085C83D6">
      <w:pPr>
        <w:pStyle w:val="NormalBulletround"/>
        <w:numPr>
          <w:ilvl w:val="0"/>
          <w:numId w:val="0"/>
        </w:numPr>
      </w:pPr>
      <w:r>
        <w:t>The</w:t>
      </w:r>
      <w:r w:rsidR="186C53E4">
        <w:t xml:space="preserve"> final</w:t>
      </w:r>
      <w:r>
        <w:t xml:space="preserve"> outputs from this work and ORR’s work on the “quick wins</w:t>
      </w:r>
      <w:r w:rsidR="29C8A288">
        <w:t>,</w:t>
      </w:r>
      <w:r>
        <w:t xml:space="preserve">” may be published on our </w:t>
      </w:r>
      <w:r w:rsidR="604F345D">
        <w:t xml:space="preserve">external </w:t>
      </w:r>
      <w:r>
        <w:t xml:space="preserve">website and subject to Freedom of Information </w:t>
      </w:r>
      <w:r w:rsidR="391A2E0E">
        <w:t xml:space="preserve">(FOI) </w:t>
      </w:r>
      <w:r>
        <w:t>requests.</w:t>
      </w:r>
    </w:p>
    <w:p w14:paraId="25451A9A" w14:textId="7574731B" w:rsidR="002449A5" w:rsidRDefault="002449A5" w:rsidP="002449A5">
      <w:pPr>
        <w:pStyle w:val="NormalBulletround"/>
        <w:numPr>
          <w:ilvl w:val="0"/>
          <w:numId w:val="0"/>
        </w:numPr>
        <w:rPr>
          <w:b/>
          <w:bCs/>
        </w:rPr>
      </w:pPr>
      <w:r>
        <w:t>The successful bidder will demonstrate their ability to work within similar constraints over information gathering and will highlight the risks and issues they consider are likely to arise during the project (including IT security considerations)</w:t>
      </w:r>
      <w:r w:rsidR="0064460A">
        <w:t>.</w:t>
      </w:r>
    </w:p>
    <w:p w14:paraId="671A3E97" w14:textId="77777777" w:rsidR="002449A5" w:rsidRDefault="002449A5" w:rsidP="002449A5">
      <w:pPr>
        <w:pStyle w:val="Heading3"/>
      </w:pPr>
      <w:bookmarkStart w:id="17" w:name="_Toc203571240"/>
      <w:bookmarkStart w:id="18" w:name="_Toc204170983"/>
      <w:r w:rsidRPr="003F3CB0">
        <w:lastRenderedPageBreak/>
        <w:t>2.3 Project Outputs, Deliverables and Contract Management</w:t>
      </w:r>
      <w:bookmarkEnd w:id="17"/>
      <w:bookmarkEnd w:id="18"/>
    </w:p>
    <w:p w14:paraId="74E00CFB" w14:textId="77777777" w:rsidR="002449A5" w:rsidRDefault="002449A5" w:rsidP="002449A5">
      <w:pPr>
        <w:pStyle w:val="Heading4"/>
      </w:pPr>
      <w:r>
        <w:t>Outputs and Deliverables</w:t>
      </w:r>
    </w:p>
    <w:p w14:paraId="525EE920" w14:textId="77777777" w:rsidR="002449A5" w:rsidRDefault="002449A5" w:rsidP="002449A5">
      <w:pPr>
        <w:pStyle w:val="NormalBulletround"/>
        <w:numPr>
          <w:ilvl w:val="0"/>
          <w:numId w:val="0"/>
        </w:numPr>
      </w:pPr>
      <w:r>
        <w:t>In terms of written outputs, the successful bidder is to deliver:</w:t>
      </w:r>
    </w:p>
    <w:p w14:paraId="1E2258DA" w14:textId="4C0FF8F4" w:rsidR="002449A5" w:rsidRDefault="002449A5" w:rsidP="002449A5">
      <w:pPr>
        <w:pStyle w:val="NormalBulletround"/>
      </w:pPr>
      <w:r>
        <w:t xml:space="preserve">A summary </w:t>
      </w:r>
      <w:r w:rsidR="2A0C9B4A">
        <w:t xml:space="preserve">report </w:t>
      </w:r>
      <w:r>
        <w:t xml:space="preserve">of the </w:t>
      </w:r>
      <w:r w:rsidR="00105ED8">
        <w:t xml:space="preserve">analysis of information and data </w:t>
      </w:r>
      <w:r w:rsidR="000C66F8">
        <w:t xml:space="preserve">reviewed, to inform the </w:t>
      </w:r>
      <w:r>
        <w:t xml:space="preserve">pre-meet and workshop </w:t>
      </w:r>
      <w:proofErr w:type="gramStart"/>
      <w:r>
        <w:t>discussions;</w:t>
      </w:r>
      <w:proofErr w:type="gramEnd"/>
    </w:p>
    <w:p w14:paraId="26B77013" w14:textId="77777777" w:rsidR="002449A5" w:rsidRDefault="002449A5" w:rsidP="002449A5">
      <w:pPr>
        <w:pStyle w:val="NormalBulletround"/>
      </w:pPr>
      <w:r>
        <w:t xml:space="preserve">A presentation to ORR and Network Rail summarising the key points for each subject area and proposed next steps and associated timeframes discussed at </w:t>
      </w:r>
      <w:proofErr w:type="gramStart"/>
      <w:r>
        <w:t>workshops;</w:t>
      </w:r>
      <w:proofErr w:type="gramEnd"/>
    </w:p>
    <w:p w14:paraId="66534A50" w14:textId="77777777" w:rsidR="002449A5" w:rsidRDefault="002449A5" w:rsidP="002449A5">
      <w:pPr>
        <w:pStyle w:val="NormalBulletround"/>
      </w:pPr>
      <w:r>
        <w:t>A final report to ORR and Network Rail on the outcomes for each subject area and next steps.</w:t>
      </w:r>
    </w:p>
    <w:p w14:paraId="2456CEDC" w14:textId="77777777" w:rsidR="002449A5" w:rsidRDefault="002449A5" w:rsidP="002449A5">
      <w:pPr>
        <w:pStyle w:val="NormalBulletround"/>
        <w:numPr>
          <w:ilvl w:val="0"/>
          <w:numId w:val="0"/>
        </w:numPr>
        <w:ind w:left="567"/>
      </w:pPr>
      <w:r>
        <w:t xml:space="preserve">The supplier should prepare a project plan and present it with the proposal. If a contract is awarded to the supplier, the plan should be kept </w:t>
      </w:r>
      <w:proofErr w:type="gramStart"/>
      <w:r>
        <w:t>up-to-date</w:t>
      </w:r>
      <w:proofErr w:type="gramEnd"/>
      <w:r>
        <w:t xml:space="preserve">. </w:t>
      </w:r>
    </w:p>
    <w:p w14:paraId="314A81B3" w14:textId="197B6229" w:rsidR="002449A5" w:rsidRDefault="00815792" w:rsidP="002449A5">
      <w:pPr>
        <w:pStyle w:val="NormalBulletround"/>
        <w:numPr>
          <w:ilvl w:val="0"/>
          <w:numId w:val="0"/>
        </w:numPr>
      </w:pPr>
      <w:r>
        <w:t>A</w:t>
      </w:r>
      <w:r w:rsidR="002449A5" w:rsidRPr="009A34CB">
        <w:t>nalysis carried out by the Supplier 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2449A5">
        <w:t>.</w:t>
      </w:r>
    </w:p>
    <w:p w14:paraId="125E7736" w14:textId="77777777" w:rsidR="002449A5" w:rsidRDefault="002449A5" w:rsidP="002449A5">
      <w:pPr>
        <w:pStyle w:val="Heading4"/>
      </w:pPr>
      <w:r>
        <w:t>Contract Management Requirements</w:t>
      </w:r>
    </w:p>
    <w:p w14:paraId="4D101B86" w14:textId="77777777" w:rsidR="002449A5" w:rsidRPr="00EB0A31" w:rsidRDefault="002449A5" w:rsidP="002449A5">
      <w:pPr>
        <w:numPr>
          <w:ilvl w:val="1"/>
          <w:numId w:val="34"/>
        </w:numPr>
      </w:pPr>
      <w:r w:rsidRPr="00EB0A31">
        <w:t>A list of key individuals involved in the project and their role/responsibilities will be provided to the supplier at the kick off meeting.</w:t>
      </w:r>
    </w:p>
    <w:p w14:paraId="7DFCB366" w14:textId="77777777" w:rsidR="002449A5" w:rsidRPr="00EB0A31" w:rsidRDefault="002449A5" w:rsidP="002449A5">
      <w:pPr>
        <w:numPr>
          <w:ilvl w:val="1"/>
          <w:numId w:val="34"/>
        </w:numPr>
      </w:pPr>
      <w:r w:rsidRPr="00EB0A31">
        <w:t>Regular updates and engagement are required throughout the project. This includes:</w:t>
      </w:r>
    </w:p>
    <w:p w14:paraId="627B5A72" w14:textId="143F5170" w:rsidR="002449A5" w:rsidRDefault="002449A5" w:rsidP="002449A5">
      <w:pPr>
        <w:numPr>
          <w:ilvl w:val="5"/>
          <w:numId w:val="34"/>
        </w:numPr>
      </w:pPr>
      <w:r>
        <w:t xml:space="preserve">A weekly high-level summary of progress for the duration of the contract, including highlighting risks and areas for escalation to ORR’s Project Manager as early as possible. This </w:t>
      </w:r>
      <w:r w:rsidR="08633CBD">
        <w:t xml:space="preserve">will </w:t>
      </w:r>
      <w:r>
        <w:t>be presented at a short weekly update meeting (which may be in person or online</w:t>
      </w:r>
      <w:proofErr w:type="gramStart"/>
      <w:r>
        <w:t>);</w:t>
      </w:r>
      <w:proofErr w:type="gramEnd"/>
    </w:p>
    <w:p w14:paraId="3149B423" w14:textId="77777777" w:rsidR="002449A5" w:rsidRPr="00EB0A31" w:rsidRDefault="002449A5" w:rsidP="002449A5">
      <w:pPr>
        <w:numPr>
          <w:ilvl w:val="5"/>
          <w:numId w:val="34"/>
        </w:numPr>
      </w:pPr>
      <w:r>
        <w:t xml:space="preserve">Final </w:t>
      </w:r>
      <w:r w:rsidRPr="00EB0A31">
        <w:t xml:space="preserve">deliverables to be presented </w:t>
      </w:r>
      <w:r>
        <w:t xml:space="preserve">to ORR and Network Rail </w:t>
      </w:r>
      <w:r w:rsidRPr="00EB0A31">
        <w:t xml:space="preserve">at </w:t>
      </w:r>
      <w:r>
        <w:t xml:space="preserve">an agreed office location (likely to be ORR’s </w:t>
      </w:r>
      <w:r w:rsidRPr="00EB0A31">
        <w:t xml:space="preserve">London office </w:t>
      </w:r>
      <w:r>
        <w:t>but possibly Birmingham or the Network Rail office in Milton Keynes).</w:t>
      </w:r>
    </w:p>
    <w:p w14:paraId="73906BB1" w14:textId="77777777" w:rsidR="002449A5" w:rsidRDefault="002449A5" w:rsidP="002449A5">
      <w:pPr>
        <w:pStyle w:val="Heading3"/>
      </w:pPr>
      <w:bookmarkStart w:id="19" w:name="_Toc203571241"/>
      <w:bookmarkStart w:id="20" w:name="_Toc204170984"/>
      <w:r>
        <w:lastRenderedPageBreak/>
        <w:t>2.4 Project Timescales</w:t>
      </w:r>
      <w:bookmarkEnd w:id="19"/>
      <w:bookmarkEnd w:id="20"/>
    </w:p>
    <w:p w14:paraId="0680625C" w14:textId="77777777" w:rsidR="002449A5" w:rsidRDefault="002449A5" w:rsidP="002449A5">
      <w:r>
        <w:t>The provisional project timetable is as follows:</w:t>
      </w:r>
    </w:p>
    <w:p w14:paraId="064A1D0C" w14:textId="3EC39901" w:rsidR="002449A5" w:rsidRDefault="002449A5" w:rsidP="002449A5">
      <w:pPr>
        <w:pStyle w:val="NormalBulletround"/>
      </w:pPr>
      <w:r>
        <w:t xml:space="preserve">Kick off meeting and commencement </w:t>
      </w:r>
      <w:r w:rsidR="64734E72">
        <w:t xml:space="preserve">w/c </w:t>
      </w:r>
      <w:r>
        <w:t>08/09/2025</w:t>
      </w:r>
    </w:p>
    <w:p w14:paraId="6448FC9F" w14:textId="77777777" w:rsidR="002449A5" w:rsidRDefault="002449A5" w:rsidP="002449A5">
      <w:pPr>
        <w:pStyle w:val="NormalBulletround"/>
      </w:pPr>
      <w:r>
        <w:t>Presentation of key findings and next steps w/c 17/11/2025</w:t>
      </w:r>
    </w:p>
    <w:p w14:paraId="5F10407E" w14:textId="77777777" w:rsidR="002449A5" w:rsidRDefault="002449A5" w:rsidP="002449A5">
      <w:pPr>
        <w:pStyle w:val="NormalBulletround"/>
      </w:pPr>
      <w:r>
        <w:t>Draft report by 25/11/2025</w:t>
      </w:r>
    </w:p>
    <w:p w14:paraId="0D870EB9" w14:textId="77777777" w:rsidR="002449A5" w:rsidRDefault="002449A5" w:rsidP="002449A5">
      <w:pPr>
        <w:pStyle w:val="NormalBulletround"/>
      </w:pPr>
      <w:r>
        <w:t>Final report by 05/12/2025</w:t>
      </w:r>
    </w:p>
    <w:p w14:paraId="114C86BB" w14:textId="77777777" w:rsidR="002449A5" w:rsidRDefault="002449A5" w:rsidP="002449A5">
      <w:pPr>
        <w:pStyle w:val="Heading3"/>
      </w:pPr>
      <w:bookmarkStart w:id="21" w:name="_Toc203571242"/>
      <w:bookmarkStart w:id="22" w:name="_Toc204170985"/>
      <w:r>
        <w:t>2.5 Budget and Payment Schedule</w:t>
      </w:r>
      <w:bookmarkEnd w:id="21"/>
      <w:bookmarkEnd w:id="22"/>
    </w:p>
    <w:p w14:paraId="3FD97E43" w14:textId="77777777" w:rsidR="002449A5" w:rsidRPr="002D6DB3" w:rsidRDefault="002449A5" w:rsidP="002449A5">
      <w:r w:rsidRPr="002D6DB3">
        <w:t>The maximum budget for the core work is £60,000 (inc. of expenses, exc. of VAT). The maximum total contract value (including pre-priced variations) is £75,000.</w:t>
      </w:r>
    </w:p>
    <w:p w14:paraId="15CDB160" w14:textId="77777777" w:rsidR="002449A5" w:rsidRPr="002D6DB3" w:rsidRDefault="002449A5" w:rsidP="002449A5">
      <w:r w:rsidRPr="002D6DB3">
        <w:t>Payment of the core work will be paid on the delivery and acceptance by ORR of all required outputs and deliverables. The variations will be paid after each variation is complete and accepted by ORR.</w:t>
      </w:r>
    </w:p>
    <w:p w14:paraId="0F1A6BF9" w14:textId="77777777" w:rsidR="002449A5" w:rsidRDefault="002449A5" w:rsidP="002449A5">
      <w:pPr>
        <w:pStyle w:val="Heading3"/>
      </w:pPr>
      <w:bookmarkStart w:id="23" w:name="_Toc203571243"/>
      <w:bookmarkStart w:id="24" w:name="_Toc204170986"/>
      <w:r w:rsidRPr="00AF7AF9">
        <w:t>2.6 Further project related information for bidders</w:t>
      </w:r>
      <w:bookmarkEnd w:id="23"/>
      <w:bookmarkEnd w:id="24"/>
    </w:p>
    <w:p w14:paraId="03ACD680" w14:textId="77777777" w:rsidR="002449A5" w:rsidRDefault="002449A5" w:rsidP="002449A5">
      <w:pPr>
        <w:pStyle w:val="Heading4"/>
      </w:pPr>
      <w:r>
        <w:t>Intellectual Property Rights</w:t>
      </w:r>
    </w:p>
    <w:p w14:paraId="18AD91F8" w14:textId="77777777" w:rsidR="002449A5" w:rsidRDefault="002449A5" w:rsidP="002449A5">
      <w:r>
        <w:t xml:space="preserve">ORR will own the Intellectual Property Rights for all project related documentation and artefacts. </w:t>
      </w:r>
    </w:p>
    <w:p w14:paraId="55C583AD" w14:textId="77777777" w:rsidR="002449A5" w:rsidRDefault="002449A5" w:rsidP="002449A5">
      <w:pPr>
        <w:pStyle w:val="Heading4"/>
      </w:pPr>
      <w:r>
        <w:t>Transparency requirements</w:t>
      </w:r>
    </w:p>
    <w:p w14:paraId="1559609D" w14:textId="77777777" w:rsidR="002449A5" w:rsidRDefault="002449A5" w:rsidP="002449A5">
      <w:r>
        <w:t xml:space="preserve">Please note ORR is required to ensure that any new procurement opportunity above £25,000 (excluding VAT) is published on Central Digital Platform,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20DC1591" w14:textId="77777777" w:rsidR="002449A5" w:rsidRDefault="002449A5" w:rsidP="002449A5">
      <w:pPr>
        <w:pStyle w:val="Heading4"/>
      </w:pPr>
      <w:r>
        <w:t>Confidentiality</w:t>
      </w:r>
    </w:p>
    <w:p w14:paraId="36342DCC" w14:textId="77777777" w:rsidR="002449A5" w:rsidRDefault="002449A5" w:rsidP="002449A5">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0ACDC7F3" w14:textId="77777777" w:rsidR="002449A5" w:rsidRDefault="002449A5" w:rsidP="002449A5">
      <w:pPr>
        <w:pStyle w:val="Heading4"/>
      </w:pPr>
      <w:r>
        <w:lastRenderedPageBreak/>
        <w:t>Sub-Contractors</w:t>
      </w:r>
    </w:p>
    <w:p w14:paraId="137C6AC7" w14:textId="77777777" w:rsidR="002449A5" w:rsidRDefault="002449A5" w:rsidP="002449A5">
      <w:pPr>
        <w:keepNext/>
      </w:pPr>
      <w:r>
        <w:t>Contractors may use sub-contractors subject to the following:</w:t>
      </w:r>
    </w:p>
    <w:p w14:paraId="2719224C" w14:textId="77777777" w:rsidR="002449A5" w:rsidRDefault="002449A5" w:rsidP="002449A5">
      <w:pPr>
        <w:pStyle w:val="NormalBulletround"/>
      </w:pPr>
      <w:r>
        <w:t xml:space="preserve">That the Contractor assumes unconditional responsibility for the overall work and its </w:t>
      </w:r>
      <w:proofErr w:type="gramStart"/>
      <w:r>
        <w:t>quality;</w:t>
      </w:r>
      <w:proofErr w:type="gramEnd"/>
    </w:p>
    <w:p w14:paraId="0A457476" w14:textId="77777777" w:rsidR="002449A5" w:rsidRDefault="002449A5" w:rsidP="002449A5">
      <w:pPr>
        <w:pStyle w:val="NormalBulletround"/>
      </w:pPr>
      <w:r>
        <w:t xml:space="preserve">That individual sub-contractors are clearly identified, with fee rates and grades made explicit to the same level of detail as for the members of the lead consulting team. </w:t>
      </w:r>
    </w:p>
    <w:p w14:paraId="259184D9" w14:textId="77777777" w:rsidR="002449A5" w:rsidRDefault="002449A5" w:rsidP="002449A5">
      <w:r>
        <w:t>Internal relationships between the Contractor and its sub-contractors shall be the entire responsibility of the Contractor.  Failure to meet deadlines or to deliver work packages by a subcontractor will be attributed by ORR entirely to the Contractor.</w:t>
      </w:r>
    </w:p>
    <w:p w14:paraId="5AA2323A" w14:textId="77777777" w:rsidR="002449A5" w:rsidRDefault="002449A5" w:rsidP="002449A5">
      <w:pPr>
        <w:pStyle w:val="Heading4"/>
      </w:pPr>
      <w:r>
        <w:t>Conflict of Interest</w:t>
      </w:r>
    </w:p>
    <w:p w14:paraId="1B6DBA28" w14:textId="77777777" w:rsidR="002449A5" w:rsidRDefault="002449A5" w:rsidP="002449A5">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5B8B5743" w14:textId="77777777" w:rsidR="002449A5" w:rsidRDefault="002449A5" w:rsidP="002449A5">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0B9F912A" w14:textId="77777777" w:rsidR="002449A5" w:rsidRDefault="002449A5" w:rsidP="002449A5">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0390BA59" w14:textId="77777777" w:rsidR="002449A5" w:rsidRDefault="002449A5" w:rsidP="002449A5">
      <w:pPr>
        <w:pStyle w:val="Heading2"/>
      </w:pPr>
      <w:bookmarkStart w:id="25" w:name="_Toc203571244"/>
      <w:bookmarkStart w:id="26" w:name="_Toc204170987"/>
      <w:r>
        <w:lastRenderedPageBreak/>
        <w:t>Tender Response and Evaluation Criteria</w:t>
      </w:r>
      <w:bookmarkEnd w:id="25"/>
      <w:bookmarkEnd w:id="26"/>
    </w:p>
    <w:p w14:paraId="6249A3C0" w14:textId="77777777" w:rsidR="002449A5" w:rsidRDefault="002449A5" w:rsidP="002449A5">
      <w:pPr>
        <w:pStyle w:val="Heading3"/>
      </w:pPr>
      <w:bookmarkStart w:id="27" w:name="_Toc203571245"/>
      <w:bookmarkStart w:id="28" w:name="_Toc204170988"/>
      <w:r>
        <w:t>3.1 The Tender Response</w:t>
      </w:r>
      <w:bookmarkEnd w:id="27"/>
      <w:bookmarkEnd w:id="28"/>
    </w:p>
    <w:p w14:paraId="3E1BD82A" w14:textId="77777777" w:rsidR="002449A5" w:rsidRDefault="002449A5" w:rsidP="002449A5">
      <w:r>
        <w:t>The proposals for this project should include an outline of how bidders will meet the requirement outlined in section (ii) “Statement of Requirement”. The following information should be included:</w:t>
      </w:r>
    </w:p>
    <w:p w14:paraId="4D408DD0" w14:textId="77777777" w:rsidR="002449A5" w:rsidRPr="001E7C87" w:rsidRDefault="002449A5" w:rsidP="002449A5">
      <w:pPr>
        <w:pStyle w:val="NormalBulletalpha"/>
        <w:numPr>
          <w:ilvl w:val="1"/>
          <w:numId w:val="29"/>
        </w:numPr>
        <w:rPr>
          <w:b/>
          <w:bCs/>
        </w:rPr>
      </w:pPr>
      <w:r w:rsidRPr="001E7C87">
        <w:rPr>
          <w:b/>
          <w:bCs/>
        </w:rPr>
        <w:t xml:space="preserve">Understanding of customer's requirements </w:t>
      </w:r>
    </w:p>
    <w:p w14:paraId="408D3423" w14:textId="77777777" w:rsidR="002449A5" w:rsidRDefault="002449A5" w:rsidP="002449A5">
      <w:pPr>
        <w:pStyle w:val="NormalBullet-"/>
      </w:pPr>
      <w:r>
        <w:t xml:space="preserve">Demonstrate an understanding of the requirement and overall aims of the project. </w:t>
      </w:r>
    </w:p>
    <w:p w14:paraId="0415F8D0" w14:textId="77777777" w:rsidR="002449A5" w:rsidRPr="001E7C87" w:rsidRDefault="002449A5" w:rsidP="002449A5">
      <w:pPr>
        <w:pStyle w:val="NormalBulletalpha"/>
        <w:rPr>
          <w:b/>
          <w:bCs/>
        </w:rPr>
      </w:pPr>
      <w:r w:rsidRPr="001E7C87">
        <w:rPr>
          <w:b/>
          <w:bCs/>
        </w:rPr>
        <w:t>Approach to customer's requirements</w:t>
      </w:r>
    </w:p>
    <w:p w14:paraId="59F6EBB9" w14:textId="77777777" w:rsidR="002449A5" w:rsidRDefault="002449A5" w:rsidP="002449A5">
      <w:pPr>
        <w:pStyle w:val="NormalBullet-"/>
      </w:pPr>
      <w:r>
        <w:t xml:space="preserve">Provide an explanation of the proposed approach and any methodologies bidders will work </w:t>
      </w:r>
      <w:proofErr w:type="gramStart"/>
      <w:r>
        <w:t>to;</w:t>
      </w:r>
      <w:proofErr w:type="gramEnd"/>
    </w:p>
    <w:p w14:paraId="70BDFFD5" w14:textId="77777777" w:rsidR="002449A5" w:rsidRDefault="002449A5" w:rsidP="002449A5">
      <w:pPr>
        <w:pStyle w:val="NormalBullet-"/>
      </w:pPr>
      <w:r>
        <w:t xml:space="preserve">Details of your assumptions and/or constraints/dependencies made in relation to the project </w:t>
      </w:r>
    </w:p>
    <w:p w14:paraId="440C703C" w14:textId="77777777" w:rsidR="002449A5" w:rsidRDefault="002449A5" w:rsidP="002449A5">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2C3A9054" w14:textId="77777777" w:rsidR="002449A5" w:rsidRDefault="002449A5" w:rsidP="002449A5">
      <w:pPr>
        <w:pStyle w:val="NormalBullet-"/>
      </w:pPr>
      <w:r>
        <w:t>An understanding of the risks, and explain how they would be mitigated to ensure delivery</w:t>
      </w:r>
    </w:p>
    <w:p w14:paraId="5DBFBAE2" w14:textId="77777777" w:rsidR="002449A5" w:rsidRPr="008E5039" w:rsidRDefault="002449A5" w:rsidP="002449A5">
      <w:pPr>
        <w:pStyle w:val="NormalBullet-"/>
        <w:rPr>
          <w:b/>
          <w:bCs/>
          <w:color w:val="B1173B"/>
        </w:rPr>
      </w:pPr>
      <w:r w:rsidRPr="008E5039">
        <w:t xml:space="preserve">Details of your approach to our security requirements as outlined in the SOR. </w:t>
      </w:r>
    </w:p>
    <w:p w14:paraId="1F715E2C" w14:textId="77777777" w:rsidR="002449A5" w:rsidRDefault="002449A5" w:rsidP="002449A5">
      <w:pPr>
        <w:pStyle w:val="NormalBullet-"/>
      </w:pPr>
      <w:r>
        <w:t xml:space="preserve">What support bidders will require from </w:t>
      </w:r>
      <w:proofErr w:type="gramStart"/>
      <w:r>
        <w:t>ORR;</w:t>
      </w:r>
      <w:proofErr w:type="gramEnd"/>
      <w:r>
        <w:t xml:space="preserve"> </w:t>
      </w:r>
    </w:p>
    <w:p w14:paraId="5B36914E" w14:textId="77777777" w:rsidR="002449A5" w:rsidRPr="001E7C87" w:rsidRDefault="002449A5" w:rsidP="002449A5">
      <w:pPr>
        <w:pStyle w:val="NormalBulletalpha"/>
        <w:rPr>
          <w:b/>
          <w:bCs/>
        </w:rPr>
      </w:pPr>
      <w:r w:rsidRPr="001E7C87">
        <w:rPr>
          <w:b/>
          <w:bCs/>
        </w:rPr>
        <w:t>Proposed delivery team</w:t>
      </w:r>
    </w:p>
    <w:p w14:paraId="57713693" w14:textId="77777777" w:rsidR="002449A5" w:rsidRDefault="002449A5" w:rsidP="002449A5">
      <w:pPr>
        <w:pStyle w:val="NormalBullet-"/>
      </w:pPr>
      <w:r>
        <w:t xml:space="preserve">Key personnel including details of how their key skills, experience and qualifications align to the delivery of the project; and </w:t>
      </w:r>
    </w:p>
    <w:p w14:paraId="2D478C0E" w14:textId="77777777" w:rsidR="002449A5" w:rsidRDefault="002449A5" w:rsidP="002449A5">
      <w:pPr>
        <w:pStyle w:val="NormalBullet-"/>
      </w:pPr>
      <w:r>
        <w:t xml:space="preserve">Project roles and responsibilities </w:t>
      </w:r>
    </w:p>
    <w:p w14:paraId="2CD4C915" w14:textId="77777777" w:rsidR="002449A5" w:rsidRDefault="002449A5" w:rsidP="002449A5">
      <w:pPr>
        <w:pStyle w:val="NormalBullet-"/>
      </w:pPr>
      <w:r>
        <w:lastRenderedPageBreak/>
        <w:t>Confirmation that you have carried out the necessary employment checks (e.g. right to work in the UK)</w:t>
      </w:r>
    </w:p>
    <w:p w14:paraId="7A32F5DB" w14:textId="77777777" w:rsidR="002449A5" w:rsidRDefault="002449A5" w:rsidP="002449A5">
      <w:pPr>
        <w:pStyle w:val="NormalBullet-"/>
      </w:pPr>
      <w:r>
        <w:t>Some relevant examples of previous work that bidders have carried out (e.g. case studies)</w:t>
      </w:r>
      <w:r w:rsidRPr="721EE8A7">
        <w:rPr>
          <w:color w:val="B1173B" w:themeColor="accent1"/>
        </w:rPr>
        <w:t xml:space="preserve"> </w:t>
      </w:r>
      <w:r>
        <w:t>or details of at least two relevant reference projects along with contact details of clients</w:t>
      </w:r>
    </w:p>
    <w:p w14:paraId="100EBA7D" w14:textId="77777777" w:rsidR="002449A5" w:rsidRPr="001E7C87" w:rsidRDefault="002449A5" w:rsidP="002449A5">
      <w:pPr>
        <w:pStyle w:val="NormalBulletalpha"/>
        <w:rPr>
          <w:b/>
          <w:bCs/>
        </w:rPr>
      </w:pPr>
      <w:r w:rsidRPr="001E7C87">
        <w:rPr>
          <w:b/>
          <w:bCs/>
        </w:rPr>
        <w:t>Pricing</w:t>
      </w:r>
    </w:p>
    <w:p w14:paraId="2014FE7E" w14:textId="77777777" w:rsidR="002449A5" w:rsidRDefault="002449A5" w:rsidP="002449A5">
      <w:r>
        <w:t>A fixed fee for the project inclusive of all expense. This should include a breakdown of the personnel who will be involved with the project, along with associated charge rates and anticipated time inputs that can be reconciled to the fixed fee.</w:t>
      </w:r>
    </w:p>
    <w:p w14:paraId="6073DA46" w14:textId="77777777" w:rsidR="002449A5" w:rsidRPr="007062A6" w:rsidRDefault="002449A5" w:rsidP="002449A5">
      <w:pPr>
        <w:pStyle w:val="NormalBulletalpha"/>
        <w:rPr>
          <w:b/>
          <w:bCs/>
        </w:rPr>
      </w:pPr>
      <w:r w:rsidRPr="007062A6">
        <w:rPr>
          <w:b/>
          <w:bCs/>
        </w:rPr>
        <w:t>Conflicts of Interest</w:t>
      </w:r>
    </w:p>
    <w:p w14:paraId="5789999A" w14:textId="77777777" w:rsidR="002449A5" w:rsidRPr="001768F1" w:rsidRDefault="002449A5" w:rsidP="002449A5">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54D6918B" w14:textId="77777777" w:rsidR="002449A5" w:rsidRDefault="002449A5" w:rsidP="002449A5">
      <w:pPr>
        <w:pStyle w:val="Heading3"/>
      </w:pPr>
      <w:bookmarkStart w:id="29" w:name="_Toc203571246"/>
      <w:bookmarkStart w:id="30" w:name="_Toc204170989"/>
      <w:r>
        <w:t>3.2 Evaluation Criteria</w:t>
      </w:r>
      <w:bookmarkEnd w:id="29"/>
      <w:bookmarkEnd w:id="30"/>
    </w:p>
    <w:p w14:paraId="469A7137" w14:textId="77777777" w:rsidR="002449A5" w:rsidRDefault="002449A5" w:rsidP="002449A5">
      <w:r w:rsidRPr="002D2997">
        <w:t>Tenders will be assessed for compliance with procurement and contractual requirements which will include:</w:t>
      </w:r>
    </w:p>
    <w:p w14:paraId="2DF61E27" w14:textId="77777777" w:rsidR="002449A5" w:rsidRDefault="002449A5" w:rsidP="002449A5">
      <w:pPr>
        <w:pStyle w:val="NormalBulletround"/>
      </w:pPr>
      <w:r>
        <w:t>Completeness of the tender information</w:t>
      </w:r>
    </w:p>
    <w:p w14:paraId="55EF8978" w14:textId="77777777" w:rsidR="002449A5" w:rsidRDefault="002449A5" w:rsidP="002449A5">
      <w:pPr>
        <w:pStyle w:val="NormalBulletround"/>
      </w:pPr>
      <w:r>
        <w:t>Completed Declaration Form of Tender and Disclaimer</w:t>
      </w:r>
    </w:p>
    <w:p w14:paraId="6179AF7C" w14:textId="77777777" w:rsidR="002449A5" w:rsidRDefault="002449A5" w:rsidP="002449A5">
      <w:pPr>
        <w:pStyle w:val="NormalBulletround"/>
      </w:pPr>
      <w:r>
        <w:t>Tender submitted in accordance with the conditions and instructions for tendering</w:t>
      </w:r>
    </w:p>
    <w:p w14:paraId="144E21A9" w14:textId="77777777" w:rsidR="002449A5" w:rsidRDefault="002449A5" w:rsidP="002449A5">
      <w:pPr>
        <w:pStyle w:val="NormalBulletround"/>
      </w:pPr>
      <w:r>
        <w:t>Tender submitted by the closing date and time</w:t>
      </w:r>
    </w:p>
    <w:p w14:paraId="146DFC4E" w14:textId="77777777" w:rsidR="002449A5" w:rsidRDefault="002449A5" w:rsidP="002449A5">
      <w:pPr>
        <w:pStyle w:val="NormalBulletround"/>
      </w:pPr>
      <w:r>
        <w:t>Compliance with contractual arrangements</w:t>
      </w:r>
    </w:p>
    <w:p w14:paraId="5A7500BF" w14:textId="77777777" w:rsidR="002449A5" w:rsidRPr="00FF2534" w:rsidRDefault="002449A5" w:rsidP="002449A5">
      <w:pPr>
        <w:pStyle w:val="NormalBulletround"/>
        <w:rPr>
          <w:b/>
          <w:bCs/>
          <w:color w:val="FF0000"/>
        </w:rPr>
      </w:pPr>
      <w:bookmarkStart w:id="31" w:name="_Hlk174010684"/>
      <w:r w:rsidRPr="008E5039">
        <w:t xml:space="preserve">Submission of Cyber Essentials or ISO27000 certification (or equivalent). </w:t>
      </w:r>
    </w:p>
    <w:bookmarkEnd w:id="31"/>
    <w:p w14:paraId="55AA7301" w14:textId="77777777" w:rsidR="002449A5" w:rsidRDefault="002449A5" w:rsidP="002449A5">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070AE27B" w14:textId="77777777" w:rsidR="002449A5" w:rsidRDefault="002449A5" w:rsidP="002449A5">
      <w:r>
        <w:lastRenderedPageBreak/>
        <w:t xml:space="preserve">The contract will be awarded to the Bidder(s) submitting the </w:t>
      </w:r>
      <w:r w:rsidRPr="005C29ED">
        <w:rPr>
          <w:b/>
          <w:bCs/>
        </w:rPr>
        <w:t>‘most advantageous tender’</w:t>
      </w:r>
      <w:r>
        <w:t xml:space="preserve">. Tenders will be evaluated according to weighted criteria as follows: </w:t>
      </w:r>
    </w:p>
    <w:p w14:paraId="479F387D" w14:textId="77777777" w:rsidR="002449A5" w:rsidRDefault="002449A5" w:rsidP="002449A5">
      <w:pPr>
        <w:pStyle w:val="Heading4"/>
      </w:pPr>
      <w:r>
        <w:t xml:space="preserve">Methodology </w:t>
      </w:r>
      <w:r w:rsidRPr="00970BDE">
        <w:t>(3</w:t>
      </w:r>
      <w:r>
        <w:t>5</w:t>
      </w:r>
      <w:r w:rsidRPr="00970BDE">
        <w:t>%)</w:t>
      </w:r>
    </w:p>
    <w:p w14:paraId="4246E8E7" w14:textId="77777777" w:rsidR="002449A5" w:rsidRDefault="002449A5" w:rsidP="002449A5">
      <w:r>
        <w:t xml:space="preserve">The proposal should set out the methodology by which the project requirement will be initiated, delivered and concluded. </w:t>
      </w:r>
      <w:proofErr w:type="gramStart"/>
      <w:r>
        <w:t>In particular, it</w:t>
      </w:r>
      <w:proofErr w:type="gramEnd"/>
      <w:r>
        <w:t xml:space="preserve"> must:</w:t>
      </w:r>
    </w:p>
    <w:p w14:paraId="3561C96C" w14:textId="77777777" w:rsidR="002449A5" w:rsidRDefault="002449A5" w:rsidP="002449A5">
      <w:pPr>
        <w:pStyle w:val="NormalBulletalpha"/>
        <w:numPr>
          <w:ilvl w:val="1"/>
          <w:numId w:val="30"/>
        </w:numPr>
      </w:pPr>
      <w:r>
        <w:t xml:space="preserve">Explain the methodology and delivery mechanisms to ensure that the requirements of this specification are met in terms of </w:t>
      </w:r>
      <w:proofErr w:type="gramStart"/>
      <w:r>
        <w:t>quality;</w:t>
      </w:r>
      <w:proofErr w:type="gramEnd"/>
    </w:p>
    <w:p w14:paraId="03791678" w14:textId="77777777" w:rsidR="002449A5" w:rsidRDefault="002449A5" w:rsidP="002449A5">
      <w:pPr>
        <w:pStyle w:val="NormalBulletalpha"/>
        <w:numPr>
          <w:ilvl w:val="1"/>
          <w:numId w:val="30"/>
        </w:numPr>
      </w:pPr>
      <w:r>
        <w:t>Explain how your organisation will work in partnership with ORR’s project manager to ensure that the requirement is met</w:t>
      </w:r>
    </w:p>
    <w:p w14:paraId="575FB217" w14:textId="77777777" w:rsidR="002449A5" w:rsidRDefault="002449A5" w:rsidP="002449A5">
      <w:pPr>
        <w:pStyle w:val="NormalBulletalpha"/>
        <w:numPr>
          <w:ilvl w:val="1"/>
          <w:numId w:val="30"/>
        </w:numPr>
      </w:pPr>
      <w:r>
        <w:t xml:space="preserve">Explain how your organisation will engage with external </w:t>
      </w:r>
      <w:proofErr w:type="gramStart"/>
      <w:r>
        <w:t>stakeholders;</w:t>
      </w:r>
      <w:proofErr w:type="gramEnd"/>
    </w:p>
    <w:p w14:paraId="0D3FF48D" w14:textId="77777777" w:rsidR="002449A5" w:rsidRDefault="002449A5" w:rsidP="002449A5">
      <w:pPr>
        <w:pStyle w:val="NormalBulletalpha"/>
        <w:numPr>
          <w:ilvl w:val="1"/>
          <w:numId w:val="30"/>
        </w:numPr>
      </w:pPr>
      <w:r>
        <w:t>Outline how the proposed approach utilises innovative consultation methodologies to develop a diverse and comprehensive evidence-base</w:t>
      </w:r>
    </w:p>
    <w:p w14:paraId="699570AE" w14:textId="77777777" w:rsidR="002449A5" w:rsidRPr="00AD4FE4" w:rsidRDefault="002449A5" w:rsidP="002449A5">
      <w:pPr>
        <w:pStyle w:val="Heading4"/>
        <w:rPr>
          <w:color w:val="auto"/>
        </w:rPr>
      </w:pPr>
      <w:r>
        <w:t xml:space="preserve">Delivery </w:t>
      </w:r>
      <w:r w:rsidRPr="00970BDE">
        <w:t>(2</w:t>
      </w:r>
      <w:r>
        <w:t>0</w:t>
      </w:r>
      <w:r w:rsidRPr="00970BDE">
        <w:t>%)</w:t>
      </w:r>
    </w:p>
    <w:p w14:paraId="2510AA8A" w14:textId="77777777" w:rsidR="002449A5" w:rsidRDefault="002449A5" w:rsidP="002449A5">
      <w:r>
        <w:t xml:space="preserve">The proposal should set out how and when the project requirement will be delivered.  </w:t>
      </w:r>
      <w:proofErr w:type="gramStart"/>
      <w:r>
        <w:t>In particular, it</w:t>
      </w:r>
      <w:proofErr w:type="gramEnd"/>
      <w:r>
        <w:t xml:space="preserve"> must:</w:t>
      </w:r>
    </w:p>
    <w:p w14:paraId="0B6B361F" w14:textId="77777777" w:rsidR="002449A5" w:rsidRDefault="002449A5" w:rsidP="002449A5">
      <w:pPr>
        <w:pStyle w:val="NormalBulletalpha"/>
        <w:numPr>
          <w:ilvl w:val="1"/>
          <w:numId w:val="31"/>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B07E967" w14:textId="77777777" w:rsidR="002449A5" w:rsidRDefault="002449A5" w:rsidP="002449A5">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6991D95A" w14:textId="77777777" w:rsidR="002449A5" w:rsidRDefault="002449A5" w:rsidP="002449A5">
      <w:pPr>
        <w:pStyle w:val="NormalBulletalpha"/>
      </w:pPr>
      <w:r>
        <w:t>Explain the resources that will be allocated to delivering the required outcomes/output, and what other resources can be called upon if required.</w:t>
      </w:r>
    </w:p>
    <w:p w14:paraId="1B4C2FBC" w14:textId="77777777" w:rsidR="002449A5" w:rsidRPr="00374BAE" w:rsidRDefault="002449A5" w:rsidP="002449A5">
      <w:pPr>
        <w:pStyle w:val="Heading4"/>
        <w:rPr>
          <w:color w:val="B1173B"/>
        </w:rPr>
      </w:pPr>
      <w:r>
        <w:t xml:space="preserve">Experience </w:t>
      </w:r>
      <w:r w:rsidRPr="00970BDE">
        <w:t>(20%)</w:t>
      </w:r>
    </w:p>
    <w:p w14:paraId="54CFF133" w14:textId="77777777" w:rsidR="002449A5" w:rsidRDefault="002449A5" w:rsidP="002449A5">
      <w:r>
        <w:t xml:space="preserve">The proposal should set out any experience relevant to the project requirement. </w:t>
      </w:r>
      <w:proofErr w:type="gramStart"/>
      <w:r>
        <w:t>In particular, it</w:t>
      </w:r>
      <w:proofErr w:type="gramEnd"/>
      <w:r>
        <w:t xml:space="preserve"> must:</w:t>
      </w:r>
    </w:p>
    <w:p w14:paraId="48650A51" w14:textId="77777777" w:rsidR="002449A5" w:rsidRDefault="002449A5" w:rsidP="002449A5">
      <w:pPr>
        <w:pStyle w:val="NormalBulletalpha"/>
        <w:numPr>
          <w:ilvl w:val="1"/>
          <w:numId w:val="32"/>
        </w:numPr>
      </w:pPr>
      <w:r>
        <w:t xml:space="preserve">Provide CVs of the consultants who will be delivering the </w:t>
      </w:r>
      <w:proofErr w:type="gramStart"/>
      <w:r>
        <w:t>project;</w:t>
      </w:r>
      <w:proofErr w:type="gramEnd"/>
      <w:r>
        <w:t xml:space="preserve"> </w:t>
      </w:r>
    </w:p>
    <w:p w14:paraId="6749A8A1" w14:textId="77777777" w:rsidR="002449A5" w:rsidRDefault="002449A5" w:rsidP="002449A5">
      <w:pPr>
        <w:pStyle w:val="NormalBulletalpha"/>
        <w:numPr>
          <w:ilvl w:val="1"/>
          <w:numId w:val="32"/>
        </w:numPr>
      </w:pPr>
      <w:r>
        <w:t>Highlight the organisation’s relevant experience for this project, submitting examples of similar projects.</w:t>
      </w:r>
    </w:p>
    <w:p w14:paraId="0FD71536" w14:textId="77777777" w:rsidR="002449A5" w:rsidRDefault="002449A5" w:rsidP="002449A5">
      <w:pPr>
        <w:pStyle w:val="Heading4"/>
      </w:pPr>
      <w:r>
        <w:lastRenderedPageBreak/>
        <w:t xml:space="preserve">Cost / Value for money </w:t>
      </w:r>
      <w:r w:rsidRPr="00970BDE">
        <w:t>(25%)</w:t>
      </w:r>
    </w:p>
    <w:p w14:paraId="49558199" w14:textId="77777777" w:rsidR="002449A5" w:rsidRPr="00663CF5" w:rsidRDefault="002449A5" w:rsidP="002449A5">
      <w:r w:rsidRPr="00663CF5">
        <w:t xml:space="preserve">A </w:t>
      </w:r>
      <w:r w:rsidRPr="00663CF5">
        <w:rPr>
          <w:b/>
          <w:bCs/>
        </w:rPr>
        <w:t>fixed fee</w:t>
      </w:r>
      <w:r w:rsidRPr="00663CF5">
        <w:t xml:space="preserve"> for delivery of the core project requirement (inclusive of all expenses), including a </w:t>
      </w:r>
      <w:r w:rsidRPr="00663CF5">
        <w:rPr>
          <w:b/>
          <w:bCs/>
        </w:rPr>
        <w:t>full price breakdown for each stage of the project</w:t>
      </w:r>
      <w:r w:rsidRPr="00663CF5">
        <w:t xml:space="preserve"> and details of the </w:t>
      </w:r>
      <w:r w:rsidRPr="00663CF5">
        <w:rPr>
          <w:b/>
          <w:bCs/>
        </w:rPr>
        <w:t>day rates</w:t>
      </w:r>
      <w:r w:rsidRPr="00663CF5">
        <w:t xml:space="preserve"> that will apply for the lifetime of this project including using the day rate breakdown for any additional work.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449A5" w:rsidRPr="0020297B" w14:paraId="216D2417" w14:textId="77777777" w:rsidTr="00306F63">
        <w:trPr>
          <w:cantSplit/>
          <w:tblHeader/>
        </w:trPr>
        <w:tc>
          <w:tcPr>
            <w:tcW w:w="1606" w:type="dxa"/>
            <w:tcBorders>
              <w:bottom w:val="single" w:sz="12" w:space="0" w:color="FFFFFF"/>
            </w:tcBorders>
            <w:shd w:val="solid" w:color="253268" w:themeColor="dark2" w:fill="253268" w:themeFill="dark2"/>
          </w:tcPr>
          <w:p w14:paraId="7059A145" w14:textId="77777777" w:rsidR="002449A5" w:rsidRPr="0020297B" w:rsidRDefault="002449A5" w:rsidP="00306F63">
            <w:pPr>
              <w:pStyle w:val="TblHeading"/>
            </w:pPr>
            <w:r w:rsidRPr="0020297B">
              <w:t>Name of consultant</w:t>
            </w:r>
          </w:p>
        </w:tc>
        <w:tc>
          <w:tcPr>
            <w:tcW w:w="1606" w:type="dxa"/>
            <w:tcBorders>
              <w:bottom w:val="single" w:sz="12" w:space="0" w:color="FFFFFF"/>
            </w:tcBorders>
            <w:shd w:val="solid" w:color="253268" w:themeColor="dark2" w:fill="253268" w:themeFill="dark2"/>
          </w:tcPr>
          <w:p w14:paraId="398CDA57" w14:textId="77777777" w:rsidR="002449A5" w:rsidRPr="0020297B" w:rsidRDefault="002449A5" w:rsidP="00306F63">
            <w:pPr>
              <w:pStyle w:val="TblHeading"/>
            </w:pPr>
            <w:r w:rsidRPr="0020297B">
              <w:t>Grade</w:t>
            </w:r>
          </w:p>
        </w:tc>
        <w:tc>
          <w:tcPr>
            <w:tcW w:w="1606" w:type="dxa"/>
            <w:tcBorders>
              <w:bottom w:val="single" w:sz="12" w:space="0" w:color="FFFFFF"/>
            </w:tcBorders>
            <w:shd w:val="solid" w:color="253268" w:themeColor="dark2" w:fill="253268" w:themeFill="dark2"/>
          </w:tcPr>
          <w:p w14:paraId="6BA10243" w14:textId="77777777" w:rsidR="002449A5" w:rsidRPr="0020297B" w:rsidRDefault="002449A5" w:rsidP="00306F63">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1AE0A932" w14:textId="77777777" w:rsidR="002449A5" w:rsidRPr="0020297B" w:rsidRDefault="002449A5" w:rsidP="00306F63">
            <w:pPr>
              <w:pStyle w:val="TblHeading"/>
            </w:pPr>
            <w:r w:rsidRPr="0020297B">
              <w:t>Day rate</w:t>
            </w:r>
          </w:p>
        </w:tc>
        <w:tc>
          <w:tcPr>
            <w:tcW w:w="1606" w:type="dxa"/>
            <w:tcBorders>
              <w:bottom w:val="single" w:sz="12" w:space="0" w:color="FFFFFF"/>
            </w:tcBorders>
            <w:shd w:val="solid" w:color="253268" w:themeColor="dark2" w:fill="253268" w:themeFill="dark2"/>
          </w:tcPr>
          <w:p w14:paraId="37C7A986" w14:textId="77777777" w:rsidR="002449A5" w:rsidRPr="0020297B" w:rsidRDefault="002449A5" w:rsidP="00306F63">
            <w:pPr>
              <w:pStyle w:val="TblHeading"/>
            </w:pPr>
            <w:r w:rsidRPr="0020297B">
              <w:t>Number of days</w:t>
            </w:r>
          </w:p>
        </w:tc>
        <w:tc>
          <w:tcPr>
            <w:tcW w:w="1606" w:type="dxa"/>
            <w:tcBorders>
              <w:bottom w:val="single" w:sz="12" w:space="0" w:color="FFFFFF"/>
            </w:tcBorders>
            <w:shd w:val="solid" w:color="253268" w:themeColor="dark2" w:fill="253268" w:themeFill="dark2"/>
          </w:tcPr>
          <w:p w14:paraId="01BF42AA" w14:textId="77777777" w:rsidR="002449A5" w:rsidRPr="0020297B" w:rsidRDefault="002449A5" w:rsidP="00306F63">
            <w:pPr>
              <w:pStyle w:val="TblHeading"/>
            </w:pPr>
            <w:r w:rsidRPr="0020297B">
              <w:t>Total cost (ex VAT)</w:t>
            </w:r>
          </w:p>
        </w:tc>
      </w:tr>
      <w:tr w:rsidR="002449A5" w:rsidRPr="0020297B" w14:paraId="10517593" w14:textId="77777777" w:rsidTr="00306F63">
        <w:trPr>
          <w:cantSplit/>
        </w:trPr>
        <w:tc>
          <w:tcPr>
            <w:tcW w:w="1606" w:type="dxa"/>
            <w:tcBorders>
              <w:bottom w:val="single" w:sz="12" w:space="0" w:color="FFFFFF"/>
            </w:tcBorders>
            <w:shd w:val="solid" w:color="FFFFFF" w:fill="FFFFFF"/>
          </w:tcPr>
          <w:p w14:paraId="730E3FE6" w14:textId="77777777" w:rsidR="002449A5" w:rsidRPr="0020297B" w:rsidRDefault="002449A5" w:rsidP="00306F63">
            <w:pPr>
              <w:pStyle w:val="TblText"/>
            </w:pPr>
          </w:p>
        </w:tc>
        <w:tc>
          <w:tcPr>
            <w:tcW w:w="1606" w:type="dxa"/>
            <w:tcBorders>
              <w:bottom w:val="single" w:sz="12" w:space="0" w:color="FFFFFF"/>
            </w:tcBorders>
            <w:shd w:val="solid" w:color="FFFFFF" w:fill="FFFFFF"/>
          </w:tcPr>
          <w:p w14:paraId="04B65E95" w14:textId="77777777" w:rsidR="002449A5" w:rsidRPr="0020297B" w:rsidRDefault="002449A5" w:rsidP="00306F63">
            <w:pPr>
              <w:pStyle w:val="TblText"/>
            </w:pPr>
          </w:p>
        </w:tc>
        <w:tc>
          <w:tcPr>
            <w:tcW w:w="1606" w:type="dxa"/>
            <w:tcBorders>
              <w:bottom w:val="single" w:sz="12" w:space="0" w:color="FFFFFF"/>
            </w:tcBorders>
            <w:shd w:val="solid" w:color="FFFFFF" w:fill="FFFFFF"/>
          </w:tcPr>
          <w:p w14:paraId="63572FB3" w14:textId="77777777" w:rsidR="002449A5" w:rsidRPr="0020297B" w:rsidRDefault="002449A5" w:rsidP="00306F63">
            <w:pPr>
              <w:pStyle w:val="TblText"/>
            </w:pPr>
          </w:p>
        </w:tc>
        <w:tc>
          <w:tcPr>
            <w:tcW w:w="1606" w:type="dxa"/>
            <w:tcBorders>
              <w:bottom w:val="single" w:sz="12" w:space="0" w:color="FFFFFF"/>
            </w:tcBorders>
            <w:shd w:val="solid" w:color="FFFFFF" w:fill="FFFFFF"/>
          </w:tcPr>
          <w:p w14:paraId="22CDE15D" w14:textId="77777777" w:rsidR="002449A5" w:rsidRPr="0020297B" w:rsidRDefault="002449A5" w:rsidP="00306F63">
            <w:pPr>
              <w:pStyle w:val="TblText"/>
            </w:pPr>
          </w:p>
        </w:tc>
        <w:tc>
          <w:tcPr>
            <w:tcW w:w="1606" w:type="dxa"/>
            <w:tcBorders>
              <w:bottom w:val="single" w:sz="12" w:space="0" w:color="FFFFFF"/>
            </w:tcBorders>
            <w:shd w:val="solid" w:color="FFFFFF" w:fill="FFFFFF"/>
          </w:tcPr>
          <w:p w14:paraId="4F4B5F83" w14:textId="77777777" w:rsidR="002449A5" w:rsidRPr="0020297B" w:rsidRDefault="002449A5" w:rsidP="00306F63">
            <w:pPr>
              <w:pStyle w:val="TblText"/>
            </w:pPr>
          </w:p>
        </w:tc>
        <w:tc>
          <w:tcPr>
            <w:tcW w:w="1606" w:type="dxa"/>
            <w:tcBorders>
              <w:bottom w:val="single" w:sz="12" w:space="0" w:color="FFFFFF"/>
            </w:tcBorders>
            <w:shd w:val="solid" w:color="FFFFFF" w:fill="FFFFFF"/>
          </w:tcPr>
          <w:p w14:paraId="199BFD4F" w14:textId="77777777" w:rsidR="002449A5" w:rsidRPr="0020297B" w:rsidRDefault="002449A5" w:rsidP="00306F63">
            <w:pPr>
              <w:pStyle w:val="TblText"/>
            </w:pPr>
          </w:p>
        </w:tc>
      </w:tr>
      <w:tr w:rsidR="002449A5" w:rsidRPr="0020297B" w14:paraId="009F20A4" w14:textId="77777777" w:rsidTr="00306F63">
        <w:trPr>
          <w:cantSplit/>
        </w:trPr>
        <w:tc>
          <w:tcPr>
            <w:tcW w:w="1606" w:type="dxa"/>
            <w:tcBorders>
              <w:bottom w:val="single" w:sz="12" w:space="0" w:color="FFFFFF"/>
            </w:tcBorders>
            <w:shd w:val="solid" w:color="E4E7F5" w:themeColor="text2" w:themeTint="19" w:fill="E4E7F5" w:themeFill="text2" w:themeFillTint="19"/>
          </w:tcPr>
          <w:p w14:paraId="201852E2" w14:textId="77777777" w:rsidR="002449A5" w:rsidRPr="0020297B" w:rsidRDefault="002449A5" w:rsidP="00306F63">
            <w:pPr>
              <w:pStyle w:val="TblText"/>
            </w:pPr>
          </w:p>
        </w:tc>
        <w:tc>
          <w:tcPr>
            <w:tcW w:w="1606" w:type="dxa"/>
            <w:tcBorders>
              <w:bottom w:val="single" w:sz="12" w:space="0" w:color="FFFFFF"/>
            </w:tcBorders>
            <w:shd w:val="solid" w:color="E4E7F5" w:themeColor="text2" w:themeTint="19" w:fill="E4E7F5" w:themeFill="text2" w:themeFillTint="19"/>
          </w:tcPr>
          <w:p w14:paraId="603070B5" w14:textId="77777777" w:rsidR="002449A5" w:rsidRPr="0020297B" w:rsidRDefault="002449A5" w:rsidP="00306F63">
            <w:pPr>
              <w:pStyle w:val="TblText"/>
            </w:pPr>
          </w:p>
        </w:tc>
        <w:tc>
          <w:tcPr>
            <w:tcW w:w="1606" w:type="dxa"/>
            <w:tcBorders>
              <w:bottom w:val="single" w:sz="12" w:space="0" w:color="FFFFFF"/>
            </w:tcBorders>
            <w:shd w:val="solid" w:color="E4E7F5" w:themeColor="text2" w:themeTint="19" w:fill="E4E7F5" w:themeFill="text2" w:themeFillTint="19"/>
          </w:tcPr>
          <w:p w14:paraId="3D60A9F8" w14:textId="77777777" w:rsidR="002449A5" w:rsidRPr="0020297B" w:rsidRDefault="002449A5" w:rsidP="00306F63">
            <w:pPr>
              <w:pStyle w:val="TblText"/>
            </w:pPr>
          </w:p>
        </w:tc>
        <w:tc>
          <w:tcPr>
            <w:tcW w:w="1606" w:type="dxa"/>
            <w:tcBorders>
              <w:bottom w:val="single" w:sz="12" w:space="0" w:color="FFFFFF"/>
            </w:tcBorders>
            <w:shd w:val="solid" w:color="E4E7F5" w:themeColor="text2" w:themeTint="19" w:fill="E4E7F5" w:themeFill="text2" w:themeFillTint="19"/>
          </w:tcPr>
          <w:p w14:paraId="40655D3F" w14:textId="77777777" w:rsidR="002449A5" w:rsidRPr="0020297B" w:rsidRDefault="002449A5" w:rsidP="00306F63">
            <w:pPr>
              <w:pStyle w:val="TblText"/>
            </w:pPr>
          </w:p>
        </w:tc>
        <w:tc>
          <w:tcPr>
            <w:tcW w:w="1606" w:type="dxa"/>
            <w:tcBorders>
              <w:bottom w:val="single" w:sz="12" w:space="0" w:color="FFFFFF"/>
            </w:tcBorders>
            <w:shd w:val="solid" w:color="E4E7F5" w:themeColor="text2" w:themeTint="19" w:fill="E4E7F5" w:themeFill="text2" w:themeFillTint="19"/>
          </w:tcPr>
          <w:p w14:paraId="0BB6FEAD" w14:textId="77777777" w:rsidR="002449A5" w:rsidRPr="0020297B" w:rsidRDefault="002449A5" w:rsidP="00306F63">
            <w:pPr>
              <w:pStyle w:val="TblText"/>
            </w:pPr>
          </w:p>
        </w:tc>
        <w:tc>
          <w:tcPr>
            <w:tcW w:w="1606" w:type="dxa"/>
            <w:tcBorders>
              <w:bottom w:val="single" w:sz="12" w:space="0" w:color="FFFFFF"/>
            </w:tcBorders>
            <w:shd w:val="solid" w:color="E4E7F5" w:themeColor="text2" w:themeTint="19" w:fill="E4E7F5" w:themeFill="text2" w:themeFillTint="19"/>
          </w:tcPr>
          <w:p w14:paraId="0654DC96" w14:textId="77777777" w:rsidR="002449A5" w:rsidRPr="0020297B" w:rsidRDefault="002449A5" w:rsidP="00306F63">
            <w:pPr>
              <w:pStyle w:val="TblText"/>
            </w:pPr>
          </w:p>
        </w:tc>
      </w:tr>
      <w:tr w:rsidR="002449A5" w:rsidRPr="0020297B" w14:paraId="4938639A" w14:textId="77777777" w:rsidTr="00306F63">
        <w:trPr>
          <w:cantSplit/>
        </w:trPr>
        <w:tc>
          <w:tcPr>
            <w:tcW w:w="1606" w:type="dxa"/>
            <w:shd w:val="solid" w:color="FFFFFF" w:fill="FFFFFF"/>
          </w:tcPr>
          <w:p w14:paraId="73B3E541" w14:textId="77777777" w:rsidR="002449A5" w:rsidRPr="0020297B" w:rsidRDefault="002449A5" w:rsidP="00306F63">
            <w:pPr>
              <w:pStyle w:val="TblText"/>
            </w:pPr>
          </w:p>
        </w:tc>
        <w:tc>
          <w:tcPr>
            <w:tcW w:w="1606" w:type="dxa"/>
            <w:shd w:val="solid" w:color="FFFFFF" w:fill="FFFFFF"/>
          </w:tcPr>
          <w:p w14:paraId="576ED8DD" w14:textId="77777777" w:rsidR="002449A5" w:rsidRPr="0020297B" w:rsidRDefault="002449A5" w:rsidP="00306F63">
            <w:pPr>
              <w:pStyle w:val="TblText"/>
            </w:pPr>
          </w:p>
        </w:tc>
        <w:tc>
          <w:tcPr>
            <w:tcW w:w="1606" w:type="dxa"/>
            <w:shd w:val="solid" w:color="FFFFFF" w:fill="FFFFFF"/>
          </w:tcPr>
          <w:p w14:paraId="52826B07" w14:textId="77777777" w:rsidR="002449A5" w:rsidRPr="0020297B" w:rsidRDefault="002449A5" w:rsidP="00306F63">
            <w:pPr>
              <w:pStyle w:val="TblText"/>
            </w:pPr>
          </w:p>
        </w:tc>
        <w:tc>
          <w:tcPr>
            <w:tcW w:w="1606" w:type="dxa"/>
            <w:shd w:val="solid" w:color="FFFFFF" w:fill="FFFFFF"/>
          </w:tcPr>
          <w:p w14:paraId="7050D617" w14:textId="77777777" w:rsidR="002449A5" w:rsidRPr="0020297B" w:rsidRDefault="002449A5" w:rsidP="00306F63">
            <w:pPr>
              <w:pStyle w:val="TblText"/>
            </w:pPr>
          </w:p>
        </w:tc>
        <w:tc>
          <w:tcPr>
            <w:tcW w:w="1606" w:type="dxa"/>
            <w:shd w:val="solid" w:color="FFFFFF" w:fill="FFFFFF"/>
          </w:tcPr>
          <w:p w14:paraId="6832156E" w14:textId="77777777" w:rsidR="002449A5" w:rsidRPr="0020297B" w:rsidRDefault="002449A5" w:rsidP="00306F63">
            <w:pPr>
              <w:pStyle w:val="TblText"/>
            </w:pPr>
          </w:p>
        </w:tc>
        <w:tc>
          <w:tcPr>
            <w:tcW w:w="1606" w:type="dxa"/>
            <w:shd w:val="solid" w:color="FFFFFF" w:fill="FFFFFF"/>
          </w:tcPr>
          <w:p w14:paraId="646D1E83" w14:textId="77777777" w:rsidR="002449A5" w:rsidRPr="0020297B" w:rsidRDefault="002449A5" w:rsidP="00306F63">
            <w:pPr>
              <w:pStyle w:val="TblText"/>
            </w:pPr>
          </w:p>
        </w:tc>
      </w:tr>
    </w:tbl>
    <w:p w14:paraId="1351E6E3" w14:textId="77777777" w:rsidR="002449A5" w:rsidRDefault="002449A5" w:rsidP="002449A5">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2449A5" w:rsidRPr="003E3E52" w14:paraId="0B878135" w14:textId="77777777" w:rsidTr="00306F63">
        <w:trPr>
          <w:trHeight w:val="223"/>
          <w:tblHeader/>
        </w:trPr>
        <w:tc>
          <w:tcPr>
            <w:tcW w:w="1380" w:type="dxa"/>
            <w:tcBorders>
              <w:bottom w:val="single" w:sz="12" w:space="0" w:color="FFFFFF"/>
            </w:tcBorders>
            <w:shd w:val="solid" w:color="253268" w:themeColor="dark2" w:fill="253268" w:themeFill="dark2"/>
            <w:vAlign w:val="center"/>
          </w:tcPr>
          <w:p w14:paraId="48134112" w14:textId="77777777" w:rsidR="002449A5" w:rsidRPr="003E3E52" w:rsidRDefault="002449A5" w:rsidP="00306F63">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25B428A1" w14:textId="77777777" w:rsidR="002449A5" w:rsidRPr="003E3E52" w:rsidRDefault="002449A5" w:rsidP="00306F63">
            <w:pPr>
              <w:pStyle w:val="TblHeading"/>
            </w:pPr>
            <w:r w:rsidRPr="003E3E52">
              <w:t>Requirement</w:t>
            </w:r>
          </w:p>
        </w:tc>
      </w:tr>
      <w:tr w:rsidR="002449A5" w:rsidRPr="003E3E52" w14:paraId="1767B434" w14:textId="77777777" w:rsidTr="00306F63">
        <w:trPr>
          <w:trHeight w:hRule="exact" w:val="990"/>
        </w:trPr>
        <w:tc>
          <w:tcPr>
            <w:tcW w:w="1380" w:type="dxa"/>
            <w:tcBorders>
              <w:bottom w:val="single" w:sz="12" w:space="0" w:color="FFFFFF"/>
            </w:tcBorders>
            <w:shd w:val="solid" w:color="FFFFFF" w:fill="FFFFFF"/>
          </w:tcPr>
          <w:p w14:paraId="68748420" w14:textId="77777777" w:rsidR="002449A5" w:rsidRPr="003E3E52" w:rsidRDefault="002449A5" w:rsidP="00306F63">
            <w:pPr>
              <w:pStyle w:val="TblText"/>
            </w:pPr>
            <w:r w:rsidRPr="003E3E52">
              <w:t>Junior consultant</w:t>
            </w:r>
          </w:p>
        </w:tc>
        <w:tc>
          <w:tcPr>
            <w:tcW w:w="6758" w:type="dxa"/>
            <w:tcBorders>
              <w:bottom w:val="single" w:sz="12" w:space="0" w:color="FFFFFF"/>
            </w:tcBorders>
            <w:shd w:val="solid" w:color="FFFFFF" w:fill="FFFFFF"/>
          </w:tcPr>
          <w:p w14:paraId="58FDB077" w14:textId="77777777" w:rsidR="002449A5" w:rsidRPr="003E3E52" w:rsidRDefault="002449A5" w:rsidP="00306F63">
            <w:pPr>
              <w:pStyle w:val="TblText"/>
            </w:pPr>
            <w:r w:rsidRPr="003E3E52">
              <w:t>Demonstrable experience in a wide range of projects in their specialist field. Evidence of client facing experience and support services to wider consultancy projects.</w:t>
            </w:r>
          </w:p>
        </w:tc>
      </w:tr>
      <w:tr w:rsidR="002449A5" w:rsidRPr="003E3E52" w14:paraId="555FC022" w14:textId="77777777" w:rsidTr="00306F63">
        <w:trPr>
          <w:trHeight w:hRule="exact" w:val="990"/>
        </w:trPr>
        <w:tc>
          <w:tcPr>
            <w:tcW w:w="1380" w:type="dxa"/>
            <w:tcBorders>
              <w:bottom w:val="single" w:sz="12" w:space="0" w:color="FFFFFF"/>
            </w:tcBorders>
            <w:shd w:val="solid" w:color="E4E7F5" w:themeColor="text2" w:themeTint="19" w:fill="E4E7F5" w:themeFill="text2" w:themeFillTint="19"/>
          </w:tcPr>
          <w:p w14:paraId="0078E2BF" w14:textId="77777777" w:rsidR="002449A5" w:rsidRPr="003E3E52" w:rsidRDefault="002449A5" w:rsidP="00306F63">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389F612D" w14:textId="77777777" w:rsidR="002449A5" w:rsidRPr="003E3E52" w:rsidRDefault="002449A5" w:rsidP="00306F63">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2449A5" w:rsidRPr="003E3E52" w14:paraId="1F7B25D6" w14:textId="77777777" w:rsidTr="00306F63">
        <w:trPr>
          <w:trHeight w:hRule="exact" w:val="1262"/>
        </w:trPr>
        <w:tc>
          <w:tcPr>
            <w:tcW w:w="1380" w:type="dxa"/>
            <w:tcBorders>
              <w:bottom w:val="single" w:sz="12" w:space="0" w:color="FFFFFF"/>
            </w:tcBorders>
            <w:shd w:val="solid" w:color="FFFFFF" w:fill="FFFFFF"/>
          </w:tcPr>
          <w:p w14:paraId="555AB3EA" w14:textId="77777777" w:rsidR="002449A5" w:rsidRPr="003E3E52" w:rsidRDefault="002449A5" w:rsidP="00306F63">
            <w:pPr>
              <w:pStyle w:val="TblText"/>
            </w:pPr>
            <w:r w:rsidRPr="003E3E52">
              <w:t>Senior Consultant</w:t>
            </w:r>
          </w:p>
        </w:tc>
        <w:tc>
          <w:tcPr>
            <w:tcW w:w="6758" w:type="dxa"/>
            <w:tcBorders>
              <w:bottom w:val="single" w:sz="12" w:space="0" w:color="FFFFFF"/>
            </w:tcBorders>
            <w:shd w:val="solid" w:color="FFFFFF" w:fill="FFFFFF"/>
          </w:tcPr>
          <w:p w14:paraId="13B4F080" w14:textId="77777777" w:rsidR="002449A5" w:rsidRPr="003E3E52" w:rsidRDefault="002449A5" w:rsidP="00306F63">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2449A5" w:rsidRPr="003E3E52" w14:paraId="074673A9" w14:textId="77777777" w:rsidTr="00306F63">
        <w:trPr>
          <w:trHeight w:hRule="exact" w:val="1416"/>
        </w:trPr>
        <w:tc>
          <w:tcPr>
            <w:tcW w:w="1380" w:type="dxa"/>
            <w:tcBorders>
              <w:bottom w:val="single" w:sz="12" w:space="0" w:color="FFFFFF"/>
            </w:tcBorders>
            <w:shd w:val="solid" w:color="E4E7F5" w:themeColor="text2" w:themeTint="19" w:fill="E4E7F5" w:themeFill="text2" w:themeFillTint="19"/>
          </w:tcPr>
          <w:p w14:paraId="52673338" w14:textId="77777777" w:rsidR="002449A5" w:rsidRPr="003E3E52" w:rsidRDefault="002449A5" w:rsidP="00306F63">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5C24D930" w14:textId="77777777" w:rsidR="002449A5" w:rsidRPr="003E3E52" w:rsidRDefault="002449A5" w:rsidP="00306F63">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0CACEB38" w14:textId="77777777" w:rsidR="002449A5" w:rsidRPr="003E3E52" w:rsidRDefault="002449A5" w:rsidP="00306F63">
            <w:pPr>
              <w:pStyle w:val="TblText"/>
            </w:pPr>
          </w:p>
          <w:p w14:paraId="60C88295" w14:textId="77777777" w:rsidR="002449A5" w:rsidRPr="003E3E52" w:rsidRDefault="002449A5" w:rsidP="00306F63">
            <w:pPr>
              <w:pStyle w:val="TblText"/>
            </w:pPr>
          </w:p>
        </w:tc>
      </w:tr>
      <w:tr w:rsidR="002449A5" w:rsidRPr="003E3E52" w14:paraId="4FAFE313" w14:textId="77777777" w:rsidTr="00306F63">
        <w:trPr>
          <w:trHeight w:hRule="exact" w:val="1411"/>
        </w:trPr>
        <w:tc>
          <w:tcPr>
            <w:tcW w:w="1380" w:type="dxa"/>
            <w:tcBorders>
              <w:bottom w:val="single" w:sz="12" w:space="0" w:color="FFFFFF"/>
            </w:tcBorders>
            <w:shd w:val="solid" w:color="FFFFFF" w:fill="FFFFFF"/>
          </w:tcPr>
          <w:p w14:paraId="34CFD297" w14:textId="77777777" w:rsidR="002449A5" w:rsidRPr="003E3E52" w:rsidRDefault="002449A5" w:rsidP="00306F63">
            <w:pPr>
              <w:pStyle w:val="TblText"/>
            </w:pPr>
            <w:r w:rsidRPr="003E3E52">
              <w:t>Managing Consultant</w:t>
            </w:r>
          </w:p>
        </w:tc>
        <w:tc>
          <w:tcPr>
            <w:tcW w:w="6758" w:type="dxa"/>
            <w:tcBorders>
              <w:bottom w:val="single" w:sz="12" w:space="0" w:color="FFFFFF"/>
            </w:tcBorders>
            <w:shd w:val="solid" w:color="FFFFFF" w:fill="FFFFFF"/>
          </w:tcPr>
          <w:p w14:paraId="23CECD8A" w14:textId="77777777" w:rsidR="002449A5" w:rsidRPr="003E3E52" w:rsidRDefault="002449A5" w:rsidP="00306F63">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2449A5" w:rsidRPr="003E3E52" w14:paraId="1E599CC2" w14:textId="77777777" w:rsidTr="00306F63">
        <w:trPr>
          <w:trHeight w:hRule="exact" w:val="1419"/>
        </w:trPr>
        <w:tc>
          <w:tcPr>
            <w:tcW w:w="1380" w:type="dxa"/>
            <w:shd w:val="solid" w:color="E4E7F5" w:themeColor="text2" w:themeTint="19" w:fill="E4E7F5" w:themeFill="text2" w:themeFillTint="19"/>
          </w:tcPr>
          <w:p w14:paraId="29A735BB" w14:textId="77777777" w:rsidR="002449A5" w:rsidRPr="003E3E52" w:rsidRDefault="002449A5" w:rsidP="00306F63">
            <w:pPr>
              <w:pStyle w:val="TblText"/>
            </w:pPr>
            <w:r w:rsidRPr="003E3E52">
              <w:t>Director / Partner</w:t>
            </w:r>
          </w:p>
          <w:p w14:paraId="0EC51B02" w14:textId="77777777" w:rsidR="002449A5" w:rsidRPr="003E3E52" w:rsidRDefault="002449A5" w:rsidP="00306F63">
            <w:pPr>
              <w:pStyle w:val="TblText"/>
            </w:pPr>
          </w:p>
        </w:tc>
        <w:tc>
          <w:tcPr>
            <w:tcW w:w="6758" w:type="dxa"/>
            <w:shd w:val="solid" w:color="E4E7F5" w:themeColor="text2" w:themeTint="19" w:fill="E4E7F5" w:themeFill="text2" w:themeFillTint="19"/>
          </w:tcPr>
          <w:p w14:paraId="3AA9C78F" w14:textId="77777777" w:rsidR="002449A5" w:rsidRPr="003E3E52" w:rsidRDefault="002449A5" w:rsidP="00306F63">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6EDF6FDA" w14:textId="77777777" w:rsidR="002449A5" w:rsidRDefault="002449A5" w:rsidP="002449A5"/>
    <w:p w14:paraId="0CD2F2F0" w14:textId="77777777" w:rsidR="002449A5" w:rsidRDefault="002449A5" w:rsidP="002449A5">
      <w:pPr>
        <w:pStyle w:val="Heading4"/>
      </w:pPr>
      <w:r>
        <w:lastRenderedPageBreak/>
        <w:t>Marking scheme</w:t>
      </w:r>
    </w:p>
    <w:p w14:paraId="13BE94AB" w14:textId="77777777" w:rsidR="002449A5" w:rsidRDefault="002449A5" w:rsidP="002449A5">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2449A5" w:rsidRPr="00757472" w14:paraId="46FC137D" w14:textId="77777777" w:rsidTr="00306F63">
        <w:trPr>
          <w:trHeight w:val="300"/>
        </w:trPr>
        <w:tc>
          <w:tcPr>
            <w:tcW w:w="5000" w:type="pct"/>
            <w:gridSpan w:val="3"/>
            <w:shd w:val="clear" w:color="auto" w:fill="253268"/>
            <w:noWrap/>
            <w:vAlign w:val="center"/>
            <w:hideMark/>
          </w:tcPr>
          <w:p w14:paraId="115A0F6F" w14:textId="77777777" w:rsidR="002449A5" w:rsidRPr="00757472" w:rsidRDefault="002449A5" w:rsidP="00306F63">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470EC85A" w14:textId="77777777" w:rsidR="002449A5" w:rsidRPr="00757472" w:rsidRDefault="002449A5" w:rsidP="00306F63">
            <w:pPr>
              <w:widowControl w:val="0"/>
              <w:spacing w:after="0" w:line="276" w:lineRule="auto"/>
              <w:jc w:val="center"/>
              <w:rPr>
                <w:rFonts w:eastAsia="Calibri" w:cs="Arial"/>
                <w:b/>
                <w:bCs/>
                <w:color w:val="FFFFFF"/>
                <w:sz w:val="22"/>
                <w:lang w:val="en-US" w:eastAsia="en-GB"/>
              </w:rPr>
            </w:pPr>
          </w:p>
          <w:p w14:paraId="1D28F2EC" w14:textId="77777777" w:rsidR="002449A5" w:rsidRPr="00757472" w:rsidRDefault="002449A5" w:rsidP="00306F63">
            <w:pPr>
              <w:widowControl w:val="0"/>
              <w:spacing w:after="0" w:line="276" w:lineRule="auto"/>
              <w:jc w:val="center"/>
              <w:rPr>
                <w:rFonts w:eastAsia="Calibri" w:cs="Arial"/>
                <w:b/>
                <w:bCs/>
                <w:color w:val="FFFFFF"/>
                <w:sz w:val="22"/>
                <w:lang w:val="en-US" w:eastAsia="en-GB"/>
              </w:rPr>
            </w:pPr>
          </w:p>
        </w:tc>
      </w:tr>
      <w:tr w:rsidR="002449A5" w:rsidRPr="00757472" w14:paraId="6B6FB356" w14:textId="77777777" w:rsidTr="00306F63">
        <w:trPr>
          <w:trHeight w:val="600"/>
        </w:trPr>
        <w:tc>
          <w:tcPr>
            <w:tcW w:w="637" w:type="pct"/>
            <w:tcBorders>
              <w:top w:val="nil"/>
              <w:right w:val="single" w:sz="4" w:space="0" w:color="FFFFFF"/>
            </w:tcBorders>
            <w:shd w:val="clear" w:color="auto" w:fill="E4E7F5"/>
            <w:noWrap/>
            <w:vAlign w:val="center"/>
            <w:hideMark/>
          </w:tcPr>
          <w:p w14:paraId="4F846E63" w14:textId="77777777" w:rsidR="002449A5" w:rsidRPr="00757472" w:rsidRDefault="002449A5" w:rsidP="00306F63">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268BACD9" w14:textId="77777777" w:rsidR="002449A5" w:rsidRPr="00757472" w:rsidRDefault="002449A5" w:rsidP="00306F63">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5772D55A" w14:textId="77777777" w:rsidR="002449A5" w:rsidRPr="00757472" w:rsidRDefault="002449A5" w:rsidP="00306F63">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2449A5" w:rsidRPr="00757472" w14:paraId="16E9787C" w14:textId="77777777" w:rsidTr="00306F63">
        <w:trPr>
          <w:trHeight w:val="570"/>
        </w:trPr>
        <w:tc>
          <w:tcPr>
            <w:tcW w:w="637" w:type="pct"/>
            <w:tcBorders>
              <w:top w:val="nil"/>
            </w:tcBorders>
            <w:vAlign w:val="center"/>
            <w:hideMark/>
          </w:tcPr>
          <w:p w14:paraId="373FDBAF" w14:textId="77777777" w:rsidR="002449A5" w:rsidRPr="00757472" w:rsidRDefault="002449A5" w:rsidP="00306F63">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27DBA2B7" w14:textId="77777777" w:rsidR="002449A5" w:rsidRPr="00757472" w:rsidRDefault="002449A5" w:rsidP="00306F63">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FFE0DAA" w14:textId="77777777" w:rsidR="002449A5" w:rsidRPr="00757472" w:rsidRDefault="002449A5" w:rsidP="00306F63">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405EFBAA" w14:textId="77777777" w:rsidR="002449A5" w:rsidRPr="00757472" w:rsidRDefault="002449A5" w:rsidP="00306F63">
            <w:pPr>
              <w:widowControl w:val="0"/>
              <w:spacing w:after="0" w:line="240" w:lineRule="auto"/>
              <w:rPr>
                <w:rFonts w:eastAsia="Calibri" w:cs="Arial"/>
                <w:sz w:val="22"/>
                <w:lang w:val="en-US" w:eastAsia="en-GB"/>
              </w:rPr>
            </w:pPr>
          </w:p>
        </w:tc>
      </w:tr>
      <w:tr w:rsidR="002449A5" w:rsidRPr="00757472" w14:paraId="6E8F2E39" w14:textId="77777777" w:rsidTr="00306F63">
        <w:trPr>
          <w:trHeight w:val="1425"/>
        </w:trPr>
        <w:tc>
          <w:tcPr>
            <w:tcW w:w="637" w:type="pct"/>
            <w:tcBorders>
              <w:right w:val="single" w:sz="4" w:space="0" w:color="FFFFFF"/>
            </w:tcBorders>
            <w:shd w:val="clear" w:color="auto" w:fill="E4E7F5"/>
            <w:vAlign w:val="center"/>
            <w:hideMark/>
          </w:tcPr>
          <w:p w14:paraId="15BFEAB7" w14:textId="77777777" w:rsidR="002449A5" w:rsidRPr="00757472" w:rsidRDefault="002449A5" w:rsidP="00306F63">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7E9C34C2" w14:textId="77777777" w:rsidR="002449A5" w:rsidRPr="00757472" w:rsidRDefault="002449A5" w:rsidP="00306F63">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49A10537" w14:textId="77777777" w:rsidR="002449A5" w:rsidRPr="00437772" w:rsidRDefault="002449A5" w:rsidP="00306F63">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4151E9DE" w14:textId="77777777" w:rsidR="002449A5" w:rsidRPr="00757472" w:rsidRDefault="002449A5" w:rsidP="00306F63">
            <w:pPr>
              <w:widowControl w:val="0"/>
              <w:shd w:val="clear" w:color="auto" w:fill="E4E7F5"/>
              <w:spacing w:after="0" w:line="240" w:lineRule="auto"/>
              <w:rPr>
                <w:rFonts w:eastAsia="Calibri" w:cs="Arial"/>
                <w:sz w:val="22"/>
                <w:shd w:val="clear" w:color="auto" w:fill="FFFFFF"/>
                <w:lang w:val="en-US"/>
              </w:rPr>
            </w:pPr>
          </w:p>
          <w:p w14:paraId="7E85D026" w14:textId="77777777" w:rsidR="002449A5" w:rsidRPr="00757472" w:rsidRDefault="002449A5" w:rsidP="00306F63">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addresses </w:t>
            </w:r>
            <w:proofErr w:type="gramStart"/>
            <w:r w:rsidRPr="00757472">
              <w:rPr>
                <w:rFonts w:eastAsia="Calibri" w:cs="Arial"/>
                <w:sz w:val="22"/>
                <w:lang w:val="en-US" w:eastAsia="en-GB"/>
              </w:rPr>
              <w:t>few</w:t>
            </w:r>
            <w:proofErr w:type="gramEnd"/>
            <w:r w:rsidRPr="00757472">
              <w:rPr>
                <w:rFonts w:eastAsia="Calibri" w:cs="Arial"/>
                <w:sz w:val="22"/>
                <w:lang w:val="en-US" w:eastAsia="en-GB"/>
              </w:rPr>
              <w:t xml:space="preserve"> elements of the requirement and contains insufficient/limited detail or explanation to demonstrate how the requirement will be fulfilled.</w:t>
            </w:r>
          </w:p>
        </w:tc>
      </w:tr>
      <w:tr w:rsidR="002449A5" w:rsidRPr="00757472" w14:paraId="13CCA129" w14:textId="77777777" w:rsidTr="00306F63">
        <w:trPr>
          <w:trHeight w:val="1425"/>
        </w:trPr>
        <w:tc>
          <w:tcPr>
            <w:tcW w:w="637" w:type="pct"/>
            <w:tcBorders>
              <w:top w:val="nil"/>
            </w:tcBorders>
            <w:vAlign w:val="center"/>
            <w:hideMark/>
          </w:tcPr>
          <w:p w14:paraId="05ED3A9F" w14:textId="77777777" w:rsidR="002449A5" w:rsidRPr="00757472" w:rsidRDefault="002449A5" w:rsidP="00306F63">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8EE8740" w14:textId="77777777" w:rsidR="002449A5" w:rsidRPr="00757472" w:rsidRDefault="002449A5" w:rsidP="00306F63">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71C7A9DE" w14:textId="77777777" w:rsidR="002449A5" w:rsidRPr="00757472" w:rsidRDefault="002449A5" w:rsidP="00306F63">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2449A5" w:rsidRPr="00757472" w14:paraId="3D6C6926" w14:textId="77777777" w:rsidTr="00306F63">
        <w:trPr>
          <w:trHeight w:val="1140"/>
        </w:trPr>
        <w:tc>
          <w:tcPr>
            <w:tcW w:w="637" w:type="pct"/>
            <w:tcBorders>
              <w:right w:val="single" w:sz="4" w:space="0" w:color="FFFFFF"/>
            </w:tcBorders>
            <w:shd w:val="clear" w:color="auto" w:fill="E4E7F5"/>
            <w:vAlign w:val="center"/>
            <w:hideMark/>
          </w:tcPr>
          <w:p w14:paraId="2C4F70F2" w14:textId="77777777" w:rsidR="002449A5" w:rsidRPr="00757472" w:rsidRDefault="002449A5" w:rsidP="00306F63">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7EACBF97" w14:textId="77777777" w:rsidR="002449A5" w:rsidRPr="00757472" w:rsidRDefault="002449A5" w:rsidP="00306F63">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443EEF3A" w14:textId="77777777" w:rsidR="002449A5" w:rsidRPr="00757472" w:rsidRDefault="002449A5" w:rsidP="00306F63">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2449A5" w:rsidRPr="00757472" w14:paraId="4B740146" w14:textId="77777777" w:rsidTr="00306F63">
        <w:trPr>
          <w:trHeight w:val="1140"/>
        </w:trPr>
        <w:tc>
          <w:tcPr>
            <w:tcW w:w="637" w:type="pct"/>
            <w:tcBorders>
              <w:top w:val="nil"/>
            </w:tcBorders>
            <w:vAlign w:val="center"/>
            <w:hideMark/>
          </w:tcPr>
          <w:p w14:paraId="030AB1EC" w14:textId="77777777" w:rsidR="002449A5" w:rsidRPr="00757472" w:rsidRDefault="002449A5" w:rsidP="00306F63">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4C58596A" w14:textId="77777777" w:rsidR="002449A5" w:rsidRPr="00757472" w:rsidRDefault="002449A5" w:rsidP="00306F63">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746B1791" w14:textId="77777777" w:rsidR="002449A5" w:rsidRPr="00757472" w:rsidRDefault="002449A5" w:rsidP="00306F63">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2449A5" w:rsidRPr="00757472" w14:paraId="31F99309" w14:textId="77777777" w:rsidTr="00306F63">
        <w:trPr>
          <w:trHeight w:val="1425"/>
        </w:trPr>
        <w:tc>
          <w:tcPr>
            <w:tcW w:w="637" w:type="pct"/>
            <w:tcBorders>
              <w:top w:val="nil"/>
              <w:right w:val="single" w:sz="4" w:space="0" w:color="FFFFFF"/>
            </w:tcBorders>
            <w:shd w:val="clear" w:color="auto" w:fill="E4E7F5"/>
            <w:vAlign w:val="center"/>
            <w:hideMark/>
          </w:tcPr>
          <w:p w14:paraId="3C61ADFA" w14:textId="77777777" w:rsidR="002449A5" w:rsidRPr="00757472" w:rsidRDefault="002449A5" w:rsidP="00306F63">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0A5C179B" w14:textId="77777777" w:rsidR="002449A5" w:rsidRPr="00757472" w:rsidRDefault="002449A5" w:rsidP="00306F63">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0A02493D" w14:textId="77777777" w:rsidR="002449A5" w:rsidRPr="00757472" w:rsidRDefault="002449A5" w:rsidP="00306F63">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14C057EB" w14:textId="77777777" w:rsidR="002449A5" w:rsidRPr="00757472" w:rsidRDefault="002449A5" w:rsidP="00306F63">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4E8A90BE" w14:textId="77777777" w:rsidR="002449A5" w:rsidRDefault="002449A5" w:rsidP="002449A5"/>
    <w:p w14:paraId="34DFA603" w14:textId="77777777" w:rsidR="002449A5" w:rsidRDefault="002449A5" w:rsidP="002449A5">
      <w:r>
        <w:t>For the Price evaluation the following shall apply:</w:t>
      </w:r>
    </w:p>
    <w:p w14:paraId="02F08488" w14:textId="77777777" w:rsidR="002449A5" w:rsidRDefault="002449A5" w:rsidP="002449A5">
      <w:pPr>
        <w:pStyle w:val="NormalBulletround"/>
      </w:pPr>
      <w:r>
        <w:t>Fixed fee</w:t>
      </w:r>
    </w:p>
    <w:p w14:paraId="6018F4CD" w14:textId="77777777" w:rsidR="002449A5" w:rsidRDefault="002449A5" w:rsidP="002449A5">
      <w:pPr>
        <w:pStyle w:val="NormalBulletround"/>
      </w:pPr>
      <w:r>
        <w:t>The lowest fixed fee will be awarded the maximum price score of 100.</w:t>
      </w:r>
    </w:p>
    <w:p w14:paraId="38743A70" w14:textId="77777777" w:rsidR="002449A5" w:rsidRDefault="002449A5" w:rsidP="002449A5">
      <w:pPr>
        <w:pStyle w:val="NormalBulletround"/>
      </w:pPr>
      <w:r>
        <w:lastRenderedPageBreak/>
        <w:t>All other bidders will get a price score relative to the lowest fee tendered.</w:t>
      </w:r>
    </w:p>
    <w:p w14:paraId="5DF29C9F" w14:textId="77777777" w:rsidR="002449A5" w:rsidRDefault="002449A5" w:rsidP="002449A5">
      <w:pPr>
        <w:pStyle w:val="NormalBulletround"/>
      </w:pPr>
      <w:r>
        <w:t>The calculation we will use to calculate your score is as follows:</w:t>
      </w:r>
    </w:p>
    <w:p w14:paraId="3F6F79F8" w14:textId="77777777" w:rsidR="002449A5" w:rsidRDefault="002449A5" w:rsidP="002449A5">
      <w:pPr>
        <w:ind w:left="1134"/>
      </w:pPr>
      <w:r>
        <w:t xml:space="preserve">Price Score = </w:t>
      </w:r>
      <w:r w:rsidRPr="00CA25B2">
        <w:rPr>
          <w:u w:val="single"/>
        </w:rPr>
        <w:t>Lowest Total Fee</w:t>
      </w:r>
      <w:r>
        <w:t xml:space="preserve">       x 100</w:t>
      </w:r>
    </w:p>
    <w:p w14:paraId="32A702C0" w14:textId="77777777" w:rsidR="002449A5" w:rsidRDefault="002449A5" w:rsidP="002449A5">
      <w:pPr>
        <w:ind w:left="2574"/>
      </w:pPr>
      <w:r>
        <w:t xml:space="preserve"> Bidder’s Total Fee</w:t>
      </w:r>
    </w:p>
    <w:p w14:paraId="4C21498E" w14:textId="77777777" w:rsidR="002449A5" w:rsidRDefault="002449A5" w:rsidP="002449A5">
      <w:r>
        <w:t>Your score will then be multiplied by the weighting we have applied to this aspect of the price evaluation to provide a weighted score for the fee.</w:t>
      </w:r>
    </w:p>
    <w:p w14:paraId="340FA334" w14:textId="77777777" w:rsidR="002449A5" w:rsidRDefault="002449A5" w:rsidP="002449A5">
      <w:pPr>
        <w:pStyle w:val="Heading2"/>
      </w:pPr>
      <w:bookmarkStart w:id="32" w:name="_Toc203571247"/>
      <w:bookmarkStart w:id="33" w:name="_Toc204170990"/>
      <w:r w:rsidRPr="002D3643">
        <w:lastRenderedPageBreak/>
        <w:t xml:space="preserve">Procurement </w:t>
      </w:r>
      <w:r>
        <w:t>P</w:t>
      </w:r>
      <w:r w:rsidRPr="002D3643">
        <w:t>rocedures</w:t>
      </w:r>
      <w:bookmarkEnd w:id="32"/>
      <w:bookmarkEnd w:id="33"/>
      <w:r w:rsidRPr="002D3643">
        <w:t xml:space="preserve"> </w:t>
      </w:r>
    </w:p>
    <w:p w14:paraId="56F4DAD4" w14:textId="77777777" w:rsidR="002449A5" w:rsidRDefault="002449A5" w:rsidP="002449A5">
      <w:pPr>
        <w:pStyle w:val="Heading3"/>
      </w:pPr>
      <w:bookmarkStart w:id="34" w:name="_Toc203571248"/>
      <w:bookmarkStart w:id="35" w:name="_Toc204170991"/>
      <w:r>
        <w:t>Tendering Timetable</w:t>
      </w:r>
      <w:bookmarkEnd w:id="34"/>
      <w:bookmarkEnd w:id="35"/>
    </w:p>
    <w:p w14:paraId="0A7BE829" w14:textId="77777777" w:rsidR="002449A5" w:rsidRDefault="002449A5" w:rsidP="002449A5">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2449A5" w:rsidRPr="00400432" w14:paraId="2FF9D6F0" w14:textId="77777777" w:rsidTr="085C83D6">
        <w:trPr>
          <w:tblHeader/>
        </w:trPr>
        <w:tc>
          <w:tcPr>
            <w:tcW w:w="4928" w:type="dxa"/>
            <w:tcBorders>
              <w:bottom w:val="single" w:sz="12" w:space="0" w:color="FFFFFF" w:themeColor="background2"/>
            </w:tcBorders>
            <w:shd w:val="clear" w:color="auto" w:fill="253268" w:themeFill="text2"/>
          </w:tcPr>
          <w:p w14:paraId="4E862B02" w14:textId="77777777" w:rsidR="002449A5" w:rsidRPr="00400432" w:rsidRDefault="002449A5" w:rsidP="00306F63">
            <w:pPr>
              <w:pStyle w:val="TblHeading"/>
            </w:pPr>
            <w:r w:rsidRPr="00400432">
              <w:t>Element</w:t>
            </w:r>
          </w:p>
        </w:tc>
        <w:tc>
          <w:tcPr>
            <w:tcW w:w="3600" w:type="dxa"/>
            <w:tcBorders>
              <w:bottom w:val="single" w:sz="12" w:space="0" w:color="FFFFFF" w:themeColor="background2"/>
            </w:tcBorders>
            <w:shd w:val="clear" w:color="auto" w:fill="253268" w:themeFill="text2"/>
          </w:tcPr>
          <w:p w14:paraId="0C2CDBD3" w14:textId="77777777" w:rsidR="002449A5" w:rsidRPr="00400432" w:rsidRDefault="002449A5" w:rsidP="00306F63">
            <w:pPr>
              <w:pStyle w:val="TblHeading"/>
            </w:pPr>
            <w:r w:rsidRPr="00400432">
              <w:t>Timescale</w:t>
            </w:r>
          </w:p>
        </w:tc>
      </w:tr>
      <w:tr w:rsidR="002449A5" w:rsidRPr="00400432" w14:paraId="5798CDAB" w14:textId="77777777" w:rsidTr="085C83D6">
        <w:tc>
          <w:tcPr>
            <w:tcW w:w="4928" w:type="dxa"/>
            <w:tcBorders>
              <w:bottom w:val="single" w:sz="12" w:space="0" w:color="FFFFFF" w:themeColor="background2"/>
            </w:tcBorders>
            <w:shd w:val="clear" w:color="auto" w:fill="FFFFFF" w:themeFill="background2"/>
          </w:tcPr>
          <w:p w14:paraId="1EB79240" w14:textId="77777777" w:rsidR="002449A5" w:rsidRPr="00400432" w:rsidRDefault="002449A5" w:rsidP="00306F63">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3726BA8" w14:textId="101D27CB" w:rsidR="002449A5" w:rsidRPr="00400432" w:rsidRDefault="002449A5" w:rsidP="00306F63">
            <w:pPr>
              <w:pStyle w:val="TblText"/>
            </w:pPr>
            <w:r>
              <w:t>2</w:t>
            </w:r>
            <w:r w:rsidR="4563B130">
              <w:t>8</w:t>
            </w:r>
            <w:r>
              <w:t>/07/2025</w:t>
            </w:r>
          </w:p>
        </w:tc>
      </w:tr>
      <w:tr w:rsidR="002449A5" w:rsidRPr="00400432" w14:paraId="4143BF76" w14:textId="77777777" w:rsidTr="085C83D6">
        <w:tc>
          <w:tcPr>
            <w:tcW w:w="4928" w:type="dxa"/>
            <w:tcBorders>
              <w:bottom w:val="single" w:sz="12" w:space="0" w:color="FFFFFF" w:themeColor="background2"/>
            </w:tcBorders>
            <w:shd w:val="clear" w:color="auto" w:fill="E4E7F5"/>
          </w:tcPr>
          <w:p w14:paraId="1C16F775" w14:textId="77777777" w:rsidR="002449A5" w:rsidRPr="00400432" w:rsidRDefault="002449A5" w:rsidP="00306F63">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38201148" w14:textId="6397E3D8" w:rsidR="002449A5" w:rsidRPr="00400432" w:rsidRDefault="55D7D4F4" w:rsidP="00306F63">
            <w:pPr>
              <w:pStyle w:val="TblText"/>
            </w:pPr>
            <w:r>
              <w:t>11</w:t>
            </w:r>
            <w:r w:rsidR="002449A5">
              <w:t>/08/2025 midday</w:t>
            </w:r>
          </w:p>
        </w:tc>
      </w:tr>
      <w:tr w:rsidR="002449A5" w:rsidRPr="00400432" w14:paraId="4A333922" w14:textId="77777777" w:rsidTr="085C83D6">
        <w:tc>
          <w:tcPr>
            <w:tcW w:w="4928" w:type="dxa"/>
            <w:tcBorders>
              <w:bottom w:val="single" w:sz="12" w:space="0" w:color="FFFFFF" w:themeColor="background2"/>
            </w:tcBorders>
            <w:shd w:val="clear" w:color="auto" w:fill="FFFFFF" w:themeFill="background2"/>
          </w:tcPr>
          <w:p w14:paraId="5F14F692" w14:textId="77777777" w:rsidR="002449A5" w:rsidRPr="00400432" w:rsidRDefault="002449A5" w:rsidP="00306F63">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42441DAC" w14:textId="77777777" w:rsidR="002449A5" w:rsidRPr="00400432" w:rsidRDefault="002449A5" w:rsidP="00306F63">
            <w:pPr>
              <w:pStyle w:val="TblText"/>
            </w:pPr>
            <w:r>
              <w:t>22/08/2025 midday</w:t>
            </w:r>
          </w:p>
        </w:tc>
      </w:tr>
      <w:tr w:rsidR="002449A5" w:rsidRPr="00400432" w14:paraId="6CC4FD01" w14:textId="77777777" w:rsidTr="085C83D6">
        <w:tc>
          <w:tcPr>
            <w:tcW w:w="4928" w:type="dxa"/>
            <w:tcBorders>
              <w:bottom w:val="single" w:sz="12" w:space="0" w:color="FFFFFF" w:themeColor="background2"/>
            </w:tcBorders>
            <w:shd w:val="clear" w:color="auto" w:fill="E4E7F5"/>
          </w:tcPr>
          <w:p w14:paraId="2A23AB8A" w14:textId="77777777" w:rsidR="002449A5" w:rsidRPr="00400432" w:rsidRDefault="002449A5" w:rsidP="00306F63">
            <w:pPr>
              <w:pStyle w:val="TblText"/>
            </w:pPr>
            <w:r w:rsidRPr="00400432">
              <w:t>Award contract</w:t>
            </w:r>
          </w:p>
        </w:tc>
        <w:tc>
          <w:tcPr>
            <w:tcW w:w="3600" w:type="dxa"/>
            <w:tcBorders>
              <w:bottom w:val="single" w:sz="12" w:space="0" w:color="FFFFFF" w:themeColor="background2"/>
            </w:tcBorders>
            <w:shd w:val="clear" w:color="auto" w:fill="E4E7F5"/>
          </w:tcPr>
          <w:p w14:paraId="35788CF9" w14:textId="77777777" w:rsidR="002449A5" w:rsidRPr="00400432" w:rsidRDefault="002449A5" w:rsidP="00306F63">
            <w:pPr>
              <w:pStyle w:val="TblText"/>
            </w:pPr>
            <w:r>
              <w:t>03/09/2025</w:t>
            </w:r>
          </w:p>
        </w:tc>
      </w:tr>
      <w:tr w:rsidR="002449A5" w:rsidRPr="00DB2E20" w14:paraId="0AA4A1B0" w14:textId="77777777" w:rsidTr="085C83D6">
        <w:tc>
          <w:tcPr>
            <w:tcW w:w="4928" w:type="dxa"/>
            <w:shd w:val="clear" w:color="auto" w:fill="FFFFFF" w:themeFill="background2"/>
          </w:tcPr>
          <w:p w14:paraId="5C2AF351" w14:textId="77777777" w:rsidR="002449A5" w:rsidRPr="00400432" w:rsidRDefault="002449A5" w:rsidP="00306F63">
            <w:pPr>
              <w:pStyle w:val="TblText"/>
            </w:pPr>
            <w:r w:rsidRPr="00400432">
              <w:t>Project Inception Meeting</w:t>
            </w:r>
          </w:p>
        </w:tc>
        <w:tc>
          <w:tcPr>
            <w:tcW w:w="3600" w:type="dxa"/>
            <w:shd w:val="clear" w:color="auto" w:fill="FFFFFF" w:themeFill="background2"/>
          </w:tcPr>
          <w:p w14:paraId="76C55040" w14:textId="77777777" w:rsidR="002449A5" w:rsidRPr="00F23D32" w:rsidRDefault="002449A5" w:rsidP="00306F63">
            <w:pPr>
              <w:pStyle w:val="TblText"/>
              <w:rPr>
                <w:lang w:val="fr-FR"/>
              </w:rPr>
            </w:pPr>
            <w:proofErr w:type="gramStart"/>
            <w:r>
              <w:rPr>
                <w:lang w:val="fr-FR"/>
              </w:rPr>
              <w:t>w</w:t>
            </w:r>
            <w:proofErr w:type="gramEnd"/>
            <w:r>
              <w:rPr>
                <w:lang w:val="fr-FR"/>
              </w:rPr>
              <w:t>/c 08/09/2025</w:t>
            </w:r>
          </w:p>
        </w:tc>
      </w:tr>
    </w:tbl>
    <w:p w14:paraId="68DB88EB" w14:textId="77777777" w:rsidR="002449A5" w:rsidRDefault="002449A5" w:rsidP="002449A5">
      <w:pPr>
        <w:pStyle w:val="Heading3"/>
      </w:pPr>
      <w:bookmarkStart w:id="36" w:name="_Toc203571249"/>
      <w:bookmarkStart w:id="37" w:name="_Toc204170992"/>
      <w:r>
        <w:t>Tendering Instructions and Guidance</w:t>
      </w:r>
      <w:bookmarkEnd w:id="36"/>
      <w:bookmarkEnd w:id="37"/>
    </w:p>
    <w:p w14:paraId="4920911D" w14:textId="77777777" w:rsidR="002449A5" w:rsidRDefault="002449A5" w:rsidP="002449A5">
      <w:pPr>
        <w:pStyle w:val="Heading4"/>
      </w:pPr>
      <w:r>
        <w:t>Amendments to ITT document</w:t>
      </w:r>
    </w:p>
    <w:p w14:paraId="016BD50A" w14:textId="77777777" w:rsidR="002449A5" w:rsidRDefault="002449A5" w:rsidP="002449A5">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20D88965" w14:textId="77777777" w:rsidR="002449A5" w:rsidRDefault="002449A5" w:rsidP="002449A5">
      <w:pPr>
        <w:pStyle w:val="Heading4"/>
      </w:pPr>
      <w:r>
        <w:t>Clarifications &amp; Queries</w:t>
      </w:r>
    </w:p>
    <w:p w14:paraId="2E1BBA57" w14:textId="77777777" w:rsidR="002449A5" w:rsidRDefault="002449A5" w:rsidP="002449A5">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78C867FE" w14:textId="77777777" w:rsidR="002449A5" w:rsidRDefault="002449A5" w:rsidP="002449A5">
      <w:pPr>
        <w:pStyle w:val="Heading4"/>
      </w:pPr>
      <w:bookmarkStart w:id="38" w:name="_Hlk187308838"/>
      <w:r>
        <w:t>Submission Process</w:t>
      </w:r>
    </w:p>
    <w:bookmarkEnd w:id="38"/>
    <w:p w14:paraId="3B4A6F4D" w14:textId="77777777" w:rsidR="002449A5" w:rsidRDefault="002449A5" w:rsidP="002449A5">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319CAE1F" w14:textId="77777777" w:rsidR="002449A5" w:rsidRDefault="002449A5" w:rsidP="002449A5"/>
    <w:p w14:paraId="62D0AA3C" w14:textId="77777777" w:rsidR="002449A5" w:rsidRDefault="002449A5" w:rsidP="002449A5">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7A1FAADE" w14:textId="77777777" w:rsidR="002449A5" w:rsidRDefault="002449A5" w:rsidP="002449A5">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 Disclaimer and Cyber Essentials or ISO27000 certification (or equivalent)</w:t>
      </w:r>
    </w:p>
    <w:p w14:paraId="2BEAF625" w14:textId="77777777" w:rsidR="002449A5" w:rsidRDefault="002449A5" w:rsidP="002449A5">
      <w:pPr>
        <w:pStyle w:val="ListParagraph"/>
        <w:ind w:right="-20"/>
        <w:rPr>
          <w:rFonts w:eastAsia="Arial" w:cs="Arial"/>
          <w:szCs w:val="24"/>
        </w:rPr>
      </w:pPr>
    </w:p>
    <w:p w14:paraId="6FF1A7B4" w14:textId="77777777" w:rsidR="002449A5" w:rsidRDefault="002449A5" w:rsidP="002449A5">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24BBA26C" w14:textId="77777777" w:rsidR="002449A5" w:rsidRDefault="002449A5" w:rsidP="002449A5">
      <w:r>
        <w:t xml:space="preserve">If you are already registered on our </w:t>
      </w:r>
      <w:proofErr w:type="spellStart"/>
      <w:r>
        <w:t>eTendering</w:t>
      </w:r>
      <w:proofErr w:type="spellEnd"/>
      <w:r>
        <w:t xml:space="preserve"> portal but have forgotten your login details, please contact the portal administrator.</w:t>
      </w:r>
    </w:p>
    <w:p w14:paraId="4D52D0CA" w14:textId="77777777" w:rsidR="002449A5" w:rsidRDefault="002449A5" w:rsidP="002449A5">
      <w:r>
        <w:t xml:space="preserve">An evaluation team will evaluate all tenders correctly submitted against the stated evaluation criteria. </w:t>
      </w:r>
    </w:p>
    <w:p w14:paraId="7D20C120" w14:textId="77777777" w:rsidR="002449A5" w:rsidRDefault="002449A5" w:rsidP="002449A5">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6C9DF078" w14:textId="77777777" w:rsidR="002449A5" w:rsidRDefault="002449A5" w:rsidP="002449A5">
      <w:pPr>
        <w:pStyle w:val="Heading4"/>
      </w:pPr>
      <w:r>
        <w:t>Debrief</w:t>
      </w:r>
    </w:p>
    <w:p w14:paraId="021F1193" w14:textId="77777777" w:rsidR="002449A5" w:rsidRDefault="002449A5" w:rsidP="002449A5">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7CF1F01E" w14:textId="77777777" w:rsidR="002449A5" w:rsidRDefault="002449A5" w:rsidP="002449A5">
      <w:pPr>
        <w:pStyle w:val="Heading4"/>
      </w:pPr>
      <w:r>
        <w:t>Cost &amp; Pricing Information</w:t>
      </w:r>
    </w:p>
    <w:p w14:paraId="6895A62F" w14:textId="77777777" w:rsidR="002449A5" w:rsidRDefault="002449A5" w:rsidP="002449A5">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50155096" w14:textId="77777777" w:rsidR="002449A5" w:rsidRDefault="002449A5" w:rsidP="002449A5">
      <w:r>
        <w:t>Tender prices must be in Sterling.</w:t>
      </w:r>
    </w:p>
    <w:p w14:paraId="5CC15977" w14:textId="77777777" w:rsidR="002449A5" w:rsidRDefault="002449A5" w:rsidP="002449A5">
      <w:r>
        <w:t>Once the contract has been awarded, any additional costs incurred which are not reflected in the tender submission will not be accepted for payment.</w:t>
      </w:r>
    </w:p>
    <w:p w14:paraId="0092154F" w14:textId="77777777" w:rsidR="002449A5" w:rsidRDefault="002449A5" w:rsidP="002449A5">
      <w:pPr>
        <w:pStyle w:val="Heading4"/>
      </w:pPr>
      <w:r>
        <w:t>References</w:t>
      </w:r>
    </w:p>
    <w:p w14:paraId="7F481A76" w14:textId="77777777" w:rsidR="002449A5" w:rsidRDefault="002449A5" w:rsidP="002449A5">
      <w:r>
        <w:t>References provided as part of the tender may be approached during the tender stage</w:t>
      </w:r>
    </w:p>
    <w:p w14:paraId="0C2C2BDD" w14:textId="77777777" w:rsidR="002449A5" w:rsidRDefault="002449A5" w:rsidP="002449A5">
      <w:pPr>
        <w:pStyle w:val="Heading4"/>
      </w:pPr>
      <w:r>
        <w:t>Accessibility Guidelines</w:t>
      </w:r>
    </w:p>
    <w:p w14:paraId="159B7A34" w14:textId="77777777" w:rsidR="002449A5" w:rsidRDefault="002449A5" w:rsidP="002449A5">
      <w:r>
        <w:t xml:space="preserve">As a public body we are legally required to comply with accessibility guidelines. Please ensure any commissioned report is in a format that meets web accessibility regulations: </w:t>
      </w:r>
      <w:hyperlink r:id="rId16" w:history="1">
        <w:r w:rsidRPr="00DB7BCE">
          <w:rPr>
            <w:rStyle w:val="Hyperlink"/>
          </w:rPr>
          <w:t>Guidelines for writing accessible reports for ORR - Guidance for external suppliers | Office of Rail and Road.</w:t>
        </w:r>
      </w:hyperlink>
    </w:p>
    <w:p w14:paraId="08ABEA38" w14:textId="77777777" w:rsidR="002449A5" w:rsidRDefault="002449A5" w:rsidP="002449A5">
      <w:pPr>
        <w:pStyle w:val="Heading4"/>
      </w:pPr>
      <w:r>
        <w:t>Contractual Information</w:t>
      </w:r>
    </w:p>
    <w:p w14:paraId="46452B34" w14:textId="77777777" w:rsidR="002449A5" w:rsidRDefault="002449A5" w:rsidP="002449A5">
      <w:r>
        <w:t xml:space="preserve">Following the evaluation of submitted tenders, in accordance with the evaluation criteria stated in this document, a contractor may be selected to perform the services and subsequently issued with an order. </w:t>
      </w:r>
    </w:p>
    <w:p w14:paraId="669740F5" w14:textId="77777777" w:rsidR="002449A5" w:rsidRDefault="002449A5" w:rsidP="002449A5">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53A3D364" w14:textId="77777777" w:rsidR="002449A5" w:rsidRDefault="002449A5" w:rsidP="002449A5">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4EF17BBE" w14:textId="77777777" w:rsidR="002449A5" w:rsidRDefault="002449A5" w:rsidP="002449A5">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21250EC1" w14:textId="77777777" w:rsidR="002449A5" w:rsidRPr="00DB7BCE" w:rsidRDefault="002449A5" w:rsidP="002449A5">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2449A5" w:rsidRPr="00D2517B" w14:paraId="3FE7EE83" w14:textId="77777777" w:rsidTr="00306F63">
        <w:trPr>
          <w:tblHeader/>
        </w:trPr>
        <w:tc>
          <w:tcPr>
            <w:tcW w:w="2132" w:type="dxa"/>
            <w:tcBorders>
              <w:bottom w:val="single" w:sz="12" w:space="0" w:color="FFFFFF"/>
            </w:tcBorders>
            <w:shd w:val="solid" w:color="253268" w:themeColor="dark2" w:fill="253268" w:themeFill="dark2"/>
          </w:tcPr>
          <w:p w14:paraId="25B3B6B7" w14:textId="77777777" w:rsidR="002449A5" w:rsidRPr="00D2517B" w:rsidRDefault="002449A5" w:rsidP="00306F63">
            <w:pPr>
              <w:pStyle w:val="TblHeading"/>
            </w:pPr>
            <w:r w:rsidRPr="00D2517B">
              <w:t>Clause Number</w:t>
            </w:r>
          </w:p>
        </w:tc>
        <w:tc>
          <w:tcPr>
            <w:tcW w:w="2132" w:type="dxa"/>
            <w:tcBorders>
              <w:bottom w:val="single" w:sz="12" w:space="0" w:color="FFFFFF"/>
            </w:tcBorders>
            <w:shd w:val="solid" w:color="253268" w:themeColor="dark2" w:fill="253268" w:themeFill="dark2"/>
          </w:tcPr>
          <w:p w14:paraId="7A755196" w14:textId="77777777" w:rsidR="002449A5" w:rsidRPr="00D2517B" w:rsidRDefault="002449A5" w:rsidP="00306F63">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01C7CFCC" w14:textId="77777777" w:rsidR="002449A5" w:rsidRPr="00D2517B" w:rsidRDefault="002449A5" w:rsidP="00306F63">
            <w:pPr>
              <w:pStyle w:val="TblHeading"/>
            </w:pPr>
            <w:r w:rsidRPr="00D2517B">
              <w:t>Proposed Wording</w:t>
            </w:r>
          </w:p>
        </w:tc>
        <w:tc>
          <w:tcPr>
            <w:tcW w:w="2132" w:type="dxa"/>
            <w:tcBorders>
              <w:bottom w:val="single" w:sz="12" w:space="0" w:color="FFFFFF"/>
            </w:tcBorders>
            <w:shd w:val="solid" w:color="253268" w:themeColor="dark2" w:fill="253268" w:themeFill="dark2"/>
          </w:tcPr>
          <w:p w14:paraId="697B7297" w14:textId="77777777" w:rsidR="002449A5" w:rsidRPr="00D2517B" w:rsidRDefault="002449A5" w:rsidP="00306F63">
            <w:pPr>
              <w:pStyle w:val="TblHeading"/>
            </w:pPr>
            <w:r w:rsidRPr="00D2517B">
              <w:t>Rational for amendment</w:t>
            </w:r>
          </w:p>
        </w:tc>
      </w:tr>
      <w:tr w:rsidR="002449A5" w:rsidRPr="00D2517B" w14:paraId="752FE8D1" w14:textId="77777777" w:rsidTr="00306F63">
        <w:tc>
          <w:tcPr>
            <w:tcW w:w="2132" w:type="dxa"/>
            <w:tcBorders>
              <w:bottom w:val="single" w:sz="12" w:space="0" w:color="FFFFFF"/>
            </w:tcBorders>
            <w:shd w:val="solid" w:color="FFFFFF" w:fill="FFFFFF"/>
          </w:tcPr>
          <w:p w14:paraId="3FB5F866" w14:textId="77777777" w:rsidR="002449A5" w:rsidRPr="00D2517B" w:rsidRDefault="002449A5" w:rsidP="00306F63">
            <w:pPr>
              <w:pStyle w:val="TblText"/>
            </w:pPr>
          </w:p>
        </w:tc>
        <w:tc>
          <w:tcPr>
            <w:tcW w:w="2132" w:type="dxa"/>
            <w:tcBorders>
              <w:bottom w:val="single" w:sz="12" w:space="0" w:color="FFFFFF"/>
            </w:tcBorders>
            <w:shd w:val="solid" w:color="FFFFFF" w:fill="FFFFFF"/>
          </w:tcPr>
          <w:p w14:paraId="43072E9B" w14:textId="77777777" w:rsidR="002449A5" w:rsidRPr="00D2517B" w:rsidRDefault="002449A5" w:rsidP="00306F63">
            <w:pPr>
              <w:pStyle w:val="TblText"/>
            </w:pPr>
          </w:p>
        </w:tc>
        <w:tc>
          <w:tcPr>
            <w:tcW w:w="2132" w:type="dxa"/>
            <w:tcBorders>
              <w:bottom w:val="single" w:sz="12" w:space="0" w:color="FFFFFF"/>
            </w:tcBorders>
            <w:shd w:val="solid" w:color="FFFFFF" w:fill="FFFFFF"/>
          </w:tcPr>
          <w:p w14:paraId="0593CA14" w14:textId="77777777" w:rsidR="002449A5" w:rsidRPr="00D2517B" w:rsidRDefault="002449A5" w:rsidP="00306F63">
            <w:pPr>
              <w:pStyle w:val="TblText"/>
            </w:pPr>
          </w:p>
        </w:tc>
        <w:tc>
          <w:tcPr>
            <w:tcW w:w="2132" w:type="dxa"/>
            <w:tcBorders>
              <w:bottom w:val="single" w:sz="12" w:space="0" w:color="FFFFFF"/>
            </w:tcBorders>
            <w:shd w:val="solid" w:color="FFFFFF" w:fill="FFFFFF"/>
          </w:tcPr>
          <w:p w14:paraId="11BC059C" w14:textId="77777777" w:rsidR="002449A5" w:rsidRPr="00D2517B" w:rsidRDefault="002449A5" w:rsidP="00306F63">
            <w:pPr>
              <w:pStyle w:val="TblText"/>
            </w:pPr>
          </w:p>
        </w:tc>
      </w:tr>
      <w:tr w:rsidR="002449A5" w:rsidRPr="00D2517B" w14:paraId="4BAE1FCD" w14:textId="77777777" w:rsidTr="00306F63">
        <w:tc>
          <w:tcPr>
            <w:tcW w:w="2132" w:type="dxa"/>
            <w:shd w:val="solid" w:color="E4E7F5" w:themeColor="text2" w:themeTint="19" w:fill="E4E7F5" w:themeFill="text2" w:themeFillTint="19"/>
          </w:tcPr>
          <w:p w14:paraId="4A038E24" w14:textId="77777777" w:rsidR="002449A5" w:rsidRPr="00D2517B" w:rsidRDefault="002449A5" w:rsidP="00306F63">
            <w:pPr>
              <w:pStyle w:val="TblText"/>
            </w:pPr>
          </w:p>
        </w:tc>
        <w:tc>
          <w:tcPr>
            <w:tcW w:w="2132" w:type="dxa"/>
            <w:shd w:val="solid" w:color="E4E7F5" w:themeColor="text2" w:themeTint="19" w:fill="E4E7F5" w:themeFill="text2" w:themeFillTint="19"/>
          </w:tcPr>
          <w:p w14:paraId="0570CA6E" w14:textId="77777777" w:rsidR="002449A5" w:rsidRPr="00D2517B" w:rsidRDefault="002449A5" w:rsidP="00306F63">
            <w:pPr>
              <w:pStyle w:val="TblText"/>
            </w:pPr>
          </w:p>
        </w:tc>
        <w:tc>
          <w:tcPr>
            <w:tcW w:w="2132" w:type="dxa"/>
            <w:shd w:val="solid" w:color="E4E7F5" w:themeColor="text2" w:themeTint="19" w:fill="E4E7F5" w:themeFill="text2" w:themeFillTint="19"/>
          </w:tcPr>
          <w:p w14:paraId="53129F26" w14:textId="77777777" w:rsidR="002449A5" w:rsidRPr="00D2517B" w:rsidRDefault="002449A5" w:rsidP="00306F63">
            <w:pPr>
              <w:pStyle w:val="TblText"/>
            </w:pPr>
          </w:p>
        </w:tc>
        <w:tc>
          <w:tcPr>
            <w:tcW w:w="2132" w:type="dxa"/>
            <w:shd w:val="solid" w:color="E4E7F5" w:themeColor="text2" w:themeTint="19" w:fill="E4E7F5" w:themeFill="text2" w:themeFillTint="19"/>
          </w:tcPr>
          <w:p w14:paraId="0C704FB2" w14:textId="77777777" w:rsidR="002449A5" w:rsidRPr="00D2517B" w:rsidRDefault="002449A5" w:rsidP="00306F63">
            <w:pPr>
              <w:pStyle w:val="TblText"/>
            </w:pPr>
          </w:p>
        </w:tc>
      </w:tr>
    </w:tbl>
    <w:p w14:paraId="7206E7E4" w14:textId="77777777" w:rsidR="002449A5" w:rsidRDefault="002449A5" w:rsidP="002449A5"/>
    <w:p w14:paraId="0DFB0FAA" w14:textId="77777777" w:rsidR="002449A5" w:rsidRDefault="002449A5" w:rsidP="002449A5">
      <w:r>
        <w:t xml:space="preserve">Any services arising from this ITT will be carried out pursuant to the contract which comprises of: </w:t>
      </w:r>
    </w:p>
    <w:p w14:paraId="7394ADB8" w14:textId="77777777" w:rsidR="002449A5" w:rsidRDefault="002449A5" w:rsidP="002449A5">
      <w:pPr>
        <w:pStyle w:val="NormalBulletround"/>
      </w:pPr>
      <w:r>
        <w:t xml:space="preserve">ORR Terms &amp; </w:t>
      </w:r>
      <w:proofErr w:type="gramStart"/>
      <w:r>
        <w:t>Conditions;</w:t>
      </w:r>
      <w:proofErr w:type="gramEnd"/>
      <w:r>
        <w:t xml:space="preserve"> </w:t>
      </w:r>
    </w:p>
    <w:p w14:paraId="29D95831" w14:textId="77777777" w:rsidR="002449A5" w:rsidRDefault="002449A5" w:rsidP="002449A5">
      <w:pPr>
        <w:pStyle w:val="NormalBulletround"/>
      </w:pPr>
      <w:r>
        <w:lastRenderedPageBreak/>
        <w:t xml:space="preserve">Service </w:t>
      </w:r>
      <w:proofErr w:type="gramStart"/>
      <w:r>
        <w:t>Schedules;</w:t>
      </w:r>
      <w:proofErr w:type="gramEnd"/>
    </w:p>
    <w:p w14:paraId="12191C75" w14:textId="77777777" w:rsidR="002449A5" w:rsidRDefault="002449A5" w:rsidP="002449A5">
      <w:pPr>
        <w:pStyle w:val="NormalBulletround"/>
      </w:pPr>
      <w:r>
        <w:t xml:space="preserve">this Invite to Tender &amp; Statement of Requirement document; and </w:t>
      </w:r>
    </w:p>
    <w:p w14:paraId="68656102" w14:textId="77777777" w:rsidR="002449A5" w:rsidRDefault="002449A5" w:rsidP="002449A5">
      <w:pPr>
        <w:pStyle w:val="NormalBulletround"/>
      </w:pPr>
      <w:r>
        <w:t>the chosen supplier’s successful tender.</w:t>
      </w:r>
    </w:p>
    <w:p w14:paraId="144785E3" w14:textId="77777777" w:rsidR="002449A5" w:rsidRDefault="002449A5" w:rsidP="002449A5">
      <w:r>
        <w:t>ORR’s Transparency Obligations and the Freedom of Information Act 2000 (the Act)</w:t>
      </w:r>
    </w:p>
    <w:p w14:paraId="16E8081F" w14:textId="77777777" w:rsidR="002449A5" w:rsidRDefault="002449A5" w:rsidP="002449A5">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5E8C38A5" w14:textId="77777777" w:rsidR="002449A5" w:rsidRDefault="002449A5" w:rsidP="002449A5">
      <w:proofErr w:type="gramStart"/>
      <w:r>
        <w:t>Typically</w:t>
      </w:r>
      <w:proofErr w:type="gramEnd"/>
      <w:r>
        <w:t xml:space="preserve"> the following information will be published:</w:t>
      </w:r>
    </w:p>
    <w:p w14:paraId="4465F24D" w14:textId="77777777" w:rsidR="002449A5" w:rsidRDefault="002449A5" w:rsidP="002449A5">
      <w:pPr>
        <w:pStyle w:val="NormalBulletround"/>
      </w:pPr>
      <w:r>
        <w:t>contract price and any incentivisation mechanisms</w:t>
      </w:r>
    </w:p>
    <w:p w14:paraId="160D3E14" w14:textId="77777777" w:rsidR="002449A5" w:rsidRDefault="002449A5" w:rsidP="002449A5">
      <w:pPr>
        <w:pStyle w:val="NormalBulletround"/>
      </w:pPr>
      <w:r>
        <w:t>performance metrics and management of them</w:t>
      </w:r>
    </w:p>
    <w:p w14:paraId="15135165" w14:textId="77777777" w:rsidR="002449A5" w:rsidRDefault="002449A5" w:rsidP="002449A5">
      <w:pPr>
        <w:pStyle w:val="NormalBulletround"/>
      </w:pPr>
      <w:r>
        <w:t>plans for management of underperformance and its financial impact</w:t>
      </w:r>
    </w:p>
    <w:p w14:paraId="21265826" w14:textId="77777777" w:rsidR="002449A5" w:rsidRDefault="002449A5" w:rsidP="002449A5">
      <w:pPr>
        <w:pStyle w:val="NormalBulletround"/>
      </w:pPr>
      <w:r>
        <w:t>governance arrangements including through supply chains where significant contract value rests with subcontractors</w:t>
      </w:r>
    </w:p>
    <w:p w14:paraId="57107615" w14:textId="77777777" w:rsidR="002449A5" w:rsidRDefault="002449A5" w:rsidP="002449A5">
      <w:pPr>
        <w:pStyle w:val="NormalBulletround"/>
      </w:pPr>
      <w:r>
        <w:t>resource plans</w:t>
      </w:r>
    </w:p>
    <w:p w14:paraId="2D8EDA06" w14:textId="77777777" w:rsidR="002449A5" w:rsidRDefault="002449A5" w:rsidP="002449A5">
      <w:pPr>
        <w:pStyle w:val="NormalBulletround"/>
      </w:pPr>
      <w:r>
        <w:t>service improvement plans</w:t>
      </w:r>
    </w:p>
    <w:p w14:paraId="5C4EDC37" w14:textId="77777777" w:rsidR="002449A5" w:rsidRDefault="002449A5" w:rsidP="002449A5">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5863011F" w14:textId="77777777" w:rsidR="002449A5" w:rsidRDefault="002449A5" w:rsidP="002449A5">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692EE59D" w14:textId="77777777" w:rsidR="002449A5" w:rsidRDefault="002449A5" w:rsidP="002449A5">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2449A5" w:rsidRPr="009757DA" w14:paraId="242F4DDD" w14:textId="77777777" w:rsidTr="00306F63">
        <w:trPr>
          <w:tblHeader/>
        </w:trPr>
        <w:tc>
          <w:tcPr>
            <w:tcW w:w="1368" w:type="dxa"/>
            <w:tcBorders>
              <w:bottom w:val="single" w:sz="12" w:space="0" w:color="FFFFFF"/>
            </w:tcBorders>
            <w:shd w:val="solid" w:color="253268" w:themeColor="dark2" w:fill="253268" w:themeFill="dark2"/>
          </w:tcPr>
          <w:p w14:paraId="472BB2B1" w14:textId="77777777" w:rsidR="002449A5" w:rsidRPr="009757DA" w:rsidRDefault="002449A5" w:rsidP="00306F63">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72731766" w14:textId="77777777" w:rsidR="002449A5" w:rsidRPr="009757DA" w:rsidRDefault="002449A5" w:rsidP="00306F63">
            <w:pPr>
              <w:pStyle w:val="TblHeading"/>
            </w:pPr>
            <w:r w:rsidRPr="009757DA">
              <w:t>Description</w:t>
            </w:r>
          </w:p>
        </w:tc>
        <w:tc>
          <w:tcPr>
            <w:tcW w:w="3560" w:type="dxa"/>
            <w:tcBorders>
              <w:bottom w:val="single" w:sz="12" w:space="0" w:color="FFFFFF"/>
            </w:tcBorders>
            <w:shd w:val="solid" w:color="253268" w:themeColor="dark2" w:fill="253268" w:themeFill="dark2"/>
          </w:tcPr>
          <w:p w14:paraId="4455A1DC" w14:textId="77777777" w:rsidR="002449A5" w:rsidRPr="009757DA" w:rsidRDefault="002449A5" w:rsidP="00306F63">
            <w:pPr>
              <w:pStyle w:val="TblHeading"/>
            </w:pPr>
            <w:r w:rsidRPr="009757DA">
              <w:t>Applicable exemption under FOIA 2000</w:t>
            </w:r>
          </w:p>
        </w:tc>
      </w:tr>
      <w:tr w:rsidR="002449A5" w:rsidRPr="009757DA" w14:paraId="65F9F878" w14:textId="77777777" w:rsidTr="00306F63">
        <w:tc>
          <w:tcPr>
            <w:tcW w:w="1368" w:type="dxa"/>
            <w:tcBorders>
              <w:bottom w:val="single" w:sz="12" w:space="0" w:color="FFFFFF"/>
            </w:tcBorders>
            <w:shd w:val="solid" w:color="FFFFFF" w:fill="FFFFFF"/>
          </w:tcPr>
          <w:p w14:paraId="45CAE210" w14:textId="77777777" w:rsidR="002449A5" w:rsidRPr="009757DA" w:rsidRDefault="002449A5" w:rsidP="00306F63">
            <w:pPr>
              <w:pStyle w:val="TblText"/>
            </w:pPr>
          </w:p>
        </w:tc>
        <w:tc>
          <w:tcPr>
            <w:tcW w:w="3600" w:type="dxa"/>
            <w:tcBorders>
              <w:bottom w:val="single" w:sz="12" w:space="0" w:color="FFFFFF"/>
            </w:tcBorders>
            <w:shd w:val="solid" w:color="FFFFFF" w:fill="FFFFFF"/>
          </w:tcPr>
          <w:p w14:paraId="134F644B" w14:textId="77777777" w:rsidR="002449A5" w:rsidRPr="009757DA" w:rsidRDefault="002449A5" w:rsidP="00306F63">
            <w:pPr>
              <w:pStyle w:val="TblText"/>
            </w:pPr>
          </w:p>
        </w:tc>
        <w:tc>
          <w:tcPr>
            <w:tcW w:w="3560" w:type="dxa"/>
            <w:tcBorders>
              <w:bottom w:val="single" w:sz="12" w:space="0" w:color="FFFFFF"/>
            </w:tcBorders>
            <w:shd w:val="solid" w:color="FFFFFF" w:fill="FFFFFF"/>
          </w:tcPr>
          <w:p w14:paraId="67C75AF9" w14:textId="77777777" w:rsidR="002449A5" w:rsidRPr="009757DA" w:rsidRDefault="002449A5" w:rsidP="00306F63">
            <w:pPr>
              <w:pStyle w:val="TblText"/>
            </w:pPr>
          </w:p>
        </w:tc>
      </w:tr>
      <w:tr w:rsidR="002449A5" w:rsidRPr="009757DA" w14:paraId="74B00F7C" w14:textId="77777777" w:rsidTr="00306F63">
        <w:tc>
          <w:tcPr>
            <w:tcW w:w="1368" w:type="dxa"/>
            <w:tcBorders>
              <w:bottom w:val="single" w:sz="12" w:space="0" w:color="FFFFFF"/>
            </w:tcBorders>
            <w:shd w:val="solid" w:color="E4E7F5" w:themeColor="text2" w:themeTint="19" w:fill="E4E7F5" w:themeFill="text2" w:themeFillTint="19"/>
          </w:tcPr>
          <w:p w14:paraId="41BDF0A8" w14:textId="77777777" w:rsidR="002449A5" w:rsidRPr="009757DA" w:rsidRDefault="002449A5" w:rsidP="00306F63">
            <w:pPr>
              <w:pStyle w:val="TblText"/>
            </w:pPr>
          </w:p>
        </w:tc>
        <w:tc>
          <w:tcPr>
            <w:tcW w:w="3600" w:type="dxa"/>
            <w:tcBorders>
              <w:bottom w:val="single" w:sz="12" w:space="0" w:color="FFFFFF"/>
            </w:tcBorders>
            <w:shd w:val="solid" w:color="E4E7F5" w:themeColor="text2" w:themeTint="19" w:fill="E4E7F5" w:themeFill="text2" w:themeFillTint="19"/>
          </w:tcPr>
          <w:p w14:paraId="2EC62770" w14:textId="77777777" w:rsidR="002449A5" w:rsidRPr="009757DA" w:rsidRDefault="002449A5" w:rsidP="00306F63">
            <w:pPr>
              <w:pStyle w:val="TblText"/>
            </w:pPr>
          </w:p>
        </w:tc>
        <w:tc>
          <w:tcPr>
            <w:tcW w:w="3560" w:type="dxa"/>
            <w:tcBorders>
              <w:bottom w:val="single" w:sz="12" w:space="0" w:color="FFFFFF"/>
            </w:tcBorders>
            <w:shd w:val="solid" w:color="E4E7F5" w:themeColor="text2" w:themeTint="19" w:fill="E4E7F5" w:themeFill="text2" w:themeFillTint="19"/>
          </w:tcPr>
          <w:p w14:paraId="02E3B554" w14:textId="77777777" w:rsidR="002449A5" w:rsidRPr="009757DA" w:rsidRDefault="002449A5" w:rsidP="00306F63">
            <w:pPr>
              <w:pStyle w:val="TblText"/>
            </w:pPr>
          </w:p>
        </w:tc>
      </w:tr>
      <w:tr w:rsidR="002449A5" w:rsidRPr="009757DA" w14:paraId="21A35A88" w14:textId="77777777" w:rsidTr="00306F63">
        <w:tc>
          <w:tcPr>
            <w:tcW w:w="1368" w:type="dxa"/>
            <w:shd w:val="solid" w:color="FFFFFF" w:fill="FFFFFF"/>
          </w:tcPr>
          <w:p w14:paraId="214EFC31" w14:textId="77777777" w:rsidR="002449A5" w:rsidRPr="009757DA" w:rsidRDefault="002449A5" w:rsidP="00306F63">
            <w:pPr>
              <w:pStyle w:val="TblText"/>
            </w:pPr>
          </w:p>
        </w:tc>
        <w:tc>
          <w:tcPr>
            <w:tcW w:w="3600" w:type="dxa"/>
            <w:shd w:val="solid" w:color="FFFFFF" w:fill="FFFFFF"/>
          </w:tcPr>
          <w:p w14:paraId="6E2D9CD2" w14:textId="77777777" w:rsidR="002449A5" w:rsidRPr="009757DA" w:rsidRDefault="002449A5" w:rsidP="00306F63">
            <w:pPr>
              <w:pStyle w:val="TblText"/>
            </w:pPr>
          </w:p>
        </w:tc>
        <w:tc>
          <w:tcPr>
            <w:tcW w:w="3560" w:type="dxa"/>
            <w:shd w:val="solid" w:color="FFFFFF" w:fill="FFFFFF"/>
          </w:tcPr>
          <w:p w14:paraId="66E606E5" w14:textId="77777777" w:rsidR="002449A5" w:rsidRPr="009757DA" w:rsidRDefault="002449A5" w:rsidP="00306F63">
            <w:pPr>
              <w:pStyle w:val="TblText"/>
            </w:pPr>
          </w:p>
        </w:tc>
      </w:tr>
    </w:tbl>
    <w:p w14:paraId="12D4D6FF" w14:textId="77777777" w:rsidR="002449A5" w:rsidRDefault="002449A5" w:rsidP="002449A5"/>
    <w:p w14:paraId="0A48A1F9" w14:textId="77777777" w:rsidR="002449A5" w:rsidRDefault="002449A5" w:rsidP="002449A5"/>
    <w:p w14:paraId="1F7A7CD0" w14:textId="77777777" w:rsidR="002449A5" w:rsidRDefault="002449A5" w:rsidP="002449A5"/>
    <w:p w14:paraId="3913099C" w14:textId="77777777" w:rsidR="002449A5" w:rsidRPr="003F3CB0" w:rsidRDefault="002449A5" w:rsidP="002449A5">
      <w:pPr>
        <w:pStyle w:val="Numberedparagraphdouble"/>
        <w:numPr>
          <w:ilvl w:val="0"/>
          <w:numId w:val="0"/>
        </w:numPr>
        <w:ind w:left="851" w:hanging="851"/>
        <w:sectPr w:rsidR="002449A5" w:rsidRPr="003F3CB0" w:rsidSect="002449A5">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p>
    <w:p w14:paraId="2A647B8B" w14:textId="77777777" w:rsidR="002449A5" w:rsidRDefault="002449A5" w:rsidP="002449A5">
      <w:r w:rsidRPr="00825978">
        <w:rPr>
          <w:noProof/>
          <w:lang w:eastAsia="en-GB"/>
        </w:rPr>
        <w:lastRenderedPageBreak/>
        <w:drawing>
          <wp:inline distT="0" distB="0" distL="0" distR="0" wp14:anchorId="1F0123DB" wp14:editId="0CB113E3">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6BE43D1D" w14:textId="77777777" w:rsidR="002449A5" w:rsidRDefault="002449A5" w:rsidP="002449A5">
      <w:pPr>
        <w:pStyle w:val="Copyrighttext"/>
      </w:pPr>
      <w:r>
        <w:t>© Crown copyright 2025</w:t>
      </w:r>
    </w:p>
    <w:p w14:paraId="2E097587" w14:textId="77777777" w:rsidR="002449A5" w:rsidRDefault="002449A5" w:rsidP="002449A5">
      <w:pPr>
        <w:pStyle w:val="Copyrighttext"/>
      </w:pPr>
      <w:r>
        <w:t xml:space="preserve">This publication is licensed under the terms of the Open Government Licence v3.0 except where otherwise stated. To view this licence, visit </w:t>
      </w:r>
      <w:hyperlink r:id="rId24" w:history="1">
        <w:r w:rsidRPr="00D25F7E">
          <w:rPr>
            <w:rStyle w:val="Hyperlink"/>
          </w:rPr>
          <w:t>nationalarchives.gov.uk/doc/open-government-licence/version/3</w:t>
        </w:r>
      </w:hyperlink>
    </w:p>
    <w:p w14:paraId="3BEE766A" w14:textId="77777777" w:rsidR="002449A5" w:rsidRDefault="002449A5" w:rsidP="002449A5">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46418717" w14:textId="77777777" w:rsidR="002449A5" w:rsidRDefault="002449A5" w:rsidP="002449A5">
      <w:pPr>
        <w:pStyle w:val="Copyrighttext"/>
      </w:pPr>
      <w:r>
        <w:t xml:space="preserve">This publication is available at </w:t>
      </w:r>
      <w:hyperlink r:id="rId25">
        <w:r w:rsidRPr="49F518E0">
          <w:rPr>
            <w:rStyle w:val="Hyperlink"/>
          </w:rPr>
          <w:t>Find a Tender</w:t>
        </w:r>
      </w:hyperlink>
    </w:p>
    <w:p w14:paraId="4232AED9" w14:textId="77777777" w:rsidR="002449A5" w:rsidRPr="00D25F7E" w:rsidRDefault="002449A5" w:rsidP="002449A5">
      <w:pPr>
        <w:pStyle w:val="Copyrighttext"/>
      </w:pPr>
      <w:r>
        <w:t xml:space="preserve">Any enquiries regarding this publication should be sent to us at </w:t>
      </w:r>
      <w:hyperlink r:id="rId26" w:history="1">
        <w:r w:rsidRPr="00C9621C">
          <w:rPr>
            <w:rStyle w:val="Hyperlink"/>
          </w:rPr>
          <w:t>procurementteam@orr.gov.uk</w:t>
        </w:r>
      </w:hyperlink>
      <w:r>
        <w:t xml:space="preserve"> </w:t>
      </w:r>
    </w:p>
    <w:p w14:paraId="2C2E02E6" w14:textId="77777777" w:rsidR="002449A5" w:rsidRPr="00D25F7E" w:rsidRDefault="002449A5" w:rsidP="00D25F7E">
      <w:pPr>
        <w:pStyle w:val="Copyrighttext"/>
      </w:pPr>
    </w:p>
    <w:sectPr w:rsidR="002449A5" w:rsidRPr="00D25F7E" w:rsidSect="00D25F7E">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FACA" w14:textId="77777777" w:rsidR="00F83186" w:rsidRDefault="00F83186" w:rsidP="00555585">
      <w:pPr>
        <w:spacing w:after="0" w:line="240" w:lineRule="auto"/>
      </w:pPr>
      <w:r>
        <w:separator/>
      </w:r>
    </w:p>
  </w:endnote>
  <w:endnote w:type="continuationSeparator" w:id="0">
    <w:p w14:paraId="3A1E078D" w14:textId="77777777" w:rsidR="00F83186" w:rsidRDefault="00F83186" w:rsidP="00555585">
      <w:pPr>
        <w:spacing w:after="0" w:line="240" w:lineRule="auto"/>
      </w:pPr>
      <w:r>
        <w:continuationSeparator/>
      </w:r>
    </w:p>
  </w:endnote>
  <w:endnote w:type="continuationNotice" w:id="1">
    <w:p w14:paraId="0930F0ED" w14:textId="77777777" w:rsidR="00F83186" w:rsidRDefault="00F83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3C5A" w14:textId="77777777" w:rsidR="002449A5" w:rsidRDefault="00244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994" w14:textId="77777777" w:rsidR="002449A5" w:rsidRDefault="002449A5" w:rsidP="003A16E9">
    <w:pPr>
      <w:pStyle w:val="Footer"/>
    </w:pPr>
  </w:p>
  <w:p w14:paraId="55C7FE54" w14:textId="77777777" w:rsidR="002449A5" w:rsidRDefault="002449A5" w:rsidP="003A16E9">
    <w:pPr>
      <w:pStyle w:val="Footer"/>
    </w:pPr>
  </w:p>
  <w:p w14:paraId="7474B501" w14:textId="77777777" w:rsidR="002449A5" w:rsidRDefault="002449A5" w:rsidP="003A16E9">
    <w:pPr>
      <w:pStyle w:val="Footer"/>
    </w:pPr>
  </w:p>
  <w:p w14:paraId="3C50D50F" w14:textId="77777777" w:rsidR="002449A5" w:rsidRDefault="002449A5" w:rsidP="003A16E9">
    <w:pPr>
      <w:pStyle w:val="Footer"/>
    </w:pPr>
  </w:p>
  <w:p w14:paraId="040A774C" w14:textId="77777777" w:rsidR="002449A5" w:rsidRDefault="002449A5" w:rsidP="003A16E9">
    <w:pPr>
      <w:pStyle w:val="Footer"/>
    </w:pPr>
  </w:p>
  <w:p w14:paraId="208F3FBB" w14:textId="77777777" w:rsidR="002449A5" w:rsidRPr="004A743E" w:rsidRDefault="002449A5"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2" behindDoc="1" locked="1" layoutInCell="1" allowOverlap="1" wp14:anchorId="58FCE6EF" wp14:editId="79344459">
          <wp:simplePos x="0" y="0"/>
          <wp:positionH relativeFrom="page">
            <wp:posOffset>0</wp:posOffset>
          </wp:positionH>
          <wp:positionV relativeFrom="paragraph">
            <wp:posOffset>-951865</wp:posOffset>
          </wp:positionV>
          <wp:extent cx="7560000" cy="1530000"/>
          <wp:effectExtent l="0" t="0" r="3175" b="0"/>
          <wp:wrapNone/>
          <wp:docPr id="942991026" name="Picture 942991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A833" w14:textId="77777777" w:rsidR="002449A5" w:rsidRPr="00904857" w:rsidRDefault="002449A5" w:rsidP="003A16E9">
    <w:pPr>
      <w:pStyle w:val="Footer"/>
    </w:pPr>
    <w:r>
      <w:rPr>
        <w:noProof/>
        <w:lang w:eastAsia="en-GB"/>
      </w:rPr>
      <w:drawing>
        <wp:anchor distT="0" distB="0" distL="114300" distR="114300" simplePos="0" relativeHeight="251658243" behindDoc="1" locked="0" layoutInCell="1" allowOverlap="1" wp14:anchorId="460F2F2B" wp14:editId="4F91601C">
          <wp:simplePos x="0" y="0"/>
          <wp:positionH relativeFrom="page">
            <wp:posOffset>0</wp:posOffset>
          </wp:positionH>
          <wp:positionV relativeFrom="page">
            <wp:posOffset>8641080</wp:posOffset>
          </wp:positionV>
          <wp:extent cx="7567200" cy="2095200"/>
          <wp:effectExtent l="0" t="0" r="0" b="0"/>
          <wp:wrapNone/>
          <wp:docPr id="1682697685" name="Picture 168269768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1"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0B13" w14:textId="77777777" w:rsidR="00F83186" w:rsidRDefault="00F83186" w:rsidP="00555585">
      <w:pPr>
        <w:spacing w:after="0" w:line="240" w:lineRule="auto"/>
      </w:pPr>
      <w:r>
        <w:separator/>
      </w:r>
    </w:p>
  </w:footnote>
  <w:footnote w:type="continuationSeparator" w:id="0">
    <w:p w14:paraId="19859592" w14:textId="77777777" w:rsidR="00F83186" w:rsidRDefault="00F83186" w:rsidP="00555585">
      <w:pPr>
        <w:spacing w:after="0" w:line="240" w:lineRule="auto"/>
      </w:pPr>
      <w:r>
        <w:continuationSeparator/>
      </w:r>
    </w:p>
  </w:footnote>
  <w:footnote w:type="continuationNotice" w:id="1">
    <w:p w14:paraId="712BA557" w14:textId="77777777" w:rsidR="00F83186" w:rsidRDefault="00F831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EA88" w14:textId="77777777" w:rsidR="002449A5" w:rsidRDefault="00244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833D" w14:textId="77777777" w:rsidR="002449A5" w:rsidRDefault="002449A5"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0F41" w14:textId="77777777" w:rsidR="002449A5" w:rsidRDefault="002449A5" w:rsidP="003A16E9">
    <w:pPr>
      <w:pStyle w:val="Header"/>
      <w:spacing w:before="720"/>
    </w:pPr>
    <w:r>
      <w:rPr>
        <w:noProof/>
        <w:lang w:eastAsia="en-GB"/>
      </w:rPr>
      <w:drawing>
        <wp:inline distT="0" distB="0" distL="0" distR="0" wp14:anchorId="2F1BC64B" wp14:editId="579308D5">
          <wp:extent cx="1616149" cy="1233038"/>
          <wp:effectExtent l="0" t="0" r="3175" b="0"/>
          <wp:docPr id="922101714" name="Picture 92210171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39" w:name="bmkBackPage"/>
    <w:bookmarkEnd w:id="3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15F61B0"/>
    <w:multiLevelType w:val="hybridMultilevel"/>
    <w:tmpl w:val="DCF087F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0" w15:restartNumberingAfterBreak="0">
    <w:nsid w:val="28296852"/>
    <w:multiLevelType w:val="multilevel"/>
    <w:tmpl w:val="D79C245A"/>
    <w:numStyleLink w:val="ORRNormalList"/>
  </w:abstractNum>
  <w:abstractNum w:abstractNumId="11" w15:restartNumberingAfterBreak="0">
    <w:nsid w:val="387814A7"/>
    <w:multiLevelType w:val="multilevel"/>
    <w:tmpl w:val="4184BBD2"/>
    <w:lvl w:ilvl="0">
      <w:start w:val="1"/>
      <w:numFmt w:val="decimal"/>
      <w:lvlText w:val="%1."/>
      <w:lvlJc w:val="left"/>
      <w:pPr>
        <w:tabs>
          <w:tab w:val="num" w:pos="851"/>
        </w:tabs>
        <w:ind w:left="851" w:hanging="851"/>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12" w15:restartNumberingAfterBreak="0">
    <w:nsid w:val="39A76BCC"/>
    <w:multiLevelType w:val="multilevel"/>
    <w:tmpl w:val="D79C245A"/>
    <w:numStyleLink w:val="ORRNormalList"/>
  </w:abstractNum>
  <w:abstractNum w:abstractNumId="13"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02D173D"/>
    <w:multiLevelType w:val="multilevel"/>
    <w:tmpl w:val="4184BBD2"/>
    <w:lvl w:ilvl="0">
      <w:start w:val="1"/>
      <w:numFmt w:val="decimal"/>
      <w:lvlText w:val="%1."/>
      <w:lvlJc w:val="left"/>
      <w:pPr>
        <w:tabs>
          <w:tab w:val="num" w:pos="851"/>
        </w:tabs>
        <w:ind w:left="851" w:hanging="851"/>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9"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0" w15:restartNumberingAfterBreak="0">
    <w:nsid w:val="68BD5682"/>
    <w:multiLevelType w:val="multilevel"/>
    <w:tmpl w:val="EAD453D0"/>
    <w:numStyleLink w:val="NumbListHighlight"/>
  </w:abstractNum>
  <w:abstractNum w:abstractNumId="21"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15:restartNumberingAfterBreak="0">
    <w:nsid w:val="774C62AB"/>
    <w:multiLevelType w:val="multilevel"/>
    <w:tmpl w:val="6B204466"/>
    <w:numStyleLink w:val="ORRAnnex"/>
  </w:abstractNum>
  <w:abstractNum w:abstractNumId="24" w15:restartNumberingAfterBreak="0">
    <w:nsid w:val="7DDA5CB4"/>
    <w:multiLevelType w:val="multilevel"/>
    <w:tmpl w:val="6B204466"/>
    <w:numStyleLink w:val="ORRAnnex"/>
  </w:abstractNum>
  <w:num w:numId="1" w16cid:durableId="1643778289">
    <w:abstractNumId w:val="18"/>
  </w:num>
  <w:num w:numId="2" w16cid:durableId="123300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22"/>
  </w:num>
  <w:num w:numId="4" w16cid:durableId="615990203">
    <w:abstractNumId w:val="6"/>
  </w:num>
  <w:num w:numId="5" w16cid:durableId="1539008159">
    <w:abstractNumId w:val="17"/>
  </w:num>
  <w:num w:numId="6" w16cid:durableId="1334801291">
    <w:abstractNumId w:val="7"/>
  </w:num>
  <w:num w:numId="7" w16cid:durableId="116142554">
    <w:abstractNumId w:val="12"/>
  </w:num>
  <w:num w:numId="8" w16cid:durableId="1708795862">
    <w:abstractNumId w:val="8"/>
  </w:num>
  <w:num w:numId="9" w16cid:durableId="1432780497">
    <w:abstractNumId w:val="4"/>
  </w:num>
  <w:num w:numId="10" w16cid:durableId="35012236">
    <w:abstractNumId w:val="3"/>
  </w:num>
  <w:num w:numId="11" w16cid:durableId="711077664">
    <w:abstractNumId w:val="0"/>
  </w:num>
  <w:num w:numId="12" w16cid:durableId="1604993918">
    <w:abstractNumId w:val="20"/>
  </w:num>
  <w:num w:numId="13" w16cid:durableId="435447028">
    <w:abstractNumId w:val="19"/>
  </w:num>
  <w:num w:numId="14" w16cid:durableId="2048019962">
    <w:abstractNumId w:val="23"/>
  </w:num>
  <w:num w:numId="15" w16cid:durableId="2025738407">
    <w:abstractNumId w:val="20"/>
  </w:num>
  <w:num w:numId="16" w16cid:durableId="150879135">
    <w:abstractNumId w:val="20"/>
  </w:num>
  <w:num w:numId="17" w16cid:durableId="891042484">
    <w:abstractNumId w:val="20"/>
  </w:num>
  <w:num w:numId="18" w16cid:durableId="727414043">
    <w:abstractNumId w:val="19"/>
  </w:num>
  <w:num w:numId="19" w16cid:durableId="1027833524">
    <w:abstractNumId w:val="1"/>
  </w:num>
  <w:num w:numId="20" w16cid:durableId="50661355">
    <w:abstractNumId w:val="5"/>
  </w:num>
  <w:num w:numId="21" w16cid:durableId="1446195555">
    <w:abstractNumId w:val="3"/>
  </w:num>
  <w:num w:numId="22" w16cid:durableId="558327301">
    <w:abstractNumId w:val="24"/>
  </w:num>
  <w:num w:numId="23" w16cid:durableId="463500638">
    <w:abstractNumId w:val="14"/>
  </w:num>
  <w:num w:numId="24" w16cid:durableId="1527019102">
    <w:abstractNumId w:val="2"/>
  </w:num>
  <w:num w:numId="25" w16cid:durableId="1992102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10"/>
  </w:num>
  <w:num w:numId="27" w16cid:durableId="1830293373">
    <w:abstractNumId w:val="21"/>
  </w:num>
  <w:num w:numId="28"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16"/>
  </w:num>
  <w:num w:numId="34" w16cid:durableId="2065592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 w16cid:durableId="52823200">
    <w:abstractNumId w:val="11"/>
  </w:num>
  <w:num w:numId="36" w16cid:durableId="1288393471">
    <w:abstractNumId w:val="15"/>
  </w:num>
  <w:num w:numId="37" w16cid:durableId="656303276">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8" w16cid:durableId="204316842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2819"/>
    <w:rsid w:val="000032A5"/>
    <w:rsid w:val="0002210B"/>
    <w:rsid w:val="0003350C"/>
    <w:rsid w:val="00036DEB"/>
    <w:rsid w:val="00037BD2"/>
    <w:rsid w:val="00042B65"/>
    <w:rsid w:val="00043DA2"/>
    <w:rsid w:val="0004428A"/>
    <w:rsid w:val="00045A0A"/>
    <w:rsid w:val="0005181F"/>
    <w:rsid w:val="00060052"/>
    <w:rsid w:val="00066737"/>
    <w:rsid w:val="000735F1"/>
    <w:rsid w:val="00076107"/>
    <w:rsid w:val="00076B67"/>
    <w:rsid w:val="00082DAA"/>
    <w:rsid w:val="000833AF"/>
    <w:rsid w:val="00084783"/>
    <w:rsid w:val="00084972"/>
    <w:rsid w:val="0008514C"/>
    <w:rsid w:val="000876CB"/>
    <w:rsid w:val="0009126F"/>
    <w:rsid w:val="0009203F"/>
    <w:rsid w:val="000A0438"/>
    <w:rsid w:val="000A4A2F"/>
    <w:rsid w:val="000A6DE7"/>
    <w:rsid w:val="000B0266"/>
    <w:rsid w:val="000B309A"/>
    <w:rsid w:val="000B4A97"/>
    <w:rsid w:val="000B6176"/>
    <w:rsid w:val="000C2704"/>
    <w:rsid w:val="000C66F8"/>
    <w:rsid w:val="000C7B66"/>
    <w:rsid w:val="000D2970"/>
    <w:rsid w:val="000E135E"/>
    <w:rsid w:val="000E1CFC"/>
    <w:rsid w:val="000E5AB1"/>
    <w:rsid w:val="000E5E49"/>
    <w:rsid w:val="000F4554"/>
    <w:rsid w:val="000F5529"/>
    <w:rsid w:val="000F680B"/>
    <w:rsid w:val="000F70BB"/>
    <w:rsid w:val="000F7BB6"/>
    <w:rsid w:val="001012B6"/>
    <w:rsid w:val="00102F62"/>
    <w:rsid w:val="00105ED8"/>
    <w:rsid w:val="00120892"/>
    <w:rsid w:val="0012193D"/>
    <w:rsid w:val="001232F1"/>
    <w:rsid w:val="0012424B"/>
    <w:rsid w:val="00124D1D"/>
    <w:rsid w:val="00137015"/>
    <w:rsid w:val="00141746"/>
    <w:rsid w:val="00141808"/>
    <w:rsid w:val="00142694"/>
    <w:rsid w:val="001526A6"/>
    <w:rsid w:val="00155088"/>
    <w:rsid w:val="0015625B"/>
    <w:rsid w:val="00156D5F"/>
    <w:rsid w:val="00157E4C"/>
    <w:rsid w:val="00160B26"/>
    <w:rsid w:val="00162B03"/>
    <w:rsid w:val="001659DD"/>
    <w:rsid w:val="00167308"/>
    <w:rsid w:val="00171E62"/>
    <w:rsid w:val="00175A76"/>
    <w:rsid w:val="001768F1"/>
    <w:rsid w:val="00180E47"/>
    <w:rsid w:val="001858EB"/>
    <w:rsid w:val="00194E09"/>
    <w:rsid w:val="00195C79"/>
    <w:rsid w:val="001A00F0"/>
    <w:rsid w:val="001A1058"/>
    <w:rsid w:val="001A45E7"/>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4F0C"/>
    <w:rsid w:val="001F55B8"/>
    <w:rsid w:val="00200962"/>
    <w:rsid w:val="0020297B"/>
    <w:rsid w:val="002063AE"/>
    <w:rsid w:val="002064AF"/>
    <w:rsid w:val="002077FD"/>
    <w:rsid w:val="0021084B"/>
    <w:rsid w:val="0021141B"/>
    <w:rsid w:val="00212EFC"/>
    <w:rsid w:val="0021395E"/>
    <w:rsid w:val="002162D4"/>
    <w:rsid w:val="00220F85"/>
    <w:rsid w:val="0022209D"/>
    <w:rsid w:val="00224950"/>
    <w:rsid w:val="00225D2C"/>
    <w:rsid w:val="00225EFD"/>
    <w:rsid w:val="00240410"/>
    <w:rsid w:val="002449A5"/>
    <w:rsid w:val="002459ED"/>
    <w:rsid w:val="0025242F"/>
    <w:rsid w:val="00257BE5"/>
    <w:rsid w:val="00261827"/>
    <w:rsid w:val="00272200"/>
    <w:rsid w:val="00276C64"/>
    <w:rsid w:val="00282136"/>
    <w:rsid w:val="0028433A"/>
    <w:rsid w:val="00286CF2"/>
    <w:rsid w:val="0028735A"/>
    <w:rsid w:val="0029283C"/>
    <w:rsid w:val="00293D38"/>
    <w:rsid w:val="00297104"/>
    <w:rsid w:val="002A0A61"/>
    <w:rsid w:val="002B7995"/>
    <w:rsid w:val="002C5A50"/>
    <w:rsid w:val="002C6E70"/>
    <w:rsid w:val="002D0E5B"/>
    <w:rsid w:val="002D0EA2"/>
    <w:rsid w:val="002D2997"/>
    <w:rsid w:val="002D3609"/>
    <w:rsid w:val="002D3643"/>
    <w:rsid w:val="002D42F6"/>
    <w:rsid w:val="002D46DA"/>
    <w:rsid w:val="002E2DAD"/>
    <w:rsid w:val="002E7122"/>
    <w:rsid w:val="002F111F"/>
    <w:rsid w:val="002F2791"/>
    <w:rsid w:val="002F5466"/>
    <w:rsid w:val="002F56B7"/>
    <w:rsid w:val="0030237B"/>
    <w:rsid w:val="003027B1"/>
    <w:rsid w:val="00311FD5"/>
    <w:rsid w:val="00320A7D"/>
    <w:rsid w:val="003247A4"/>
    <w:rsid w:val="003366E7"/>
    <w:rsid w:val="0034288F"/>
    <w:rsid w:val="00343838"/>
    <w:rsid w:val="00347F87"/>
    <w:rsid w:val="00350594"/>
    <w:rsid w:val="00350C97"/>
    <w:rsid w:val="003543C0"/>
    <w:rsid w:val="0035753E"/>
    <w:rsid w:val="0036504A"/>
    <w:rsid w:val="00366AB8"/>
    <w:rsid w:val="00372316"/>
    <w:rsid w:val="00372ABD"/>
    <w:rsid w:val="00374BAE"/>
    <w:rsid w:val="003764B8"/>
    <w:rsid w:val="003813C5"/>
    <w:rsid w:val="00384699"/>
    <w:rsid w:val="00385387"/>
    <w:rsid w:val="00385F6B"/>
    <w:rsid w:val="00386AF7"/>
    <w:rsid w:val="00386E0A"/>
    <w:rsid w:val="003A16E9"/>
    <w:rsid w:val="003B008E"/>
    <w:rsid w:val="003B09D0"/>
    <w:rsid w:val="003B1008"/>
    <w:rsid w:val="003B1A86"/>
    <w:rsid w:val="003B27DE"/>
    <w:rsid w:val="003C0948"/>
    <w:rsid w:val="003C0BDF"/>
    <w:rsid w:val="003C247A"/>
    <w:rsid w:val="003C2CFC"/>
    <w:rsid w:val="003C3449"/>
    <w:rsid w:val="003C3BA6"/>
    <w:rsid w:val="003C462A"/>
    <w:rsid w:val="003C5151"/>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5FBE"/>
    <w:rsid w:val="004462A6"/>
    <w:rsid w:val="00446747"/>
    <w:rsid w:val="00451C67"/>
    <w:rsid w:val="00452F29"/>
    <w:rsid w:val="00453019"/>
    <w:rsid w:val="00454D76"/>
    <w:rsid w:val="00457556"/>
    <w:rsid w:val="00465309"/>
    <w:rsid w:val="00465E6B"/>
    <w:rsid w:val="00472A7C"/>
    <w:rsid w:val="00476327"/>
    <w:rsid w:val="0048300B"/>
    <w:rsid w:val="0048774B"/>
    <w:rsid w:val="00490915"/>
    <w:rsid w:val="00492888"/>
    <w:rsid w:val="00493BC6"/>
    <w:rsid w:val="00494409"/>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066A9"/>
    <w:rsid w:val="005165AD"/>
    <w:rsid w:val="00526956"/>
    <w:rsid w:val="00532B91"/>
    <w:rsid w:val="00534962"/>
    <w:rsid w:val="00536EB2"/>
    <w:rsid w:val="00544099"/>
    <w:rsid w:val="00546AF7"/>
    <w:rsid w:val="00555585"/>
    <w:rsid w:val="00556E04"/>
    <w:rsid w:val="005612F3"/>
    <w:rsid w:val="005635FA"/>
    <w:rsid w:val="00574B16"/>
    <w:rsid w:val="00580A77"/>
    <w:rsid w:val="00585CEE"/>
    <w:rsid w:val="00591161"/>
    <w:rsid w:val="00596F73"/>
    <w:rsid w:val="005A6A23"/>
    <w:rsid w:val="005B1E20"/>
    <w:rsid w:val="005B27FB"/>
    <w:rsid w:val="005B3ED1"/>
    <w:rsid w:val="005B43A6"/>
    <w:rsid w:val="005B537F"/>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3D5B"/>
    <w:rsid w:val="005F4906"/>
    <w:rsid w:val="005F4936"/>
    <w:rsid w:val="005F52F5"/>
    <w:rsid w:val="005F74FA"/>
    <w:rsid w:val="006023B5"/>
    <w:rsid w:val="00613440"/>
    <w:rsid w:val="00615D12"/>
    <w:rsid w:val="00617B7F"/>
    <w:rsid w:val="00621979"/>
    <w:rsid w:val="006242F0"/>
    <w:rsid w:val="006316B1"/>
    <w:rsid w:val="00632A37"/>
    <w:rsid w:val="00636173"/>
    <w:rsid w:val="00637198"/>
    <w:rsid w:val="00640445"/>
    <w:rsid w:val="0064460A"/>
    <w:rsid w:val="00645EB9"/>
    <w:rsid w:val="006465D2"/>
    <w:rsid w:val="0065616A"/>
    <w:rsid w:val="006562DE"/>
    <w:rsid w:val="006652FE"/>
    <w:rsid w:val="0066567C"/>
    <w:rsid w:val="006701F0"/>
    <w:rsid w:val="00673F42"/>
    <w:rsid w:val="00680F51"/>
    <w:rsid w:val="00683A4B"/>
    <w:rsid w:val="00683F80"/>
    <w:rsid w:val="00691342"/>
    <w:rsid w:val="00696275"/>
    <w:rsid w:val="006A063F"/>
    <w:rsid w:val="006A6751"/>
    <w:rsid w:val="006B10E9"/>
    <w:rsid w:val="006B198C"/>
    <w:rsid w:val="006B27E0"/>
    <w:rsid w:val="006C004C"/>
    <w:rsid w:val="006C02BD"/>
    <w:rsid w:val="006C15DB"/>
    <w:rsid w:val="006C39C5"/>
    <w:rsid w:val="006C5C07"/>
    <w:rsid w:val="006C7602"/>
    <w:rsid w:val="006D1DD8"/>
    <w:rsid w:val="006D4741"/>
    <w:rsid w:val="006D6465"/>
    <w:rsid w:val="006E1B6F"/>
    <w:rsid w:val="006E214D"/>
    <w:rsid w:val="006E25F6"/>
    <w:rsid w:val="006E55C1"/>
    <w:rsid w:val="006F6490"/>
    <w:rsid w:val="006F663A"/>
    <w:rsid w:val="00703BE0"/>
    <w:rsid w:val="00704ADD"/>
    <w:rsid w:val="00705CF5"/>
    <w:rsid w:val="007061B3"/>
    <w:rsid w:val="007062A6"/>
    <w:rsid w:val="00713B94"/>
    <w:rsid w:val="00716CEC"/>
    <w:rsid w:val="00717537"/>
    <w:rsid w:val="007200CC"/>
    <w:rsid w:val="00723A7F"/>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5B68"/>
    <w:rsid w:val="007679D8"/>
    <w:rsid w:val="00771C87"/>
    <w:rsid w:val="00773068"/>
    <w:rsid w:val="007830BE"/>
    <w:rsid w:val="00785937"/>
    <w:rsid w:val="00790401"/>
    <w:rsid w:val="00790AD2"/>
    <w:rsid w:val="0079264A"/>
    <w:rsid w:val="00796755"/>
    <w:rsid w:val="00796E71"/>
    <w:rsid w:val="007979A7"/>
    <w:rsid w:val="00797F75"/>
    <w:rsid w:val="007A1F12"/>
    <w:rsid w:val="007B1555"/>
    <w:rsid w:val="007C43C1"/>
    <w:rsid w:val="007D0101"/>
    <w:rsid w:val="007D5014"/>
    <w:rsid w:val="007E246D"/>
    <w:rsid w:val="007E2744"/>
    <w:rsid w:val="007E2967"/>
    <w:rsid w:val="007E4EC4"/>
    <w:rsid w:val="007E6E4B"/>
    <w:rsid w:val="007F3F24"/>
    <w:rsid w:val="007F4B75"/>
    <w:rsid w:val="007F6498"/>
    <w:rsid w:val="007F6B18"/>
    <w:rsid w:val="00804350"/>
    <w:rsid w:val="00806042"/>
    <w:rsid w:val="008122F2"/>
    <w:rsid w:val="008145A2"/>
    <w:rsid w:val="0081555F"/>
    <w:rsid w:val="00815792"/>
    <w:rsid w:val="0081639D"/>
    <w:rsid w:val="008174A6"/>
    <w:rsid w:val="00826F5D"/>
    <w:rsid w:val="008277B1"/>
    <w:rsid w:val="008309C9"/>
    <w:rsid w:val="00831EE0"/>
    <w:rsid w:val="008342A5"/>
    <w:rsid w:val="00836C5B"/>
    <w:rsid w:val="0083798F"/>
    <w:rsid w:val="00841A18"/>
    <w:rsid w:val="00841B8C"/>
    <w:rsid w:val="008422F2"/>
    <w:rsid w:val="00845EDF"/>
    <w:rsid w:val="008475B8"/>
    <w:rsid w:val="00851B65"/>
    <w:rsid w:val="00851E44"/>
    <w:rsid w:val="00852E5A"/>
    <w:rsid w:val="00855FA9"/>
    <w:rsid w:val="00856DAD"/>
    <w:rsid w:val="008624E2"/>
    <w:rsid w:val="008640BB"/>
    <w:rsid w:val="008667A9"/>
    <w:rsid w:val="00873479"/>
    <w:rsid w:val="0087426B"/>
    <w:rsid w:val="00881E64"/>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5039"/>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2431"/>
    <w:rsid w:val="00913800"/>
    <w:rsid w:val="00914861"/>
    <w:rsid w:val="00914D5C"/>
    <w:rsid w:val="00916C88"/>
    <w:rsid w:val="00917106"/>
    <w:rsid w:val="009201CD"/>
    <w:rsid w:val="00920F55"/>
    <w:rsid w:val="009265DD"/>
    <w:rsid w:val="009319AE"/>
    <w:rsid w:val="009375BF"/>
    <w:rsid w:val="00937E74"/>
    <w:rsid w:val="0094130E"/>
    <w:rsid w:val="00952E99"/>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1311"/>
    <w:rsid w:val="009B5565"/>
    <w:rsid w:val="009C3E78"/>
    <w:rsid w:val="009C7888"/>
    <w:rsid w:val="009D0FCB"/>
    <w:rsid w:val="009D4BF5"/>
    <w:rsid w:val="009E0644"/>
    <w:rsid w:val="009E13FE"/>
    <w:rsid w:val="009E34CC"/>
    <w:rsid w:val="009E476E"/>
    <w:rsid w:val="009F4755"/>
    <w:rsid w:val="009F5929"/>
    <w:rsid w:val="009F642E"/>
    <w:rsid w:val="00A00A07"/>
    <w:rsid w:val="00A02455"/>
    <w:rsid w:val="00A03E79"/>
    <w:rsid w:val="00A107B3"/>
    <w:rsid w:val="00A12B6D"/>
    <w:rsid w:val="00A14898"/>
    <w:rsid w:val="00A17292"/>
    <w:rsid w:val="00A21177"/>
    <w:rsid w:val="00A25686"/>
    <w:rsid w:val="00A27332"/>
    <w:rsid w:val="00A310F3"/>
    <w:rsid w:val="00A32644"/>
    <w:rsid w:val="00A3724D"/>
    <w:rsid w:val="00A37A9B"/>
    <w:rsid w:val="00A4008F"/>
    <w:rsid w:val="00A404D5"/>
    <w:rsid w:val="00A41334"/>
    <w:rsid w:val="00A42FBD"/>
    <w:rsid w:val="00A5113C"/>
    <w:rsid w:val="00A525B9"/>
    <w:rsid w:val="00A575FC"/>
    <w:rsid w:val="00A66AC8"/>
    <w:rsid w:val="00A67863"/>
    <w:rsid w:val="00A70557"/>
    <w:rsid w:val="00A739EA"/>
    <w:rsid w:val="00A73FDA"/>
    <w:rsid w:val="00A77317"/>
    <w:rsid w:val="00A90826"/>
    <w:rsid w:val="00A93476"/>
    <w:rsid w:val="00A95FB0"/>
    <w:rsid w:val="00AA2EAB"/>
    <w:rsid w:val="00AB3000"/>
    <w:rsid w:val="00AB6599"/>
    <w:rsid w:val="00AB7230"/>
    <w:rsid w:val="00AC3F17"/>
    <w:rsid w:val="00AE1221"/>
    <w:rsid w:val="00AF205E"/>
    <w:rsid w:val="00AF41B0"/>
    <w:rsid w:val="00AF59D8"/>
    <w:rsid w:val="00AF5A70"/>
    <w:rsid w:val="00AF7AF9"/>
    <w:rsid w:val="00B017A5"/>
    <w:rsid w:val="00B04D1F"/>
    <w:rsid w:val="00B04FB8"/>
    <w:rsid w:val="00B0622B"/>
    <w:rsid w:val="00B111AB"/>
    <w:rsid w:val="00B20994"/>
    <w:rsid w:val="00B259C1"/>
    <w:rsid w:val="00B26B7C"/>
    <w:rsid w:val="00B2713B"/>
    <w:rsid w:val="00B2773F"/>
    <w:rsid w:val="00B30895"/>
    <w:rsid w:val="00B328C8"/>
    <w:rsid w:val="00B334A0"/>
    <w:rsid w:val="00B34AB1"/>
    <w:rsid w:val="00B34DB3"/>
    <w:rsid w:val="00B50669"/>
    <w:rsid w:val="00B509AD"/>
    <w:rsid w:val="00B51215"/>
    <w:rsid w:val="00B5283A"/>
    <w:rsid w:val="00B546CE"/>
    <w:rsid w:val="00B56A4E"/>
    <w:rsid w:val="00B56E30"/>
    <w:rsid w:val="00B57162"/>
    <w:rsid w:val="00B5762E"/>
    <w:rsid w:val="00B7284B"/>
    <w:rsid w:val="00B73C52"/>
    <w:rsid w:val="00B767E2"/>
    <w:rsid w:val="00B80C9B"/>
    <w:rsid w:val="00B81AB7"/>
    <w:rsid w:val="00B8365D"/>
    <w:rsid w:val="00B906DF"/>
    <w:rsid w:val="00B91F92"/>
    <w:rsid w:val="00B922B8"/>
    <w:rsid w:val="00B946A3"/>
    <w:rsid w:val="00BA010D"/>
    <w:rsid w:val="00BA3E54"/>
    <w:rsid w:val="00BA75AF"/>
    <w:rsid w:val="00BB3195"/>
    <w:rsid w:val="00BB7D89"/>
    <w:rsid w:val="00BC7ACD"/>
    <w:rsid w:val="00BD1EDB"/>
    <w:rsid w:val="00BE1FE1"/>
    <w:rsid w:val="00BE2981"/>
    <w:rsid w:val="00BF056F"/>
    <w:rsid w:val="00BF2BC5"/>
    <w:rsid w:val="00BF321E"/>
    <w:rsid w:val="00BF3BAC"/>
    <w:rsid w:val="00BF50D6"/>
    <w:rsid w:val="00C00032"/>
    <w:rsid w:val="00C05E01"/>
    <w:rsid w:val="00C129B9"/>
    <w:rsid w:val="00C12DE6"/>
    <w:rsid w:val="00C15B7B"/>
    <w:rsid w:val="00C23E57"/>
    <w:rsid w:val="00C260C9"/>
    <w:rsid w:val="00C26E3E"/>
    <w:rsid w:val="00C32699"/>
    <w:rsid w:val="00C330DE"/>
    <w:rsid w:val="00C35494"/>
    <w:rsid w:val="00C37018"/>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D62FF"/>
    <w:rsid w:val="00CE2434"/>
    <w:rsid w:val="00CE4C99"/>
    <w:rsid w:val="00CE5EE2"/>
    <w:rsid w:val="00CE7358"/>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16AD"/>
    <w:rsid w:val="00D41C03"/>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63F"/>
    <w:rsid w:val="00D92143"/>
    <w:rsid w:val="00D93835"/>
    <w:rsid w:val="00D9392E"/>
    <w:rsid w:val="00D973E5"/>
    <w:rsid w:val="00D97BF7"/>
    <w:rsid w:val="00DA0028"/>
    <w:rsid w:val="00DA02F0"/>
    <w:rsid w:val="00DA0DA7"/>
    <w:rsid w:val="00DA1456"/>
    <w:rsid w:val="00DA19CC"/>
    <w:rsid w:val="00DA39EF"/>
    <w:rsid w:val="00DA5A45"/>
    <w:rsid w:val="00DA5AE6"/>
    <w:rsid w:val="00DB0136"/>
    <w:rsid w:val="00DB02EF"/>
    <w:rsid w:val="00DB54FF"/>
    <w:rsid w:val="00DB7BCE"/>
    <w:rsid w:val="00DC0F9E"/>
    <w:rsid w:val="00DC6AE7"/>
    <w:rsid w:val="00DD1BE1"/>
    <w:rsid w:val="00DD1F06"/>
    <w:rsid w:val="00DD276E"/>
    <w:rsid w:val="00DD35AB"/>
    <w:rsid w:val="00DD58E4"/>
    <w:rsid w:val="00DD6763"/>
    <w:rsid w:val="00DE1626"/>
    <w:rsid w:val="00DE21C3"/>
    <w:rsid w:val="00DE5974"/>
    <w:rsid w:val="00DF189F"/>
    <w:rsid w:val="00DF2553"/>
    <w:rsid w:val="00DF6946"/>
    <w:rsid w:val="00E03CCC"/>
    <w:rsid w:val="00E061E1"/>
    <w:rsid w:val="00E07C76"/>
    <w:rsid w:val="00E10006"/>
    <w:rsid w:val="00E104D1"/>
    <w:rsid w:val="00E11F8B"/>
    <w:rsid w:val="00E1699D"/>
    <w:rsid w:val="00E25F9C"/>
    <w:rsid w:val="00E27807"/>
    <w:rsid w:val="00E31153"/>
    <w:rsid w:val="00E311CF"/>
    <w:rsid w:val="00E360E5"/>
    <w:rsid w:val="00E3647D"/>
    <w:rsid w:val="00E450CC"/>
    <w:rsid w:val="00E46FDA"/>
    <w:rsid w:val="00E507FC"/>
    <w:rsid w:val="00E54EEF"/>
    <w:rsid w:val="00E5669C"/>
    <w:rsid w:val="00E61A8D"/>
    <w:rsid w:val="00E62282"/>
    <w:rsid w:val="00E63058"/>
    <w:rsid w:val="00E638CC"/>
    <w:rsid w:val="00E63CEB"/>
    <w:rsid w:val="00E6672E"/>
    <w:rsid w:val="00E7266B"/>
    <w:rsid w:val="00E73450"/>
    <w:rsid w:val="00E73568"/>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3E45"/>
    <w:rsid w:val="00EC4B09"/>
    <w:rsid w:val="00EC5142"/>
    <w:rsid w:val="00EC53E3"/>
    <w:rsid w:val="00EC6B13"/>
    <w:rsid w:val="00ED0A15"/>
    <w:rsid w:val="00ED3BA5"/>
    <w:rsid w:val="00ED6FD1"/>
    <w:rsid w:val="00EE0513"/>
    <w:rsid w:val="00EE278D"/>
    <w:rsid w:val="00EE5809"/>
    <w:rsid w:val="00EE5FED"/>
    <w:rsid w:val="00EF09B1"/>
    <w:rsid w:val="00EF33AC"/>
    <w:rsid w:val="00EF3D9B"/>
    <w:rsid w:val="00EF3FD3"/>
    <w:rsid w:val="00EF62CE"/>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3C68"/>
    <w:rsid w:val="00F4453E"/>
    <w:rsid w:val="00F4480C"/>
    <w:rsid w:val="00F45D88"/>
    <w:rsid w:val="00F521D3"/>
    <w:rsid w:val="00F52217"/>
    <w:rsid w:val="00F57347"/>
    <w:rsid w:val="00F670B0"/>
    <w:rsid w:val="00F679B4"/>
    <w:rsid w:val="00F75C72"/>
    <w:rsid w:val="00F76054"/>
    <w:rsid w:val="00F76E31"/>
    <w:rsid w:val="00F77726"/>
    <w:rsid w:val="00F77DF3"/>
    <w:rsid w:val="00F83186"/>
    <w:rsid w:val="00F83493"/>
    <w:rsid w:val="00F85D04"/>
    <w:rsid w:val="00F860CE"/>
    <w:rsid w:val="00F90A82"/>
    <w:rsid w:val="00F93A27"/>
    <w:rsid w:val="00F93B87"/>
    <w:rsid w:val="00F9415B"/>
    <w:rsid w:val="00F94A27"/>
    <w:rsid w:val="00F97820"/>
    <w:rsid w:val="00FA07A9"/>
    <w:rsid w:val="00FA767B"/>
    <w:rsid w:val="00FB16E2"/>
    <w:rsid w:val="00FB2EB2"/>
    <w:rsid w:val="00FB4478"/>
    <w:rsid w:val="00FB6DF4"/>
    <w:rsid w:val="00FB7A17"/>
    <w:rsid w:val="00FC0DF6"/>
    <w:rsid w:val="00FC2B73"/>
    <w:rsid w:val="00FC2C76"/>
    <w:rsid w:val="00FC3E97"/>
    <w:rsid w:val="00FC4D63"/>
    <w:rsid w:val="00FC5F22"/>
    <w:rsid w:val="00FC6860"/>
    <w:rsid w:val="00FC6AE4"/>
    <w:rsid w:val="00FC6D69"/>
    <w:rsid w:val="00FC7462"/>
    <w:rsid w:val="00FD258F"/>
    <w:rsid w:val="00FD4279"/>
    <w:rsid w:val="00FD6DCF"/>
    <w:rsid w:val="00FE2992"/>
    <w:rsid w:val="00FE40B6"/>
    <w:rsid w:val="00FF09BF"/>
    <w:rsid w:val="00FF2534"/>
    <w:rsid w:val="04806F43"/>
    <w:rsid w:val="05C4E335"/>
    <w:rsid w:val="085C83D6"/>
    <w:rsid w:val="08633CBD"/>
    <w:rsid w:val="09A71BAB"/>
    <w:rsid w:val="0D42C668"/>
    <w:rsid w:val="10548F0B"/>
    <w:rsid w:val="12831B2F"/>
    <w:rsid w:val="186C53E4"/>
    <w:rsid w:val="1992C158"/>
    <w:rsid w:val="19C2306D"/>
    <w:rsid w:val="1CC04985"/>
    <w:rsid w:val="1CD0A1E8"/>
    <w:rsid w:val="22770929"/>
    <w:rsid w:val="22A89246"/>
    <w:rsid w:val="29C8A288"/>
    <w:rsid w:val="2A0C9B4A"/>
    <w:rsid w:val="2A710B16"/>
    <w:rsid w:val="2A74C66E"/>
    <w:rsid w:val="2D5F9543"/>
    <w:rsid w:val="2F6A2320"/>
    <w:rsid w:val="33611A11"/>
    <w:rsid w:val="36224BEA"/>
    <w:rsid w:val="3814867E"/>
    <w:rsid w:val="391A2E0E"/>
    <w:rsid w:val="3B1765EF"/>
    <w:rsid w:val="3B2EAC1D"/>
    <w:rsid w:val="3BDF0851"/>
    <w:rsid w:val="3E452429"/>
    <w:rsid w:val="437EF669"/>
    <w:rsid w:val="4563B130"/>
    <w:rsid w:val="49F518E0"/>
    <w:rsid w:val="4CC7374A"/>
    <w:rsid w:val="4E03BA8E"/>
    <w:rsid w:val="50B6AF9A"/>
    <w:rsid w:val="5319B83B"/>
    <w:rsid w:val="55D7D4F4"/>
    <w:rsid w:val="567EF6F8"/>
    <w:rsid w:val="585483FF"/>
    <w:rsid w:val="604F345D"/>
    <w:rsid w:val="614F7996"/>
    <w:rsid w:val="64734E72"/>
    <w:rsid w:val="6E0CA6E2"/>
    <w:rsid w:val="6F209C80"/>
    <w:rsid w:val="74B3C0C4"/>
    <w:rsid w:val="77A3F6D2"/>
    <w:rsid w:val="79340F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8D2B8C4A-0D4C-43CD-88CF-2F7E0F3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10"/>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21141B"/>
    <w:pPr>
      <w:numPr>
        <w:ilvl w:val="2"/>
        <w:numId w:val="20"/>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9"/>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numbering" w:customStyle="1" w:styleId="ORRNormalList1">
    <w:name w:val="ORRNormalList1"/>
    <w:uiPriority w:val="99"/>
    <w:rsid w:val="0024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034794">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910849706">
      <w:bodyDiv w:val="1"/>
      <w:marLeft w:val="0"/>
      <w:marRight w:val="0"/>
      <w:marTop w:val="0"/>
      <w:marBottom w:val="0"/>
      <w:divBdr>
        <w:top w:val="none" w:sz="0" w:space="0" w:color="auto"/>
        <w:left w:val="none" w:sz="0" w:space="0" w:color="auto"/>
        <w:bottom w:val="none" w:sz="0" w:space="0" w:color="auto"/>
        <w:right w:val="none" w:sz="0" w:space="0" w:color="auto"/>
      </w:divBdr>
    </w:div>
    <w:div w:id="201996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r.gov.uk/" TargetMode="External"/><Relationship Id="rId18" Type="http://schemas.openxmlformats.org/officeDocument/2006/relationships/header" Target="header2.xml"/><Relationship Id="rId26" Type="http://schemas.openxmlformats.org/officeDocument/2006/relationships/hyperlink" Target="mailto:procurementteam@orr.gov.uk"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bipsolutions.com/news-and-resources/cpv-codes/" TargetMode="External"/><Relationship Id="rId17" Type="http://schemas.openxmlformats.org/officeDocument/2006/relationships/header" Target="header1.xml"/><Relationship Id="rId25" Type="http://schemas.openxmlformats.org/officeDocument/2006/relationships/hyperlink" Target="https://www.find-tender.service.gov.uk/Searc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r.gov.uk/media/23638"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ationalarchives.gov.uk/doc/open-government-licence/version/3"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www.orr.gov.uk/sites/default/files/2025-06/2025-06-25-tackling-ccomplexity-and-burden-of-nr-regulation.pdf" TargetMode="External"/><Relationship Id="rId23" Type="http://schemas.openxmlformats.org/officeDocument/2006/relationships/image" Target="media/image4.png"/><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r.gov.uk/sites/default/files/2025-06/2025-06-25-tackling-ccomplexity-and-burden-of-nr-regulation.pdf"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CBC6C1D9C4464599ACEE682FD872B3"/>
        <w:category>
          <w:name w:val="General"/>
          <w:gallery w:val="placeholder"/>
        </w:category>
        <w:types>
          <w:type w:val="bbPlcHdr"/>
        </w:types>
        <w:behaviors>
          <w:behavior w:val="content"/>
        </w:behaviors>
        <w:guid w:val="{55B909FD-1CDF-4C01-88D5-653E8FF7F3EA}"/>
      </w:docPartPr>
      <w:docPartBody>
        <w:p w:rsidR="00E6672E" w:rsidRDefault="00E6672E" w:rsidP="00E6672E">
          <w:pPr>
            <w:pStyle w:val="00CBC6C1D9C4464599ACEE682FD872B3"/>
          </w:pPr>
          <w:r>
            <w:rPr>
              <w:rStyle w:val="PlaceholderText"/>
            </w:rPr>
            <w:t>[Title]</w:t>
          </w:r>
        </w:p>
      </w:docPartBody>
    </w:docPart>
    <w:docPart>
      <w:docPartPr>
        <w:name w:val="5F12DCDEE96A442EAB9DE804E2EA470A"/>
        <w:category>
          <w:name w:val="General"/>
          <w:gallery w:val="placeholder"/>
        </w:category>
        <w:types>
          <w:type w:val="bbPlcHdr"/>
        </w:types>
        <w:behaviors>
          <w:behavior w:val="content"/>
        </w:behaviors>
        <w:guid w:val="{8D1057D2-6A9B-4702-82D1-80B226E67EC2}"/>
      </w:docPartPr>
      <w:docPartBody>
        <w:p w:rsidR="00E6672E" w:rsidRDefault="00E6672E" w:rsidP="00E6672E">
          <w:pPr>
            <w:pStyle w:val="5F12DCDEE96A442EAB9DE804E2EA470A"/>
          </w:pPr>
          <w:r>
            <w:rPr>
              <w:rStyle w:val="PlaceholderText"/>
            </w:rPr>
            <w:t>[Subject]</w:t>
          </w:r>
        </w:p>
      </w:docPartBody>
    </w:docPart>
    <w:docPart>
      <w:docPartPr>
        <w:name w:val="57D963B5245241B59C48F07336191321"/>
        <w:category>
          <w:name w:val="General"/>
          <w:gallery w:val="placeholder"/>
        </w:category>
        <w:types>
          <w:type w:val="bbPlcHdr"/>
        </w:types>
        <w:behaviors>
          <w:behavior w:val="content"/>
        </w:behaviors>
        <w:guid w:val="{5DAAE715-9E68-4CE1-AECD-6C64B8A3A6F3}"/>
      </w:docPartPr>
      <w:docPartBody>
        <w:p w:rsidR="00E6672E" w:rsidRDefault="00E6672E" w:rsidP="00E6672E">
          <w:pPr>
            <w:pStyle w:val="57D963B5245241B59C48F07336191321"/>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57E4C"/>
    <w:rsid w:val="001D34EA"/>
    <w:rsid w:val="00212EFC"/>
    <w:rsid w:val="00282136"/>
    <w:rsid w:val="002D0EA2"/>
    <w:rsid w:val="003D684E"/>
    <w:rsid w:val="00465309"/>
    <w:rsid w:val="005722FE"/>
    <w:rsid w:val="005A6A23"/>
    <w:rsid w:val="005F4906"/>
    <w:rsid w:val="005F52F5"/>
    <w:rsid w:val="00696275"/>
    <w:rsid w:val="007479A0"/>
    <w:rsid w:val="007C3F77"/>
    <w:rsid w:val="008342A5"/>
    <w:rsid w:val="00843948"/>
    <w:rsid w:val="0084777F"/>
    <w:rsid w:val="00851B65"/>
    <w:rsid w:val="00912431"/>
    <w:rsid w:val="00974DB7"/>
    <w:rsid w:val="009E0644"/>
    <w:rsid w:val="00A235F4"/>
    <w:rsid w:val="00A257DF"/>
    <w:rsid w:val="00A72823"/>
    <w:rsid w:val="00B51215"/>
    <w:rsid w:val="00BB3195"/>
    <w:rsid w:val="00BC7ACD"/>
    <w:rsid w:val="00BF5479"/>
    <w:rsid w:val="00C016C2"/>
    <w:rsid w:val="00C02A68"/>
    <w:rsid w:val="00C05E01"/>
    <w:rsid w:val="00C37018"/>
    <w:rsid w:val="00D750C2"/>
    <w:rsid w:val="00DD58E4"/>
    <w:rsid w:val="00DE0FCF"/>
    <w:rsid w:val="00DF5963"/>
    <w:rsid w:val="00E27807"/>
    <w:rsid w:val="00E63CEB"/>
    <w:rsid w:val="00E6672E"/>
    <w:rsid w:val="00E81AAE"/>
    <w:rsid w:val="00E94B75"/>
    <w:rsid w:val="00F06A05"/>
    <w:rsid w:val="00F1040F"/>
    <w:rsid w:val="00F51C81"/>
    <w:rsid w:val="00F52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72E"/>
  </w:style>
  <w:style w:type="paragraph" w:customStyle="1" w:styleId="00CBC6C1D9C4464599ACEE682FD872B3">
    <w:name w:val="00CBC6C1D9C4464599ACEE682FD872B3"/>
    <w:rsid w:val="00E6672E"/>
    <w:pPr>
      <w:spacing w:line="278" w:lineRule="auto"/>
    </w:pPr>
    <w:rPr>
      <w:kern w:val="2"/>
      <w:sz w:val="24"/>
      <w:szCs w:val="24"/>
      <w14:ligatures w14:val="standardContextual"/>
    </w:rPr>
  </w:style>
  <w:style w:type="paragraph" w:customStyle="1" w:styleId="5F12DCDEE96A442EAB9DE804E2EA470A">
    <w:name w:val="5F12DCDEE96A442EAB9DE804E2EA470A"/>
    <w:rsid w:val="00E6672E"/>
    <w:pPr>
      <w:spacing w:line="278" w:lineRule="auto"/>
    </w:pPr>
    <w:rPr>
      <w:kern w:val="2"/>
      <w:sz w:val="24"/>
      <w:szCs w:val="24"/>
      <w14:ligatures w14:val="standardContextual"/>
    </w:rPr>
  </w:style>
  <w:style w:type="paragraph" w:customStyle="1" w:styleId="57D963B5245241B59C48F07336191321">
    <w:name w:val="57D963B5245241B59C48F07336191321"/>
    <w:rsid w:val="00E667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2025-07-28T00:00:00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766E5A87564243BE0A8A3D54CC6D79" ma:contentTypeVersion="3" ma:contentTypeDescription="Create a new document." ma:contentTypeScope="" ma:versionID="1f2b3668cf93859427b95781315e6d51">
  <xsd:schema xmlns:xsd="http://www.w3.org/2001/XMLSchema" xmlns:xs="http://www.w3.org/2001/XMLSchema" xmlns:p="http://schemas.microsoft.com/office/2006/metadata/properties" xmlns:ns2="e0e00050-b8bc-4866-a3ea-2b12fcaef074" targetNamespace="http://schemas.microsoft.com/office/2006/metadata/properties" ma:root="true" ma:fieldsID="8a2ef3ea4b41e1f09072a75aa4e04159" ns2:_="">
    <xsd:import namespace="e0e00050-b8bc-4866-a3ea-2b12fcaef0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00050-b8bc-4866-a3ea-2b12fcaef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69F098-06E9-45AD-BA8E-B54AD9FD2F94}">
  <ds:schemaRefs>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e0e00050-b8bc-4866-a3ea-2b12fcaef074"/>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4.xml><?xml version="1.0" encoding="utf-8"?>
<ds:datastoreItem xmlns:ds="http://schemas.openxmlformats.org/officeDocument/2006/customXml" ds:itemID="{2F65EE20-70AE-41D4-94CF-7FF9A76C8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00050-b8bc-4866-a3ea-2b12fcaef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2</TotalTime>
  <Pages>24</Pages>
  <Words>5158</Words>
  <Characters>29404</Characters>
  <Application>Microsoft Office Word</Application>
  <DocSecurity>4</DocSecurity>
  <Lines>245</Lines>
  <Paragraphs>68</Paragraphs>
  <ScaleCrop>false</ScaleCrop>
  <Company>HP</Company>
  <LinksUpToDate>false</LinksUpToDate>
  <CharactersWithSpaces>34494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Independent skilled analysis, facilitation and project design to improve regulatory effectiveness with Network Rail on complex issues</dc:subject>
  <dc:creator>Angeriz-Santos, Paula</dc:creator>
  <cp:keywords/>
  <dc:description/>
  <cp:lastModifiedBy>Dinkele, Harriet</cp:lastModifiedBy>
  <cp:revision>2</cp:revision>
  <cp:lastPrinted>2021-02-24T15:29:00Z</cp:lastPrinted>
  <dcterms:created xsi:type="dcterms:W3CDTF">2025-07-28T14:17:00Z</dcterms:created>
  <dcterms:modified xsi:type="dcterms:W3CDTF">2025-07-28T14:17:00Z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0x010100CD766E5A87564243BE0A8A3D54CC6D79</vt:lpwstr>
  </property>
</Properties>
</file>