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A4B" w14:textId="6A4A580B" w:rsidR="00D6492E" w:rsidRPr="00D6492E" w:rsidRDefault="00D6492E" w:rsidP="00B2091F">
      <w:pPr>
        <w:rPr>
          <w:rFonts w:ascii="Arial" w:hAnsi="Arial" w:cs="Arial"/>
          <w:b/>
          <w:color w:val="4BACC6" w:themeColor="accent5"/>
          <w:sz w:val="22"/>
          <w:szCs w:val="22"/>
        </w:rPr>
      </w:pPr>
      <w:r>
        <w:rPr>
          <w:noProof/>
        </w:rPr>
        <w:drawing>
          <wp:inline distT="0" distB="0" distL="0" distR="0" wp14:anchorId="41209655" wp14:editId="1A3409C8">
            <wp:extent cx="2519045" cy="828040"/>
            <wp:effectExtent l="0" t="0" r="0" b="0"/>
            <wp:docPr id="1" name="Picture 1" descr="C:\Users\karencl\AppData\Local\Microsoft\Windows\Temporary Internet Files\Content.Word\TBC Logo_teal and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cl\AppData\Local\Microsoft\Windows\Temporary Internet Files\Content.Word\TBC Logo_teal and gr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3687" w14:textId="77777777" w:rsidR="00D6492E" w:rsidRPr="00D6492E" w:rsidRDefault="00D6492E" w:rsidP="00B2091F">
      <w:pPr>
        <w:rPr>
          <w:rFonts w:ascii="Arial" w:hAnsi="Arial" w:cs="Arial"/>
          <w:b/>
          <w:color w:val="4BACC6" w:themeColor="accent5"/>
          <w:sz w:val="22"/>
          <w:szCs w:val="22"/>
        </w:rPr>
      </w:pPr>
    </w:p>
    <w:p w14:paraId="19F26194" w14:textId="140A4D76" w:rsidR="00B2091F" w:rsidRPr="00DE0587" w:rsidRDefault="00B2091F" w:rsidP="00B2091F">
      <w:pPr>
        <w:rPr>
          <w:rFonts w:ascii="Arial" w:hAnsi="Arial" w:cs="Arial"/>
          <w:b/>
          <w:color w:val="4BACC6"/>
          <w:sz w:val="28"/>
          <w:szCs w:val="28"/>
          <w:u w:val="single"/>
        </w:rPr>
      </w:pPr>
      <w:r w:rsidRPr="00DE0587">
        <w:rPr>
          <w:rFonts w:ascii="Arial" w:hAnsi="Arial" w:cs="Arial"/>
          <w:b/>
          <w:color w:val="4BACC6"/>
          <w:sz w:val="28"/>
          <w:szCs w:val="28"/>
        </w:rPr>
        <w:t xml:space="preserve">SCHEDULE 2 </w:t>
      </w:r>
      <w:r w:rsidR="00242D40" w:rsidRPr="00DE0587">
        <w:rPr>
          <w:rFonts w:ascii="Arial" w:hAnsi="Arial" w:cs="Arial"/>
          <w:b/>
          <w:color w:val="4BACC6"/>
          <w:sz w:val="28"/>
          <w:szCs w:val="28"/>
        </w:rPr>
        <w:t>–</w:t>
      </w:r>
      <w:r w:rsidRPr="00DE0587">
        <w:rPr>
          <w:rFonts w:ascii="Arial" w:hAnsi="Arial" w:cs="Arial"/>
          <w:b/>
          <w:color w:val="4BACC6"/>
          <w:sz w:val="28"/>
          <w:szCs w:val="28"/>
        </w:rPr>
        <w:t xml:space="preserve"> </w:t>
      </w:r>
      <w:r w:rsidR="00D6492E" w:rsidRPr="00DE0587">
        <w:rPr>
          <w:rFonts w:ascii="Arial" w:hAnsi="Arial" w:cs="Arial"/>
          <w:b/>
          <w:color w:val="4BACC6"/>
          <w:sz w:val="28"/>
          <w:szCs w:val="28"/>
        </w:rPr>
        <w:t>Schedule of Rates</w:t>
      </w:r>
    </w:p>
    <w:p w14:paraId="02963AB8" w14:textId="77777777" w:rsidR="00B2091F" w:rsidRPr="00774E74" w:rsidRDefault="00B2091F" w:rsidP="00B2091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57680E" w14:textId="1019F2A0" w:rsidR="00B2091F" w:rsidRPr="00080336" w:rsidRDefault="00B2091F" w:rsidP="00080336">
      <w:pPr>
        <w:numPr>
          <w:ilvl w:val="0"/>
          <w:numId w:val="2"/>
        </w:numPr>
        <w:suppressAutoHyphens w:val="0"/>
        <w:spacing w:after="120"/>
        <w:ind w:left="567" w:right="-340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74E74">
        <w:rPr>
          <w:rFonts w:ascii="Arial" w:hAnsi="Arial" w:cs="Arial"/>
          <w:sz w:val="22"/>
          <w:szCs w:val="22"/>
        </w:rPr>
        <w:t xml:space="preserve">The </w:t>
      </w:r>
      <w:r w:rsidR="0043314F">
        <w:rPr>
          <w:rFonts w:ascii="Arial" w:hAnsi="Arial" w:cs="Arial"/>
          <w:sz w:val="22"/>
          <w:szCs w:val="22"/>
        </w:rPr>
        <w:t>Price</w:t>
      </w:r>
      <w:r w:rsidRPr="00774E74">
        <w:rPr>
          <w:rFonts w:ascii="Arial" w:hAnsi="Arial" w:cs="Arial"/>
          <w:sz w:val="22"/>
          <w:szCs w:val="22"/>
        </w:rPr>
        <w:t xml:space="preserve"> </w:t>
      </w:r>
      <w:r w:rsidR="004E438C">
        <w:rPr>
          <w:rFonts w:ascii="Arial" w:hAnsi="Arial" w:cs="Arial"/>
          <w:sz w:val="22"/>
          <w:szCs w:val="22"/>
        </w:rPr>
        <w:t xml:space="preserve">breakdown </w:t>
      </w:r>
      <w:r w:rsidR="00C36666">
        <w:rPr>
          <w:rFonts w:ascii="Arial" w:hAnsi="Arial" w:cs="Arial"/>
          <w:sz w:val="22"/>
          <w:szCs w:val="22"/>
        </w:rPr>
        <w:t xml:space="preserve">for the provision of </w:t>
      </w:r>
      <w:r w:rsidR="008F4945">
        <w:rPr>
          <w:rFonts w:ascii="Arial" w:hAnsi="Arial" w:cs="Arial"/>
          <w:sz w:val="22"/>
          <w:szCs w:val="22"/>
        </w:rPr>
        <w:t>a Green Belt Assessment Joint Procurement Exercise</w:t>
      </w:r>
      <w:r w:rsidR="00D96B5A">
        <w:rPr>
          <w:rFonts w:ascii="Arial" w:hAnsi="Arial" w:cs="Arial"/>
          <w:sz w:val="22"/>
          <w:szCs w:val="22"/>
        </w:rPr>
        <w:t xml:space="preserve"> s</w:t>
      </w:r>
      <w:r w:rsidR="004E438C">
        <w:rPr>
          <w:rFonts w:ascii="Arial" w:hAnsi="Arial" w:cs="Arial"/>
          <w:sz w:val="22"/>
          <w:szCs w:val="22"/>
        </w:rPr>
        <w:t xml:space="preserve">hall be based </w:t>
      </w:r>
      <w:r w:rsidR="00D96B5A">
        <w:rPr>
          <w:rFonts w:ascii="Arial" w:hAnsi="Arial" w:cs="Arial"/>
          <w:sz w:val="22"/>
          <w:szCs w:val="22"/>
        </w:rPr>
        <w:t xml:space="preserve">on a </w:t>
      </w:r>
      <w:r w:rsidR="004E438C" w:rsidRPr="00774E74">
        <w:rPr>
          <w:rFonts w:ascii="Arial" w:hAnsi="Arial" w:cs="Arial"/>
          <w:sz w:val="22"/>
          <w:szCs w:val="22"/>
        </w:rPr>
        <w:t>fixed</w:t>
      </w:r>
      <w:r w:rsidRPr="00774E74">
        <w:rPr>
          <w:rFonts w:ascii="Arial" w:hAnsi="Arial" w:cs="Arial"/>
          <w:sz w:val="22"/>
          <w:szCs w:val="22"/>
        </w:rPr>
        <w:t xml:space="preserve"> </w:t>
      </w:r>
      <w:r w:rsidR="00D96B5A" w:rsidRPr="00774E74">
        <w:rPr>
          <w:rFonts w:ascii="Arial" w:hAnsi="Arial" w:cs="Arial"/>
          <w:sz w:val="22"/>
          <w:szCs w:val="22"/>
        </w:rPr>
        <w:t>p</w:t>
      </w:r>
      <w:r w:rsidR="00D96B5A">
        <w:rPr>
          <w:rFonts w:ascii="Arial" w:hAnsi="Arial" w:cs="Arial"/>
          <w:sz w:val="22"/>
          <w:szCs w:val="22"/>
        </w:rPr>
        <w:t xml:space="preserve">rice </w:t>
      </w:r>
      <w:r w:rsidRPr="00774E74">
        <w:rPr>
          <w:rFonts w:ascii="Arial" w:hAnsi="Arial" w:cs="Arial"/>
          <w:sz w:val="22"/>
          <w:szCs w:val="22"/>
        </w:rPr>
        <w:t xml:space="preserve">or the term of the Contract.  </w:t>
      </w:r>
      <w:r w:rsidR="0043314F">
        <w:rPr>
          <w:rFonts w:ascii="Arial" w:hAnsi="Arial" w:cs="Arial"/>
          <w:sz w:val="22"/>
          <w:szCs w:val="22"/>
        </w:rPr>
        <w:t>The</w:t>
      </w:r>
      <w:r w:rsidRPr="00774E74">
        <w:rPr>
          <w:rFonts w:ascii="Arial" w:hAnsi="Arial" w:cs="Arial"/>
          <w:color w:val="000000"/>
          <w:sz w:val="22"/>
          <w:szCs w:val="22"/>
        </w:rPr>
        <w:t xml:space="preserve"> </w:t>
      </w:r>
      <w:r w:rsidR="0043314F">
        <w:rPr>
          <w:rFonts w:ascii="Arial" w:hAnsi="Arial" w:cs="Arial"/>
          <w:color w:val="000000"/>
          <w:sz w:val="22"/>
          <w:szCs w:val="22"/>
        </w:rPr>
        <w:t>Price</w:t>
      </w:r>
      <w:r w:rsidRPr="00774E74">
        <w:rPr>
          <w:rFonts w:ascii="Arial" w:hAnsi="Arial" w:cs="Arial"/>
          <w:color w:val="000000"/>
          <w:sz w:val="22"/>
          <w:szCs w:val="22"/>
        </w:rPr>
        <w:t xml:space="preserve"> shall be exclusive of Value Added Tax</w:t>
      </w:r>
      <w:r w:rsidR="00430F6B">
        <w:rPr>
          <w:rFonts w:ascii="Arial" w:hAnsi="Arial" w:cs="Arial"/>
          <w:color w:val="000000"/>
          <w:sz w:val="22"/>
          <w:szCs w:val="22"/>
        </w:rPr>
        <w:t xml:space="preserve"> (VAT)</w:t>
      </w:r>
      <w:r w:rsidRPr="00774E74">
        <w:rPr>
          <w:rFonts w:ascii="Arial" w:hAnsi="Arial" w:cs="Arial"/>
          <w:color w:val="000000"/>
          <w:sz w:val="22"/>
          <w:szCs w:val="22"/>
        </w:rPr>
        <w:t xml:space="preserve"> but must include all charges, costs, disbursements and expenses (including, without limitation, travelling and other expenses, all relevant </w:t>
      </w:r>
      <w:r w:rsidRPr="00774E74">
        <w:rPr>
          <w:rFonts w:ascii="Arial" w:hAnsi="Arial" w:cs="Arial"/>
          <w:sz w:val="22"/>
          <w:szCs w:val="22"/>
        </w:rPr>
        <w:t>taxes</w:t>
      </w:r>
      <w:r w:rsidRPr="00774E74">
        <w:rPr>
          <w:rFonts w:ascii="Arial" w:hAnsi="Arial" w:cs="Arial"/>
          <w:color w:val="000000"/>
          <w:sz w:val="22"/>
          <w:szCs w:val="22"/>
        </w:rPr>
        <w:t>, other than V</w:t>
      </w:r>
      <w:r w:rsidR="00430F6B">
        <w:rPr>
          <w:rFonts w:ascii="Arial" w:hAnsi="Arial" w:cs="Arial"/>
          <w:color w:val="000000"/>
          <w:sz w:val="22"/>
          <w:szCs w:val="22"/>
        </w:rPr>
        <w:t>AT</w:t>
      </w:r>
      <w:r w:rsidRPr="00774E74">
        <w:rPr>
          <w:rFonts w:ascii="Arial" w:hAnsi="Arial" w:cs="Arial"/>
          <w:color w:val="000000"/>
          <w:sz w:val="22"/>
          <w:szCs w:val="22"/>
        </w:rPr>
        <w:t xml:space="preserve">, duties and other relevant and applicable sums). </w:t>
      </w:r>
    </w:p>
    <w:p w14:paraId="2C3FB84E" w14:textId="77777777" w:rsidR="00B2091F" w:rsidRPr="00B82106" w:rsidRDefault="00B2091F" w:rsidP="00B82106">
      <w:pPr>
        <w:numPr>
          <w:ilvl w:val="0"/>
          <w:numId w:val="2"/>
        </w:numPr>
        <w:spacing w:after="120"/>
        <w:ind w:left="567" w:right="-340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774E74">
        <w:rPr>
          <w:rFonts w:ascii="Arial" w:hAnsi="Arial" w:cs="Arial"/>
          <w:sz w:val="22"/>
          <w:szCs w:val="22"/>
        </w:rPr>
        <w:t xml:space="preserve">The Contractor shall </w:t>
      </w:r>
      <w:r w:rsidRPr="00227AAF">
        <w:rPr>
          <w:rFonts w:ascii="Arial" w:hAnsi="Arial" w:cs="Arial"/>
          <w:sz w:val="22"/>
          <w:szCs w:val="22"/>
        </w:rPr>
        <w:t xml:space="preserve">submit itemised invoices </w:t>
      </w:r>
      <w:r w:rsidRPr="00B21A5D">
        <w:rPr>
          <w:rFonts w:ascii="Arial" w:hAnsi="Arial" w:cs="Arial"/>
          <w:sz w:val="22"/>
          <w:szCs w:val="22"/>
        </w:rPr>
        <w:t>monthly</w:t>
      </w:r>
      <w:r w:rsidRPr="00227AAF">
        <w:rPr>
          <w:rFonts w:ascii="Arial" w:hAnsi="Arial" w:cs="Arial"/>
          <w:sz w:val="22"/>
          <w:szCs w:val="22"/>
        </w:rPr>
        <w:t xml:space="preserve"> following completion of the Services provided.  Where any additional Services have been provided or withheld by the agreement of both Parties, then these will be itemised on the invoice.</w:t>
      </w:r>
      <w:r w:rsidRPr="00774E74">
        <w:rPr>
          <w:rFonts w:ascii="Arial" w:hAnsi="Arial" w:cs="Arial"/>
          <w:sz w:val="22"/>
          <w:szCs w:val="22"/>
        </w:rPr>
        <w:t xml:space="preserve">  Where the Services have been properly delivered </w:t>
      </w:r>
      <w:r w:rsidR="00CA6A06">
        <w:rPr>
          <w:rFonts w:ascii="Arial" w:hAnsi="Arial" w:cs="Arial"/>
          <w:sz w:val="22"/>
          <w:szCs w:val="22"/>
        </w:rPr>
        <w:t xml:space="preserve">to </w:t>
      </w:r>
      <w:r w:rsidRPr="00774E74">
        <w:rPr>
          <w:rFonts w:ascii="Arial" w:hAnsi="Arial" w:cs="Arial"/>
          <w:sz w:val="22"/>
          <w:szCs w:val="22"/>
        </w:rPr>
        <w:t xml:space="preserve">and accepted by the Council, payment shall be due twenty-eight (28) days from the date of receipt of correct invoice documentation by the Council.  Invoices must be e-mailed to </w:t>
      </w:r>
      <w:hyperlink r:id="rId8" w:history="1">
        <w:r w:rsidRPr="00774E74">
          <w:rPr>
            <w:rStyle w:val="Hyperlink"/>
            <w:rFonts w:ascii="Arial" w:hAnsi="Arial" w:cs="Arial"/>
            <w:sz w:val="22"/>
            <w:szCs w:val="22"/>
          </w:rPr>
          <w:t>creditors@tamworth.gov.uk</w:t>
        </w:r>
      </w:hyperlink>
      <w:r w:rsidRPr="00774E74">
        <w:rPr>
          <w:rFonts w:ascii="Arial" w:hAnsi="Arial" w:cs="Arial"/>
          <w:sz w:val="22"/>
          <w:szCs w:val="22"/>
        </w:rPr>
        <w:t xml:space="preserve"> and </w:t>
      </w:r>
      <w:r w:rsidRPr="00774E74">
        <w:rPr>
          <w:rFonts w:ascii="Arial" w:hAnsi="Arial" w:cs="Arial"/>
          <w:b/>
          <w:sz w:val="22"/>
          <w:szCs w:val="22"/>
          <w:u w:val="single"/>
        </w:rPr>
        <w:t>MUST</w:t>
      </w:r>
      <w:r w:rsidRPr="00774E74">
        <w:rPr>
          <w:rFonts w:ascii="Arial" w:hAnsi="Arial" w:cs="Arial"/>
          <w:sz w:val="22"/>
          <w:szCs w:val="22"/>
        </w:rPr>
        <w:t xml:space="preserve"> clearly state the Contract Number together with the relevant Purchase Order Number</w:t>
      </w:r>
      <w:r w:rsidR="00297046">
        <w:rPr>
          <w:rFonts w:ascii="Arial" w:hAnsi="Arial" w:cs="Arial"/>
          <w:sz w:val="22"/>
          <w:szCs w:val="22"/>
        </w:rPr>
        <w:t>.</w:t>
      </w:r>
    </w:p>
    <w:p w14:paraId="7CFEC37B" w14:textId="4EED9603" w:rsidR="00EB0E3F" w:rsidRPr="003821C9" w:rsidRDefault="008F2D5C" w:rsidP="00EB0E3F">
      <w:pPr>
        <w:numPr>
          <w:ilvl w:val="0"/>
          <w:numId w:val="2"/>
        </w:numPr>
        <w:autoSpaceDE w:val="0"/>
        <w:spacing w:after="120"/>
        <w:ind w:left="567" w:right="-340" w:hanging="567"/>
        <w:jc w:val="both"/>
        <w:rPr>
          <w:rFonts w:ascii="Arial" w:hAnsi="Arial" w:cs="Arial"/>
          <w:sz w:val="22"/>
          <w:szCs w:val="22"/>
        </w:rPr>
      </w:pPr>
      <w:r w:rsidRPr="003821C9">
        <w:rPr>
          <w:rFonts w:ascii="Arial" w:hAnsi="Arial" w:cs="Arial"/>
          <w:sz w:val="22"/>
          <w:szCs w:val="22"/>
        </w:rPr>
        <w:t xml:space="preserve">For the provision of the Services described in Schedule 1 please supply a Total Price </w:t>
      </w:r>
      <w:r w:rsidR="00CA6A06" w:rsidRPr="003821C9">
        <w:rPr>
          <w:rFonts w:ascii="Arial" w:hAnsi="Arial" w:cs="Arial"/>
          <w:sz w:val="22"/>
          <w:szCs w:val="22"/>
        </w:rPr>
        <w:t xml:space="preserve">breakdown </w:t>
      </w:r>
      <w:r w:rsidRPr="003821C9">
        <w:rPr>
          <w:rFonts w:ascii="Arial" w:hAnsi="Arial" w:cs="Arial"/>
          <w:sz w:val="22"/>
          <w:szCs w:val="22"/>
        </w:rPr>
        <w:t>below</w:t>
      </w:r>
      <w:r w:rsidR="009017AA">
        <w:rPr>
          <w:rFonts w:ascii="Arial" w:hAnsi="Arial" w:cs="Arial"/>
          <w:sz w:val="22"/>
          <w:szCs w:val="22"/>
        </w:rPr>
        <w:t>.</w:t>
      </w:r>
    </w:p>
    <w:p w14:paraId="56C968C3" w14:textId="5671BDE8" w:rsidR="00EB0E3F" w:rsidRPr="00EB0E3F" w:rsidRDefault="00EB0E3F" w:rsidP="00EB0E3F">
      <w:pPr>
        <w:autoSpaceDE w:val="0"/>
        <w:spacing w:after="120"/>
        <w:ind w:right="-34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2765"/>
        <w:gridCol w:w="4253"/>
      </w:tblGrid>
      <w:tr w:rsidR="00247AA8" w:rsidRPr="00774E74" w14:paraId="3DDCB035" w14:textId="55DECEBB" w:rsidTr="00247AA8">
        <w:tc>
          <w:tcPr>
            <w:tcW w:w="1346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28844815" w14:textId="77777777" w:rsidR="00247AA8" w:rsidRPr="00525C8E" w:rsidRDefault="00247AA8" w:rsidP="00525C8E">
            <w:pPr>
              <w:autoSpaceDE w:val="0"/>
              <w:spacing w:before="60"/>
              <w:ind w:left="-108" w:right="-108"/>
              <w:jc w:val="center"/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 w:rsidRPr="00525C8E">
              <w:rPr>
                <w:rFonts w:ascii="Arial" w:hAnsi="Arial" w:cs="Arial"/>
                <w:b/>
                <w:color w:val="FFFF00"/>
                <w:sz w:val="22"/>
                <w:szCs w:val="22"/>
              </w:rPr>
              <w:t>ITEM NO.</w:t>
            </w:r>
          </w:p>
        </w:tc>
        <w:tc>
          <w:tcPr>
            <w:tcW w:w="27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75CE0F90" w14:textId="77777777" w:rsidR="00247AA8" w:rsidRPr="00525C8E" w:rsidRDefault="00247AA8" w:rsidP="00525C8E">
            <w:pPr>
              <w:autoSpaceDE w:val="0"/>
              <w:spacing w:before="60"/>
              <w:ind w:right="-69"/>
              <w:jc w:val="center"/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 w:rsidRPr="00525C8E">
              <w:rPr>
                <w:rFonts w:ascii="Arial" w:hAnsi="Arial" w:cs="Arial"/>
                <w:b/>
                <w:color w:val="FFFF00"/>
                <w:sz w:val="22"/>
                <w:szCs w:val="22"/>
              </w:rPr>
              <w:t>DESCRIPTION</w:t>
            </w:r>
          </w:p>
        </w:tc>
        <w:tc>
          <w:tcPr>
            <w:tcW w:w="4253" w:type="dxa"/>
            <w:tcBorders>
              <w:left w:val="single" w:sz="4" w:space="0" w:color="FFFFFF"/>
            </w:tcBorders>
            <w:shd w:val="clear" w:color="auto" w:fill="000000"/>
          </w:tcPr>
          <w:p w14:paraId="7D380184" w14:textId="77777777" w:rsidR="00247AA8" w:rsidRPr="00525C8E" w:rsidRDefault="00247AA8" w:rsidP="00456D3A">
            <w:pPr>
              <w:autoSpaceDE w:val="0"/>
              <w:spacing w:before="60"/>
              <w:ind w:left="-108" w:right="-108"/>
              <w:jc w:val="center"/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 w:rsidRPr="00525C8E">
              <w:rPr>
                <w:rFonts w:ascii="Arial" w:hAnsi="Arial" w:cs="Arial"/>
                <w:b/>
                <w:color w:val="FFFF00"/>
                <w:sz w:val="22"/>
                <w:szCs w:val="22"/>
              </w:rPr>
              <w:t>TOTAL PRICE</w:t>
            </w:r>
          </w:p>
          <w:p w14:paraId="689F2F0B" w14:textId="77777777" w:rsidR="00247AA8" w:rsidRPr="00525C8E" w:rsidRDefault="00247AA8" w:rsidP="00456D3A">
            <w:pPr>
              <w:autoSpaceDE w:val="0"/>
              <w:spacing w:after="60"/>
              <w:ind w:left="-108" w:right="-108"/>
              <w:jc w:val="center"/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 w:rsidRPr="00525C8E">
              <w:rPr>
                <w:rFonts w:ascii="Arial" w:hAnsi="Arial" w:cs="Arial"/>
                <w:b/>
                <w:color w:val="FFFF00"/>
                <w:sz w:val="22"/>
                <w:szCs w:val="22"/>
              </w:rPr>
              <w:t>£’s (excl. VAT)</w:t>
            </w:r>
          </w:p>
        </w:tc>
      </w:tr>
      <w:tr w:rsidR="00247AA8" w:rsidRPr="00774E74" w14:paraId="5C86120E" w14:textId="2748716A" w:rsidTr="00247AA8">
        <w:tc>
          <w:tcPr>
            <w:tcW w:w="1346" w:type="dxa"/>
          </w:tcPr>
          <w:p w14:paraId="5660BAB8" w14:textId="6B5157C5" w:rsidR="00247AA8" w:rsidRPr="00774E74" w:rsidRDefault="00247AA8" w:rsidP="00E26AF7">
            <w:pPr>
              <w:autoSpaceDE w:val="0"/>
              <w:spacing w:before="60" w:after="6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5" w:type="dxa"/>
          </w:tcPr>
          <w:p w14:paraId="57E7FA09" w14:textId="648F5F8C" w:rsidR="00247AA8" w:rsidRPr="000A7D14" w:rsidRDefault="00247AA8" w:rsidP="00AF7BE2">
            <w:pPr>
              <w:autoSpaceDE w:val="0"/>
              <w:spacing w:before="60" w:after="6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9701943" w14:textId="77777777" w:rsidR="00247AA8" w:rsidRPr="000A7D14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47AA8" w:rsidRPr="00774E74" w14:paraId="3999DDF6" w14:textId="552E6D26" w:rsidTr="00247AA8">
        <w:tc>
          <w:tcPr>
            <w:tcW w:w="1346" w:type="dxa"/>
          </w:tcPr>
          <w:p w14:paraId="1E6F8086" w14:textId="0244F963" w:rsidR="00247AA8" w:rsidRPr="00774E74" w:rsidRDefault="00247AA8" w:rsidP="00E26AF7">
            <w:pPr>
              <w:autoSpaceDE w:val="0"/>
              <w:spacing w:before="60" w:after="6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5" w:type="dxa"/>
          </w:tcPr>
          <w:p w14:paraId="36A25B90" w14:textId="2AA11F92" w:rsidR="00247AA8" w:rsidRPr="00774E74" w:rsidRDefault="00247AA8" w:rsidP="00AF7BE2">
            <w:pPr>
              <w:autoSpaceDE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D9F76B6" w14:textId="77777777" w:rsidR="00247AA8" w:rsidRPr="00774E74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A8" w:rsidRPr="00774E74" w14:paraId="3F12FC28" w14:textId="2DFD4DC5" w:rsidTr="00247AA8">
        <w:tc>
          <w:tcPr>
            <w:tcW w:w="1346" w:type="dxa"/>
          </w:tcPr>
          <w:p w14:paraId="5EE508E5" w14:textId="04CD2E1A" w:rsidR="00247AA8" w:rsidRPr="00774E74" w:rsidRDefault="00247AA8" w:rsidP="00E26AF7">
            <w:pPr>
              <w:autoSpaceDE w:val="0"/>
              <w:spacing w:before="60" w:after="6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5" w:type="dxa"/>
          </w:tcPr>
          <w:p w14:paraId="139333ED" w14:textId="2B1FFA2C" w:rsidR="00247AA8" w:rsidRPr="00774E74" w:rsidRDefault="00247AA8" w:rsidP="00AF7BE2">
            <w:pPr>
              <w:autoSpaceDE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13BD2CF" w14:textId="77777777" w:rsidR="00247AA8" w:rsidRPr="00774E74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A8" w:rsidRPr="00774E74" w14:paraId="6863E7D5" w14:textId="4F8716CE" w:rsidTr="00247AA8">
        <w:tc>
          <w:tcPr>
            <w:tcW w:w="1346" w:type="dxa"/>
          </w:tcPr>
          <w:p w14:paraId="566063C5" w14:textId="77777777" w:rsidR="00247AA8" w:rsidRPr="00774E74" w:rsidRDefault="00247AA8" w:rsidP="00E26AF7">
            <w:pPr>
              <w:autoSpaceDE w:val="0"/>
              <w:spacing w:before="60" w:after="6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5" w:type="dxa"/>
          </w:tcPr>
          <w:p w14:paraId="4AE06338" w14:textId="5AFAF91B" w:rsidR="00247AA8" w:rsidRPr="00774E74" w:rsidRDefault="00247AA8" w:rsidP="00AF7BE2">
            <w:pPr>
              <w:autoSpaceDE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D4B2F57" w14:textId="77777777" w:rsidR="00247AA8" w:rsidRPr="00774E74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A8" w:rsidRPr="00774E74" w14:paraId="097E9978" w14:textId="01A7E7A9" w:rsidTr="00247AA8">
        <w:tc>
          <w:tcPr>
            <w:tcW w:w="1346" w:type="dxa"/>
          </w:tcPr>
          <w:p w14:paraId="2D2F795F" w14:textId="77777777" w:rsidR="00247AA8" w:rsidRPr="00774E74" w:rsidRDefault="00247AA8" w:rsidP="00E26AF7">
            <w:pPr>
              <w:autoSpaceDE w:val="0"/>
              <w:spacing w:before="60" w:after="60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5" w:type="dxa"/>
          </w:tcPr>
          <w:p w14:paraId="114FFA45" w14:textId="77777777" w:rsidR="00247AA8" w:rsidRPr="00774E74" w:rsidRDefault="00247AA8" w:rsidP="00AF7BE2">
            <w:pPr>
              <w:autoSpaceDE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440EADA" w14:textId="77777777" w:rsidR="00247AA8" w:rsidRPr="00774E74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A8" w:rsidRPr="00774E74" w14:paraId="42E4F8A8" w14:textId="35988856" w:rsidTr="00247AA8">
        <w:tc>
          <w:tcPr>
            <w:tcW w:w="4111" w:type="dxa"/>
            <w:gridSpan w:val="2"/>
            <w:shd w:val="clear" w:color="auto" w:fill="000000" w:themeFill="text1"/>
          </w:tcPr>
          <w:p w14:paraId="58D25620" w14:textId="77777777" w:rsidR="00247AA8" w:rsidRPr="0040032B" w:rsidRDefault="00247AA8" w:rsidP="0040032B">
            <w:pPr>
              <w:autoSpaceDE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0032B">
              <w:rPr>
                <w:rFonts w:ascii="Arial" w:hAnsi="Arial" w:cs="Arial"/>
                <w:b/>
                <w:sz w:val="22"/>
                <w:szCs w:val="22"/>
              </w:rPr>
              <w:t>TOTAL PRICE £’s (excl. VAT)</w:t>
            </w:r>
          </w:p>
        </w:tc>
        <w:tc>
          <w:tcPr>
            <w:tcW w:w="4253" w:type="dxa"/>
          </w:tcPr>
          <w:p w14:paraId="183EF90C" w14:textId="77777777" w:rsidR="00247AA8" w:rsidRPr="0040032B" w:rsidRDefault="00247AA8" w:rsidP="002134CD">
            <w:pPr>
              <w:autoSpaceDE w:val="0"/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E4E5B9" w14:textId="77777777" w:rsidR="00EB0E3F" w:rsidRDefault="00EB0E3F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21D4068" w14:textId="77777777" w:rsidR="00247AA8" w:rsidRDefault="00247AA8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75D7C455" w14:textId="77777777" w:rsidR="00D6492E" w:rsidRDefault="00D6492E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6CB3036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F851BB8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1DC7F6B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00BE55A7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718E62B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8DBD0CC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B6ADF1E" w14:textId="77777777" w:rsidR="00DE0587" w:rsidRDefault="00DE0587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58BCE817" w14:textId="77777777" w:rsidR="00EA74E1" w:rsidRPr="009169AC" w:rsidRDefault="00EA74E1" w:rsidP="00EA74E1">
      <w:pPr>
        <w:tabs>
          <w:tab w:val="left" w:pos="284"/>
          <w:tab w:val="left" w:pos="680"/>
        </w:tabs>
        <w:ind w:right="-148"/>
        <w:jc w:val="both"/>
        <w:rPr>
          <w:rFonts w:ascii="Arial" w:hAnsi="Arial" w:cs="Arial"/>
        </w:rPr>
      </w:pPr>
      <w:r w:rsidRPr="009169AC">
        <w:rPr>
          <w:rFonts w:ascii="Arial" w:hAnsi="Arial" w:cs="Arial"/>
        </w:rPr>
        <w:t xml:space="preserve">The following are also required as part of the Tender submission but </w:t>
      </w:r>
      <w:r w:rsidRPr="009169AC">
        <w:rPr>
          <w:rFonts w:ascii="Arial" w:hAnsi="Arial" w:cs="Arial"/>
          <w:b/>
          <w:u w:val="single"/>
        </w:rPr>
        <w:t>will not</w:t>
      </w:r>
      <w:r w:rsidRPr="009169AC">
        <w:rPr>
          <w:rFonts w:ascii="Arial" w:hAnsi="Arial" w:cs="Arial"/>
        </w:rPr>
        <w:t xml:space="preserve"> form part of the marking criteria.</w:t>
      </w:r>
    </w:p>
    <w:p w14:paraId="360BDF52" w14:textId="6FB133B2" w:rsidR="00624E78" w:rsidRDefault="00EA74E1" w:rsidP="00247AA8">
      <w:pPr>
        <w:pStyle w:val="NBSclause"/>
        <w:keepNext/>
        <w:keepLines/>
        <w:widowControl w:val="0"/>
        <w:numPr>
          <w:ilvl w:val="0"/>
          <w:numId w:val="2"/>
        </w:numPr>
        <w:tabs>
          <w:tab w:val="clear" w:pos="3684"/>
          <w:tab w:val="clear" w:pos="4080"/>
        </w:tabs>
        <w:spacing w:before="120" w:after="120"/>
        <w:ind w:left="567" w:right="-340" w:hanging="567"/>
        <w:jc w:val="both"/>
        <w:rPr>
          <w:rFonts w:cs="Arial"/>
          <w:sz w:val="24"/>
          <w:szCs w:val="24"/>
        </w:rPr>
      </w:pPr>
      <w:r w:rsidRPr="009169AC">
        <w:rPr>
          <w:rFonts w:cs="Arial"/>
          <w:sz w:val="24"/>
          <w:szCs w:val="24"/>
        </w:rPr>
        <w:lastRenderedPageBreak/>
        <w:t>F</w:t>
      </w:r>
      <w:r w:rsidR="00624E78" w:rsidRPr="009169AC">
        <w:rPr>
          <w:rFonts w:cs="Arial"/>
          <w:sz w:val="24"/>
          <w:szCs w:val="24"/>
        </w:rPr>
        <w:t xml:space="preserve">or all specified Services and where work is agreed as </w:t>
      </w:r>
      <w:r w:rsidR="00624E78" w:rsidRPr="009169AC">
        <w:rPr>
          <w:rFonts w:cs="Arial"/>
          <w:b/>
          <w:sz w:val="24"/>
          <w:szCs w:val="24"/>
        </w:rPr>
        <w:t>additional</w:t>
      </w:r>
      <w:r w:rsidR="00624E78" w:rsidRPr="009169AC">
        <w:rPr>
          <w:rFonts w:cs="Arial"/>
          <w:sz w:val="24"/>
          <w:szCs w:val="24"/>
        </w:rPr>
        <w:t xml:space="preserve"> but within the scope of the Contract by the Council, please supply </w:t>
      </w:r>
      <w:r w:rsidR="007E091D" w:rsidRPr="009169AC">
        <w:rPr>
          <w:rFonts w:cs="Arial"/>
          <w:sz w:val="24"/>
          <w:szCs w:val="24"/>
        </w:rPr>
        <w:t xml:space="preserve">hourly and </w:t>
      </w:r>
      <w:r w:rsidR="00624E78" w:rsidRPr="009169AC">
        <w:rPr>
          <w:rFonts w:cs="Arial"/>
          <w:sz w:val="24"/>
          <w:szCs w:val="24"/>
        </w:rPr>
        <w:t xml:space="preserve">daily rates </w:t>
      </w:r>
      <w:r w:rsidR="00624E78" w:rsidRPr="009169AC">
        <w:rPr>
          <w:rFonts w:cs="Arial"/>
          <w:i/>
          <w:sz w:val="24"/>
          <w:szCs w:val="24"/>
        </w:rPr>
        <w:t xml:space="preserve">(daily rates shall be based on a 7.5 hour day) </w:t>
      </w:r>
      <w:r w:rsidR="00624E78" w:rsidRPr="009169AC">
        <w:rPr>
          <w:rFonts w:cs="Arial"/>
          <w:sz w:val="24"/>
          <w:szCs w:val="24"/>
        </w:rPr>
        <w:t>for the Services below.   All rates shall be fixed for the term of the Contract.  The</w:t>
      </w:r>
      <w:r w:rsidR="00624E78" w:rsidRPr="009169AC">
        <w:rPr>
          <w:rFonts w:cs="Arial"/>
          <w:color w:val="000000"/>
          <w:sz w:val="24"/>
          <w:szCs w:val="24"/>
        </w:rPr>
        <w:t xml:space="preserve"> rates shall be exclusive of Value Added Tax (VAT) but must include all charges, costs, disbursements and expenses (including, without limitation, travelling and other expenses, all relevant </w:t>
      </w:r>
      <w:r w:rsidR="00624E78" w:rsidRPr="009169AC">
        <w:rPr>
          <w:rFonts w:cs="Arial"/>
          <w:sz w:val="24"/>
          <w:szCs w:val="24"/>
        </w:rPr>
        <w:t>taxes</w:t>
      </w:r>
      <w:r w:rsidR="00624E78" w:rsidRPr="009169AC">
        <w:rPr>
          <w:rFonts w:cs="Arial"/>
          <w:color w:val="000000"/>
          <w:sz w:val="24"/>
          <w:szCs w:val="24"/>
        </w:rPr>
        <w:t xml:space="preserve">, other than VAT, duties and other relevant and applicable sums). </w:t>
      </w:r>
      <w:r w:rsidR="00624E78" w:rsidRPr="009169AC">
        <w:rPr>
          <w:rFonts w:cs="Arial"/>
          <w:sz w:val="24"/>
          <w:szCs w:val="24"/>
        </w:rPr>
        <w:t xml:space="preserve">  </w:t>
      </w:r>
    </w:p>
    <w:p w14:paraId="1075ACC6" w14:textId="77777777" w:rsidR="009169AC" w:rsidRDefault="009169AC" w:rsidP="009169AC">
      <w:pPr>
        <w:pStyle w:val="NBSclause"/>
        <w:keepNext/>
        <w:keepLines/>
        <w:widowControl w:val="0"/>
        <w:tabs>
          <w:tab w:val="clear" w:pos="3684"/>
          <w:tab w:val="clear" w:pos="4080"/>
        </w:tabs>
        <w:spacing w:before="120" w:after="120"/>
        <w:ind w:right="-340"/>
        <w:jc w:val="both"/>
        <w:rPr>
          <w:rFonts w:cs="Arial"/>
          <w:sz w:val="24"/>
          <w:szCs w:val="24"/>
        </w:rPr>
      </w:pPr>
    </w:p>
    <w:p w14:paraId="6ADC7BCF" w14:textId="77777777" w:rsidR="00D6492E" w:rsidRPr="009169AC" w:rsidRDefault="00D6492E" w:rsidP="009169AC">
      <w:pPr>
        <w:pStyle w:val="NBSclause"/>
        <w:keepNext/>
        <w:keepLines/>
        <w:widowControl w:val="0"/>
        <w:tabs>
          <w:tab w:val="clear" w:pos="3684"/>
          <w:tab w:val="clear" w:pos="4080"/>
        </w:tabs>
        <w:spacing w:before="120" w:after="120"/>
        <w:ind w:right="-340"/>
        <w:jc w:val="both"/>
        <w:rPr>
          <w:rFonts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2169"/>
        <w:gridCol w:w="2160"/>
        <w:gridCol w:w="2160"/>
      </w:tblGrid>
      <w:tr w:rsidR="009169AC" w:rsidRPr="00AF0FE3" w14:paraId="6F844F32" w14:textId="77777777" w:rsidTr="00BA3A09">
        <w:tc>
          <w:tcPr>
            <w:tcW w:w="2202" w:type="dxa"/>
          </w:tcPr>
          <w:p w14:paraId="62218755" w14:textId="2DC4BB2C" w:rsidR="009169AC" w:rsidRPr="001A764A" w:rsidRDefault="001A764A" w:rsidP="00BA3A09">
            <w:pPr>
              <w:tabs>
                <w:tab w:val="left" w:pos="284"/>
                <w:tab w:val="left" w:pos="680"/>
              </w:tabs>
              <w:rPr>
                <w:rFonts w:ascii="Arial" w:hAnsi="Arial" w:cs="Arial"/>
                <w:sz w:val="20"/>
              </w:rPr>
            </w:pPr>
            <w:r w:rsidRPr="001A764A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2310" w:type="dxa"/>
          </w:tcPr>
          <w:p w14:paraId="3B51B786" w14:textId="77777777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AF0FE3">
              <w:rPr>
                <w:rFonts w:ascii="Arial" w:hAnsi="Arial" w:cs="Arial"/>
                <w:sz w:val="20"/>
              </w:rPr>
              <w:t>Hourly £ (excl. VAT)</w:t>
            </w:r>
          </w:p>
        </w:tc>
        <w:tc>
          <w:tcPr>
            <w:tcW w:w="2311" w:type="dxa"/>
          </w:tcPr>
          <w:p w14:paraId="48FA5BE2" w14:textId="77777777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AF0FE3">
              <w:rPr>
                <w:rFonts w:ascii="Arial" w:hAnsi="Arial" w:cs="Arial"/>
                <w:sz w:val="20"/>
              </w:rPr>
              <w:t>Half Day (excl. VAT)</w:t>
            </w:r>
          </w:p>
        </w:tc>
        <w:tc>
          <w:tcPr>
            <w:tcW w:w="2311" w:type="dxa"/>
          </w:tcPr>
          <w:p w14:paraId="47A3BC87" w14:textId="77777777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AF0FE3">
              <w:rPr>
                <w:rFonts w:ascii="Arial" w:hAnsi="Arial" w:cs="Arial"/>
                <w:sz w:val="20"/>
              </w:rPr>
              <w:t>Full Day (excl. VAT)</w:t>
            </w:r>
          </w:p>
        </w:tc>
      </w:tr>
      <w:tr w:rsidR="009169AC" w:rsidRPr="00EA02EF" w14:paraId="55FE90B7" w14:textId="77777777" w:rsidTr="00BA3A09">
        <w:tc>
          <w:tcPr>
            <w:tcW w:w="2202" w:type="dxa"/>
          </w:tcPr>
          <w:p w14:paraId="41DF2E4B" w14:textId="0CB78B74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</w:tcPr>
          <w:p w14:paraId="29FFDA46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57657FE7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6BE89DE7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69AC" w:rsidRPr="00EA02EF" w14:paraId="63794BAD" w14:textId="77777777" w:rsidTr="00BA3A09">
        <w:tc>
          <w:tcPr>
            <w:tcW w:w="2202" w:type="dxa"/>
          </w:tcPr>
          <w:p w14:paraId="2202A89B" w14:textId="786D8EC5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</w:tcPr>
          <w:p w14:paraId="5B0AF9E7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4F220A94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67FCACAD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69AC" w:rsidRPr="00EA02EF" w14:paraId="75274EB6" w14:textId="77777777" w:rsidTr="00BA3A09">
        <w:tc>
          <w:tcPr>
            <w:tcW w:w="2202" w:type="dxa"/>
          </w:tcPr>
          <w:p w14:paraId="3F591C17" w14:textId="1E0B0D29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</w:tcPr>
          <w:p w14:paraId="58977BF1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467AA15F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698D84AA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69AC" w:rsidRPr="00EA02EF" w14:paraId="119D1612" w14:textId="77777777" w:rsidTr="00BA3A09">
        <w:tc>
          <w:tcPr>
            <w:tcW w:w="2202" w:type="dxa"/>
          </w:tcPr>
          <w:p w14:paraId="00039DF9" w14:textId="0BA0DCD7" w:rsidR="009169AC" w:rsidRPr="00AF0FE3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10" w:type="dxa"/>
          </w:tcPr>
          <w:p w14:paraId="25D004B1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3850CCB9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11" w:type="dxa"/>
          </w:tcPr>
          <w:p w14:paraId="0ECAB561" w14:textId="77777777" w:rsidR="009169AC" w:rsidRPr="00EA02EF" w:rsidRDefault="009169AC" w:rsidP="00BA3A09">
            <w:pPr>
              <w:tabs>
                <w:tab w:val="left" w:pos="284"/>
                <w:tab w:val="left" w:pos="6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B2A0554" w14:textId="77777777" w:rsidR="00624E78" w:rsidRDefault="00624E78" w:rsidP="00624E78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38698A99" w14:textId="77777777" w:rsidR="005C1EC0" w:rsidRDefault="005C1EC0" w:rsidP="006D5CDE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3F6F290" w14:textId="77777777" w:rsidR="00F54297" w:rsidRPr="00774E74" w:rsidRDefault="00F54297">
      <w:pPr>
        <w:rPr>
          <w:sz w:val="22"/>
          <w:szCs w:val="22"/>
        </w:rPr>
      </w:pPr>
    </w:p>
    <w:sectPr w:rsidR="00F54297" w:rsidRPr="00774E74" w:rsidSect="004E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76D6" w14:textId="77777777" w:rsidR="00080336" w:rsidRDefault="00080336">
      <w:r>
        <w:separator/>
      </w:r>
    </w:p>
  </w:endnote>
  <w:endnote w:type="continuationSeparator" w:id="0">
    <w:p w14:paraId="207E77AA" w14:textId="77777777" w:rsidR="00080336" w:rsidRDefault="0008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8488" w14:textId="77777777" w:rsidR="00230A09" w:rsidRDefault="00230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08B7" w14:textId="77777777" w:rsidR="00230A09" w:rsidRDefault="00230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E97D" w14:textId="77777777" w:rsidR="00230A09" w:rsidRDefault="00230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0555" w14:textId="77777777" w:rsidR="00080336" w:rsidRDefault="00080336">
      <w:r>
        <w:separator/>
      </w:r>
    </w:p>
  </w:footnote>
  <w:footnote w:type="continuationSeparator" w:id="0">
    <w:p w14:paraId="20FCD6C3" w14:textId="77777777" w:rsidR="00080336" w:rsidRDefault="0008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4505" w14:textId="77777777" w:rsidR="00230A09" w:rsidRDefault="00230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ED91" w14:textId="1A9D23A4" w:rsidR="00297046" w:rsidRPr="007C0A71" w:rsidRDefault="00297046" w:rsidP="00297046">
    <w:pPr>
      <w:pStyle w:val="Header"/>
      <w:ind w:left="907" w:hanging="907"/>
      <w:rPr>
        <w:rFonts w:ascii="Calibri" w:hAnsi="Calibri"/>
        <w:sz w:val="16"/>
        <w:szCs w:val="16"/>
      </w:rPr>
    </w:pPr>
    <w:r w:rsidRPr="007C0A71">
      <w:rPr>
        <w:rFonts w:ascii="Calibri" w:hAnsi="Calibri"/>
        <w:sz w:val="16"/>
        <w:szCs w:val="16"/>
      </w:rPr>
      <w:t xml:space="preserve">Contract: </w:t>
    </w:r>
    <w:r w:rsidR="00D6645E">
      <w:rPr>
        <w:rFonts w:ascii="Calibri" w:hAnsi="Calibri"/>
        <w:sz w:val="16"/>
        <w:szCs w:val="16"/>
      </w:rPr>
      <w:t>Green Belt Assessment Joint Procurement</w:t>
    </w:r>
    <w:r>
      <w:rPr>
        <w:rFonts w:ascii="Calibri" w:hAnsi="Calibri"/>
        <w:sz w:val="16"/>
        <w:szCs w:val="16"/>
      </w:rPr>
      <w:tab/>
    </w:r>
  </w:p>
  <w:p w14:paraId="5785B48F" w14:textId="506A40C3" w:rsidR="00297046" w:rsidRPr="00DF37E0" w:rsidRDefault="00297046" w:rsidP="00297046">
    <w:pPr>
      <w:pStyle w:val="Header"/>
      <w:ind w:left="907" w:hanging="907"/>
      <w:rPr>
        <w:rFonts w:ascii="Calibri" w:hAnsi="Calibri"/>
        <w:sz w:val="16"/>
        <w:szCs w:val="16"/>
        <w:highlight w:val="yellow"/>
      </w:rPr>
    </w:pPr>
    <w:r w:rsidRPr="007C0A71">
      <w:rPr>
        <w:rFonts w:ascii="Calibri" w:hAnsi="Calibri"/>
        <w:sz w:val="16"/>
        <w:szCs w:val="16"/>
      </w:rPr>
      <w:t xml:space="preserve">Tender Ref: </w:t>
    </w:r>
    <w:r w:rsidR="00D6645E">
      <w:rPr>
        <w:rFonts w:ascii="Calibri" w:hAnsi="Calibri"/>
        <w:sz w:val="16"/>
        <w:szCs w:val="16"/>
      </w:rPr>
      <w:t>25/010</w:t>
    </w:r>
    <w:r>
      <w:rPr>
        <w:rFonts w:ascii="Calibri" w:hAnsi="Calibri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ED74" w14:textId="77777777" w:rsidR="00230A09" w:rsidRDefault="00230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3120"/>
    <w:multiLevelType w:val="hybridMultilevel"/>
    <w:tmpl w:val="8B523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4CAE"/>
    <w:multiLevelType w:val="hybridMultilevel"/>
    <w:tmpl w:val="A9021BF4"/>
    <w:lvl w:ilvl="0" w:tplc="04A695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740CFD"/>
    <w:multiLevelType w:val="hybridMultilevel"/>
    <w:tmpl w:val="5D0C1C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3E42"/>
    <w:multiLevelType w:val="hybridMultilevel"/>
    <w:tmpl w:val="93B88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79C6"/>
    <w:multiLevelType w:val="hybridMultilevel"/>
    <w:tmpl w:val="04408F4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788721">
    <w:abstractNumId w:val="4"/>
  </w:num>
  <w:num w:numId="2" w16cid:durableId="663317444">
    <w:abstractNumId w:val="3"/>
  </w:num>
  <w:num w:numId="3" w16cid:durableId="1114596436">
    <w:abstractNumId w:val="0"/>
  </w:num>
  <w:num w:numId="4" w16cid:durableId="464742896">
    <w:abstractNumId w:val="2"/>
  </w:num>
  <w:num w:numId="5" w16cid:durableId="92006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3A"/>
    <w:rsid w:val="0000655F"/>
    <w:rsid w:val="00047FD1"/>
    <w:rsid w:val="0005310E"/>
    <w:rsid w:val="00054F4C"/>
    <w:rsid w:val="00065740"/>
    <w:rsid w:val="00080336"/>
    <w:rsid w:val="00094819"/>
    <w:rsid w:val="000A3DA2"/>
    <w:rsid w:val="000A7D14"/>
    <w:rsid w:val="000B71F5"/>
    <w:rsid w:val="000C6E6C"/>
    <w:rsid w:val="000F2DF6"/>
    <w:rsid w:val="000F4C0C"/>
    <w:rsid w:val="000F7739"/>
    <w:rsid w:val="00121DF0"/>
    <w:rsid w:val="00123A56"/>
    <w:rsid w:val="00131760"/>
    <w:rsid w:val="00157F73"/>
    <w:rsid w:val="00182DF4"/>
    <w:rsid w:val="00185B4A"/>
    <w:rsid w:val="001A0BB9"/>
    <w:rsid w:val="001A764A"/>
    <w:rsid w:val="001B29E4"/>
    <w:rsid w:val="001C7621"/>
    <w:rsid w:val="002134CD"/>
    <w:rsid w:val="00227AAF"/>
    <w:rsid w:val="00230A09"/>
    <w:rsid w:val="00242D40"/>
    <w:rsid w:val="00247AA8"/>
    <w:rsid w:val="00255512"/>
    <w:rsid w:val="00255DBE"/>
    <w:rsid w:val="00277911"/>
    <w:rsid w:val="00297046"/>
    <w:rsid w:val="002C234C"/>
    <w:rsid w:val="0030249E"/>
    <w:rsid w:val="00302F20"/>
    <w:rsid w:val="0030449D"/>
    <w:rsid w:val="00306CE2"/>
    <w:rsid w:val="003401DD"/>
    <w:rsid w:val="003625F4"/>
    <w:rsid w:val="00364DCB"/>
    <w:rsid w:val="0036506C"/>
    <w:rsid w:val="00366759"/>
    <w:rsid w:val="003821C9"/>
    <w:rsid w:val="0039346F"/>
    <w:rsid w:val="00396D01"/>
    <w:rsid w:val="003A6A2B"/>
    <w:rsid w:val="003D3FD6"/>
    <w:rsid w:val="003F5F9F"/>
    <w:rsid w:val="0040032B"/>
    <w:rsid w:val="0040502B"/>
    <w:rsid w:val="0041393C"/>
    <w:rsid w:val="004170C0"/>
    <w:rsid w:val="00425185"/>
    <w:rsid w:val="00430F6B"/>
    <w:rsid w:val="0043314F"/>
    <w:rsid w:val="00433A95"/>
    <w:rsid w:val="004343ED"/>
    <w:rsid w:val="00456D3A"/>
    <w:rsid w:val="00482FBC"/>
    <w:rsid w:val="00491A9C"/>
    <w:rsid w:val="004B0F47"/>
    <w:rsid w:val="004D0FA2"/>
    <w:rsid w:val="004E1498"/>
    <w:rsid w:val="004E438C"/>
    <w:rsid w:val="0050794B"/>
    <w:rsid w:val="00510C2C"/>
    <w:rsid w:val="00525C8E"/>
    <w:rsid w:val="005340D0"/>
    <w:rsid w:val="00553BCD"/>
    <w:rsid w:val="00573FE3"/>
    <w:rsid w:val="00575465"/>
    <w:rsid w:val="005928E0"/>
    <w:rsid w:val="005A427D"/>
    <w:rsid w:val="005A54C9"/>
    <w:rsid w:val="005A6D6C"/>
    <w:rsid w:val="005C1EC0"/>
    <w:rsid w:val="005D7148"/>
    <w:rsid w:val="005E194A"/>
    <w:rsid w:val="00603319"/>
    <w:rsid w:val="00605E3B"/>
    <w:rsid w:val="00622F23"/>
    <w:rsid w:val="00624E78"/>
    <w:rsid w:val="006432EA"/>
    <w:rsid w:val="00677B47"/>
    <w:rsid w:val="00680331"/>
    <w:rsid w:val="00684322"/>
    <w:rsid w:val="00685226"/>
    <w:rsid w:val="006B1B5F"/>
    <w:rsid w:val="006D193B"/>
    <w:rsid w:val="006D5CDE"/>
    <w:rsid w:val="00700987"/>
    <w:rsid w:val="0070186B"/>
    <w:rsid w:val="007175CC"/>
    <w:rsid w:val="007259A6"/>
    <w:rsid w:val="00740D5F"/>
    <w:rsid w:val="0074483A"/>
    <w:rsid w:val="00774E74"/>
    <w:rsid w:val="00790628"/>
    <w:rsid w:val="007C20C0"/>
    <w:rsid w:val="007C2DEA"/>
    <w:rsid w:val="007E091D"/>
    <w:rsid w:val="007E34CB"/>
    <w:rsid w:val="00800028"/>
    <w:rsid w:val="008470A1"/>
    <w:rsid w:val="008C6DBC"/>
    <w:rsid w:val="008D0DB3"/>
    <w:rsid w:val="008D642A"/>
    <w:rsid w:val="008F2D5C"/>
    <w:rsid w:val="008F4380"/>
    <w:rsid w:val="008F4945"/>
    <w:rsid w:val="009017AA"/>
    <w:rsid w:val="009122AA"/>
    <w:rsid w:val="009169AC"/>
    <w:rsid w:val="009254A2"/>
    <w:rsid w:val="00925EAC"/>
    <w:rsid w:val="009429DC"/>
    <w:rsid w:val="00946A27"/>
    <w:rsid w:val="00947B83"/>
    <w:rsid w:val="00947E16"/>
    <w:rsid w:val="0097500F"/>
    <w:rsid w:val="009859C0"/>
    <w:rsid w:val="009E0F9E"/>
    <w:rsid w:val="009E346B"/>
    <w:rsid w:val="00A003B3"/>
    <w:rsid w:val="00A13EE0"/>
    <w:rsid w:val="00A552E0"/>
    <w:rsid w:val="00A65C2A"/>
    <w:rsid w:val="00A9213A"/>
    <w:rsid w:val="00A927A2"/>
    <w:rsid w:val="00AF7BE2"/>
    <w:rsid w:val="00B168B1"/>
    <w:rsid w:val="00B2091F"/>
    <w:rsid w:val="00B21A5D"/>
    <w:rsid w:val="00B41B5A"/>
    <w:rsid w:val="00B452BD"/>
    <w:rsid w:val="00B505C5"/>
    <w:rsid w:val="00B51893"/>
    <w:rsid w:val="00B82106"/>
    <w:rsid w:val="00B95E4C"/>
    <w:rsid w:val="00BB209A"/>
    <w:rsid w:val="00BD736D"/>
    <w:rsid w:val="00BE2373"/>
    <w:rsid w:val="00BE4801"/>
    <w:rsid w:val="00C02347"/>
    <w:rsid w:val="00C15C5B"/>
    <w:rsid w:val="00C36666"/>
    <w:rsid w:val="00C45FF7"/>
    <w:rsid w:val="00C57B88"/>
    <w:rsid w:val="00C90D09"/>
    <w:rsid w:val="00CA42CC"/>
    <w:rsid w:val="00CA6A06"/>
    <w:rsid w:val="00CA705F"/>
    <w:rsid w:val="00CC3785"/>
    <w:rsid w:val="00CF01AB"/>
    <w:rsid w:val="00D51BA8"/>
    <w:rsid w:val="00D6492E"/>
    <w:rsid w:val="00D6645E"/>
    <w:rsid w:val="00D67F4D"/>
    <w:rsid w:val="00D84DE2"/>
    <w:rsid w:val="00D939CA"/>
    <w:rsid w:val="00D96B5A"/>
    <w:rsid w:val="00DA3FE5"/>
    <w:rsid w:val="00DB13B1"/>
    <w:rsid w:val="00DB4295"/>
    <w:rsid w:val="00DC0C47"/>
    <w:rsid w:val="00DC6F4E"/>
    <w:rsid w:val="00DD7695"/>
    <w:rsid w:val="00DE0587"/>
    <w:rsid w:val="00DF3064"/>
    <w:rsid w:val="00DF339A"/>
    <w:rsid w:val="00E26AF7"/>
    <w:rsid w:val="00E373EB"/>
    <w:rsid w:val="00E502A0"/>
    <w:rsid w:val="00E55A00"/>
    <w:rsid w:val="00E60325"/>
    <w:rsid w:val="00E75F4E"/>
    <w:rsid w:val="00E82B3D"/>
    <w:rsid w:val="00E94F61"/>
    <w:rsid w:val="00EA74E1"/>
    <w:rsid w:val="00EB0D36"/>
    <w:rsid w:val="00EB0E3F"/>
    <w:rsid w:val="00EC3EDE"/>
    <w:rsid w:val="00ED0C57"/>
    <w:rsid w:val="00F132AB"/>
    <w:rsid w:val="00F54297"/>
    <w:rsid w:val="00F54F8A"/>
    <w:rsid w:val="00F62947"/>
    <w:rsid w:val="00F7693F"/>
    <w:rsid w:val="00FA3E7B"/>
    <w:rsid w:val="00FB240B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ED62827"/>
  <w15:docId w15:val="{274E2C1E-4371-49AD-9261-AB8AB59A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83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48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483A"/>
    <w:pPr>
      <w:tabs>
        <w:tab w:val="center" w:pos="4153"/>
        <w:tab w:val="right" w:pos="8306"/>
      </w:tabs>
    </w:pPr>
  </w:style>
  <w:style w:type="paragraph" w:customStyle="1" w:styleId="NBSclause">
    <w:name w:val="NBS clause"/>
    <w:basedOn w:val="Normal"/>
    <w:rsid w:val="0074483A"/>
    <w:pPr>
      <w:tabs>
        <w:tab w:val="left" w:pos="3684"/>
        <w:tab w:val="left" w:pos="4080"/>
      </w:tabs>
      <w:ind w:left="680" w:hanging="680"/>
    </w:pPr>
    <w:rPr>
      <w:rFonts w:ascii="Arial" w:hAnsi="Arial"/>
      <w:sz w:val="22"/>
      <w:szCs w:val="20"/>
    </w:rPr>
  </w:style>
  <w:style w:type="character" w:customStyle="1" w:styleId="HeaderChar">
    <w:name w:val="Header Char"/>
    <w:link w:val="Header"/>
    <w:locked/>
    <w:rsid w:val="0074483A"/>
    <w:rPr>
      <w:sz w:val="24"/>
      <w:szCs w:val="24"/>
      <w:lang w:val="en-GB" w:eastAsia="en-GB" w:bidi="ar-SA"/>
    </w:rPr>
  </w:style>
  <w:style w:type="character" w:styleId="Hyperlink">
    <w:name w:val="Hyperlink"/>
    <w:rsid w:val="00B2091F"/>
    <w:rPr>
      <w:color w:val="0000FF"/>
      <w:u w:val="single"/>
    </w:rPr>
  </w:style>
  <w:style w:type="character" w:styleId="CommentReference">
    <w:name w:val="annotation reference"/>
    <w:semiHidden/>
    <w:rsid w:val="00575465"/>
    <w:rPr>
      <w:sz w:val="16"/>
      <w:szCs w:val="16"/>
    </w:rPr>
  </w:style>
  <w:style w:type="paragraph" w:styleId="CommentText">
    <w:name w:val="annotation text"/>
    <w:basedOn w:val="Normal"/>
    <w:semiHidden/>
    <w:rsid w:val="005754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5465"/>
    <w:rPr>
      <w:b/>
      <w:bCs/>
    </w:rPr>
  </w:style>
  <w:style w:type="paragraph" w:styleId="BalloonText">
    <w:name w:val="Balloon Text"/>
    <w:basedOn w:val="Normal"/>
    <w:semiHidden/>
    <w:rsid w:val="00575465"/>
    <w:rPr>
      <w:rFonts w:ascii="Tahoma" w:hAnsi="Tahoma" w:cs="Tahoma"/>
      <w:sz w:val="16"/>
      <w:szCs w:val="16"/>
    </w:rPr>
  </w:style>
  <w:style w:type="character" w:customStyle="1" w:styleId="CharChar5">
    <w:name w:val="Char Char5"/>
    <w:locked/>
    <w:rsid w:val="000F4C0C"/>
    <w:rPr>
      <w:sz w:val="24"/>
      <w:szCs w:val="24"/>
      <w:lang w:eastAsia="ar-SA"/>
    </w:rPr>
  </w:style>
  <w:style w:type="paragraph" w:customStyle="1" w:styleId="CharChar6">
    <w:name w:val="Char Char6"/>
    <w:basedOn w:val="Normal"/>
    <w:rsid w:val="000F4C0C"/>
    <w:pPr>
      <w:suppressAutoHyphens w:val="0"/>
      <w:autoSpaceDE w:val="0"/>
      <w:autoSpaceDN w:val="0"/>
      <w:adjustRightInd w:val="0"/>
      <w:spacing w:after="120" w:line="240" w:lineRule="exact"/>
      <w:ind w:left="252"/>
    </w:pPr>
    <w:rPr>
      <w:rFonts w:ascii="Verdana" w:hAnsi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242D40"/>
    <w:pPr>
      <w:suppressAutoHyphens w:val="0"/>
      <w:autoSpaceDE w:val="0"/>
      <w:autoSpaceDN w:val="0"/>
      <w:adjustRightInd w:val="0"/>
      <w:spacing w:after="120" w:line="240" w:lineRule="exact"/>
      <w:ind w:left="252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4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ors@tamworth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– PRICE AND RATES</vt:lpstr>
    </vt:vector>
  </TitlesOfParts>
  <Company>Tamworth Borough Council</Company>
  <LinksUpToDate>false</LinksUpToDate>
  <CharactersWithSpaces>2066</CharactersWithSpaces>
  <SharedDoc>false</SharedDoc>
  <HLinks>
    <vt:vector size="6" baseType="variant"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mailto:creditors@tamworth.gov.uk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– PRICE AND RATES</dc:title>
  <dc:creator>davido</dc:creator>
  <cp:lastModifiedBy>Getliff, Jennifer</cp:lastModifiedBy>
  <cp:revision>21</cp:revision>
  <dcterms:created xsi:type="dcterms:W3CDTF">2021-09-09T08:23:00Z</dcterms:created>
  <dcterms:modified xsi:type="dcterms:W3CDTF">2025-07-24T07:14:00Z</dcterms:modified>
</cp:coreProperties>
</file>